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INT-2025-8451-LV  |  Period: H2 2026  |  Prepared: May 26, 2026</w:t>
      </w:r>
    </w:p>
    <w:p>
      <w:pPr>
        <w:pStyle w:val="Heading1"/>
      </w:pPr>
      <w:r>
        <w:rPr>
          <w:color w:val="1F3864"/>
        </w:rPr>
        <w:t>Strategic Plan — Sterling Capital Bank</w:t>
      </w:r>
    </w:p>
    <w:p>
      <w:r>
        <w:t>Account: Sterling Capital Bank  |  Industry: Financial Services  |  HQ: New York, NY  |  Revenue: $6.1B  |  Employees: 22,000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Sterling Capital Bank into a flagship account by Q4 2026. Target expansion revenue: $2,300,000 additional ACV through AI Analytics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Nathaniel Cross (SVP Technology).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Microsoft Dynamics from KYC automation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Pinnacle Education Group</w:t>
      </w:r>
    </w:p>
    <w:p>
      <w:r>
        <w:t>Account: Pinnacle Education Group  |  Industry: Education Technology  |  HQ: Atlanta, GA  |  Revenue: $480M  |  Employees: 2,200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Pinnacle Education Group into a strategic account by Q4 2026. Target expansion revenue: $175,000 additional ACV through Enrollment Pipeline Module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Dr. Samuel Adeyemi (VP of Partnerships).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Slate from student lifecycle tracking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