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Implementation Onboarding Guide</w:t>
      </w:r>
    </w:p>
    <w:p>
      <w:r>
        <w:t>Ref: INV-2026-3531  |  Client: Nexus Pharmaceuticals  |  CSM: Sofia Marchetti  |  Start: June 1, 2026</w:t>
      </w:r>
    </w:p>
    <w:p>
      <w:pPr>
        <w:pStyle w:val="Heading1"/>
      </w:pPr>
      <w:r>
        <w:rPr>
          <w:color w:val="1F3864"/>
        </w:rPr>
        <w:t>Client Overview</w:t>
      </w:r>
    </w:p>
    <w:p>
      <w:r>
        <w:t>Nexus Pharmaceuticals is a Pharmaceuticals organisation with 7,800 employees headquartered in San Diego, CA. This engagement covers CRM Enterprise, Field Sales Module, Compliance Tracker. Primary contact: Dr. Linda Zhao (l.zhao@nexuspharma.com, +1-619-555-0437).</w:t>
      </w:r>
    </w:p>
    <w:p>
      <w:pPr>
        <w:pStyle w:val="Heading1"/>
      </w:pPr>
      <w:r>
        <w:rPr>
          <w:color w:val="1F3864"/>
        </w:rPr>
        <w:t>Onboarding Checklist</w:t>
      </w:r>
    </w:p>
    <w:p>
      <w:pPr>
        <w:pStyle w:val="Heading2"/>
      </w:pPr>
      <w:r>
        <w:rPr>
          <w:color w:val="2F5496"/>
        </w:rPr>
        <w:t>Week 1 — Kickoff</w:t>
      </w:r>
    </w:p>
    <w:p>
      <w:pPr>
        <w:pStyle w:val="ListBullet"/>
      </w:pPr>
      <w:r>
        <w:t>Stakeholder alignment call</w:t>
      </w:r>
    </w:p>
    <w:p>
      <w:pPr>
        <w:pStyle w:val="ListBullet"/>
      </w:pPr>
      <w:r>
        <w:t>Data audit initiation</w:t>
      </w:r>
    </w:p>
    <w:p>
      <w:pPr>
        <w:pStyle w:val="ListBullet"/>
      </w:pPr>
      <w:r>
        <w:t>SSO configuration</w:t>
      </w:r>
    </w:p>
    <w:p>
      <w:pPr>
        <w:pStyle w:val="ListBullet"/>
      </w:pPr>
      <w:r>
        <w:t>Sandbox environment provisioned</w:t>
      </w:r>
    </w:p>
    <w:p>
      <w:pPr>
        <w:pStyle w:val="ListBullet"/>
      </w:pPr>
      <w:r>
        <w:t>Admin training scheduled</w:t>
      </w:r>
    </w:p>
    <w:p>
      <w:pPr>
        <w:pStyle w:val="Heading2"/>
      </w:pPr>
      <w:r>
        <w:rPr>
          <w:color w:val="2F5496"/>
        </w:rPr>
        <w:t>Week 2–3 — Configuration</w:t>
      </w:r>
    </w:p>
    <w:p>
      <w:pPr>
        <w:pStyle w:val="ListBullet"/>
      </w:pPr>
      <w:r>
        <w:t>Custom fields built</w:t>
      </w:r>
    </w:p>
    <w:p>
      <w:pPr>
        <w:pStyle w:val="ListBullet"/>
      </w:pPr>
      <w:r>
        <w:t>Workflow rules configured</w:t>
      </w:r>
    </w:p>
    <w:p>
      <w:pPr>
        <w:pStyle w:val="ListBullet"/>
      </w:pPr>
      <w:r>
        <w:t>Hcp Relationship Management automation live in sandbox</w:t>
      </w:r>
    </w:p>
    <w:p>
      <w:pPr>
        <w:pStyle w:val="ListBullet"/>
      </w:pPr>
      <w:r>
        <w:t>Historical data migration started</w:t>
      </w:r>
    </w:p>
    <w:p>
      <w:pPr>
        <w:pStyle w:val="ListBullet"/>
      </w:pPr>
      <w:r>
        <w:t>Integration endpoints tested</w:t>
      </w:r>
    </w:p>
    <w:p>
      <w:pPr>
        <w:pStyle w:val="Heading2"/>
      </w:pPr>
      <w:r>
        <w:rPr>
          <w:color w:val="2F5496"/>
        </w:rPr>
        <w:t>Week 4–5 — UAT</w:t>
      </w:r>
    </w:p>
    <w:p>
      <w:pPr>
        <w:pStyle w:val="ListBullet"/>
      </w:pPr>
      <w:r>
        <w:t>User acceptance testing sessions</w:t>
      </w:r>
    </w:p>
    <w:p>
      <w:pPr>
        <w:pStyle w:val="ListBullet"/>
      </w:pPr>
      <w:r>
        <w:t>Bug log reviewed and resolved</w:t>
      </w:r>
    </w:p>
    <w:p>
      <w:pPr>
        <w:pStyle w:val="ListBullet"/>
      </w:pPr>
      <w:r>
        <w:t>Performance benchmarks confirmed</w:t>
      </w:r>
    </w:p>
    <w:p>
      <w:pPr>
        <w:pStyle w:val="ListBullet"/>
      </w:pPr>
      <w:r>
        <w:t>Go-live readiness assessment</w:t>
      </w:r>
    </w:p>
    <w:p>
      <w:pPr>
        <w:pStyle w:val="Heading2"/>
      </w:pPr>
      <w:r>
        <w:rPr>
          <w:color w:val="2F5496"/>
        </w:rPr>
        <w:t>Week 6 — Go-Live</w:t>
      </w:r>
    </w:p>
    <w:p>
      <w:pPr>
        <w:pStyle w:val="ListBullet"/>
      </w:pPr>
      <w:r>
        <w:t>Production deployment</w:t>
      </w:r>
    </w:p>
    <w:p>
      <w:pPr>
        <w:pStyle w:val="ListBullet"/>
      </w:pPr>
      <w:r>
        <w:t>DNS and SSO pointed to production</w:t>
      </w:r>
    </w:p>
    <w:p>
      <w:pPr>
        <w:pStyle w:val="ListBullet"/>
      </w:pPr>
      <w:r>
        <w:t>First-day hypercare call</w:t>
      </w:r>
    </w:p>
    <w:p>
      <w:pPr>
        <w:pStyle w:val="ListBullet"/>
      </w:pPr>
      <w:r>
        <w:t>Success metrics baseline captured</w:t>
      </w:r>
    </w:p>
    <w:p>
      <w:pPr>
        <w:pStyle w:val="Heading1"/>
      </w:pPr>
      <w:r>
        <w:rPr>
          <w:color w:val="1F3864"/>
        </w:rPr>
        <w:t>Reference Accounts</w:t>
      </w:r>
    </w:p>
    <w:p>
      <w:r>
        <w:t>The following accounts completed similar onboarding programmes in the past 12 months and serve as reference cases:</w:t>
      </w:r>
    </w:p>
    <w:p>
      <w:r>
        <w:t>Pinnacle Education Group (Education Technology, Atlanta, GA): Completed CRM Pro, Enrollment Pipeline Module deployment in 46 days. Contact: Dr. Samuel Adeyemi (s.adeyemi@pinnacledu.com). Key lesson: student lifecycle tracking configuration requires extra validation time — budget an additional sprint.</w:t>
      </w:r>
    </w:p>
    <w:p>
      <w:r>
        <w:t>Sterling Capital Bank (Financial Services, New York, NY): Completed CRM Enterprise, Compliance Module deployment in 67 days. Contact: Nathaniel Cross (n.cross@sterlingcapital.com). Key lesson: KYC automation configuration requires extra validation time — budget an additional sprint.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