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Implementation Onboarding Guide</w:t>
      </w:r>
    </w:p>
    <w:p>
      <w:r>
        <w:t>Ref: NTS-2026-8894-ZJ  |  Client: BlueSky Retail Group  |  CSM: Chen Li  |  Start: June 1, 2026</w:t>
      </w:r>
    </w:p>
    <w:p>
      <w:pPr>
        <w:pStyle w:val="Heading1"/>
      </w:pPr>
      <w:r>
        <w:rPr>
          <w:color w:val="1F3864"/>
        </w:rPr>
        <w:t>Client Overview</w:t>
      </w:r>
    </w:p>
    <w:p>
      <w:r>
        <w:t>BlueSky Retail Group is a Retail &amp; E-commerce organisation with 15,000 employees headquartered in Seattle, WA. This engagement covers CRM Pro, Customer Journey Analytics. Primary contact: Jessica Park (j.park@blueskyretail.com, +1-206-555-0617).</w:t>
      </w:r>
    </w:p>
    <w:p>
      <w:pPr>
        <w:pStyle w:val="Heading1"/>
      </w:pPr>
      <w:r>
        <w:rPr>
          <w:color w:val="1F3864"/>
        </w:rPr>
        <w:t>Onboarding Checklist</w:t>
      </w:r>
    </w:p>
    <w:p>
      <w:pPr>
        <w:pStyle w:val="Heading2"/>
      </w:pPr>
      <w:r>
        <w:rPr>
          <w:color w:val="2F5496"/>
        </w:rPr>
        <w:t>Week 1 — Kickoff</w:t>
      </w:r>
    </w:p>
    <w:p>
      <w:pPr>
        <w:pStyle w:val="ListBullet"/>
      </w:pPr>
      <w:r>
        <w:t>Stakeholder alignment call</w:t>
      </w:r>
    </w:p>
    <w:p>
      <w:pPr>
        <w:pStyle w:val="ListBullet"/>
      </w:pPr>
      <w:r>
        <w:t>Data audit initiation</w:t>
      </w:r>
    </w:p>
    <w:p>
      <w:pPr>
        <w:pStyle w:val="ListBullet"/>
      </w:pPr>
      <w:r>
        <w:t>SSO configuration</w:t>
      </w:r>
    </w:p>
    <w:p>
      <w:pPr>
        <w:pStyle w:val="ListBullet"/>
      </w:pPr>
      <w:r>
        <w:t>Sandbox environment provisioned</w:t>
      </w:r>
    </w:p>
    <w:p>
      <w:pPr>
        <w:pStyle w:val="ListBullet"/>
      </w:pPr>
      <w:r>
        <w:t>Admin training scheduled</w:t>
      </w:r>
    </w:p>
    <w:p>
      <w:pPr>
        <w:pStyle w:val="Heading2"/>
      </w:pPr>
      <w:r>
        <w:rPr>
          <w:color w:val="2F5496"/>
        </w:rPr>
        <w:t>Week 2–3 — Configuration</w:t>
      </w:r>
    </w:p>
    <w:p>
      <w:pPr>
        <w:pStyle w:val="ListBullet"/>
      </w:pPr>
      <w:r>
        <w:t>Custom fields built</w:t>
      </w:r>
    </w:p>
    <w:p>
      <w:pPr>
        <w:pStyle w:val="ListBullet"/>
      </w:pPr>
      <w:r>
        <w:t>Workflow rules configured</w:t>
      </w:r>
    </w:p>
    <w:p>
      <w:pPr>
        <w:pStyle w:val="ListBullet"/>
      </w:pPr>
      <w:r>
        <w:t>Churn Prediction automation live in sandbox</w:t>
      </w:r>
    </w:p>
    <w:p>
      <w:pPr>
        <w:pStyle w:val="ListBullet"/>
      </w:pPr>
      <w:r>
        <w:t>Historical data migration started</w:t>
      </w:r>
    </w:p>
    <w:p>
      <w:pPr>
        <w:pStyle w:val="ListBullet"/>
      </w:pPr>
      <w:r>
        <w:t>Integration endpoints tested</w:t>
      </w:r>
    </w:p>
    <w:p>
      <w:pPr>
        <w:pStyle w:val="Heading2"/>
      </w:pPr>
      <w:r>
        <w:rPr>
          <w:color w:val="2F5496"/>
        </w:rPr>
        <w:t>Week 4–5 — UAT</w:t>
      </w:r>
    </w:p>
    <w:p>
      <w:pPr>
        <w:pStyle w:val="ListBullet"/>
      </w:pPr>
      <w:r>
        <w:t>User acceptance testing sessions</w:t>
      </w:r>
    </w:p>
    <w:p>
      <w:pPr>
        <w:pStyle w:val="ListBullet"/>
      </w:pPr>
      <w:r>
        <w:t>Bug log reviewed and resolved</w:t>
      </w:r>
    </w:p>
    <w:p>
      <w:pPr>
        <w:pStyle w:val="ListBullet"/>
      </w:pPr>
      <w:r>
        <w:t>Performance benchmarks confirmed</w:t>
      </w:r>
    </w:p>
    <w:p>
      <w:pPr>
        <w:pStyle w:val="ListBullet"/>
      </w:pPr>
      <w:r>
        <w:t>Go-live readiness assessment</w:t>
      </w:r>
    </w:p>
    <w:p>
      <w:pPr>
        <w:pStyle w:val="Heading2"/>
      </w:pPr>
      <w:r>
        <w:rPr>
          <w:color w:val="2F5496"/>
        </w:rPr>
        <w:t>Week 6 — Go-Live</w:t>
      </w:r>
    </w:p>
    <w:p>
      <w:pPr>
        <w:pStyle w:val="ListBullet"/>
      </w:pPr>
      <w:r>
        <w:t>Production deployment</w:t>
      </w:r>
    </w:p>
    <w:p>
      <w:pPr>
        <w:pStyle w:val="ListBullet"/>
      </w:pPr>
      <w:r>
        <w:t>DNS and SSO pointed to production</w:t>
      </w:r>
    </w:p>
    <w:p>
      <w:pPr>
        <w:pStyle w:val="ListBullet"/>
      </w:pPr>
      <w:r>
        <w:t>First-day hypercare call</w:t>
      </w:r>
    </w:p>
    <w:p>
      <w:pPr>
        <w:pStyle w:val="ListBullet"/>
      </w:pPr>
      <w:r>
        <w:t>Success metrics baseline captured</w:t>
      </w:r>
    </w:p>
    <w:p>
      <w:pPr>
        <w:pStyle w:val="Heading1"/>
      </w:pPr>
      <w:r>
        <w:rPr>
          <w:color w:val="1F3864"/>
        </w:rPr>
        <w:t>Reference Accounts</w:t>
      </w:r>
    </w:p>
    <w:p>
      <w:r>
        <w:t>The following accounts completed similar onboarding programmes in the past 12 months and serve as reference cases:</w:t>
      </w:r>
    </w:p>
    <w:p>
      <w:r>
        <w:t>Nova Health Systems (Healthcare, Boston, MA): Completed CRM Enterprise, Patient Journey Module deployment in 75 days. Contact: Dr. Priya Nair (p.nair@novahealth.org). Key lesson: HIPAA compliance gaps configuration requires extra validation time — budget an additional sprint.</w:t>
      </w:r>
    </w:p>
    <w:p>
      <w:r>
        <w:t>Nexus Pharmaceuticals (Pharmaceuticals, San Diego, CA): Completed CRM Enterprise, Field Sales Module deployment in 47 days. Contact: Dr. Linda Zhao (l.zhao@nexuspharma.com). Key lesson: HCP relationship management configuration requires extra validation time — budget an additional sprint.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