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Weekly Account Review — Meeting Notes</w:t>
      </w:r>
    </w:p>
    <w:p>
      <w:r>
        <w:t>Ref: QBR-2025-7511  |  Date: Tuesday, May 26, 2026  |  Time: 9:00–11:00 AM PT</w:t>
      </w:r>
    </w:p>
    <w:p>
      <w:r>
        <w:t>Attendees: Sofia Marchetti, James Whitfield, Sarah Chen (VP Sales), David Kim (SE)</w:t>
      </w:r>
    </w:p>
    <w:p>
      <w:pPr>
        <w:pStyle w:val="Heading1"/>
      </w:pPr>
      <w:r>
        <w:rPr>
          <w:color w:val="1F3864"/>
        </w:rPr>
        <w:t>Meeting Objective</w:t>
      </w:r>
    </w:p>
    <w:p>
      <w:r>
        <w:t>Review pipeline status on three strategic accounts, align on action items, identify blockers, and confirm close plans for Q2.</w:t>
      </w:r>
    </w:p>
    <w:p>
      <w:pPr>
        <w:pStyle w:val="Heading1"/>
      </w:pPr>
      <w:r>
        <w:rPr>
          <w:color w:val="1F3864"/>
        </w:rPr>
        <w:t>Nova Health Systems — Account Update</w:t>
      </w:r>
    </w:p>
    <w:p>
      <w:r>
        <w:rPr>
          <w:b/>
        </w:rPr>
        <w:t xml:space="preserve">Deal Stage: </w:t>
      </w:r>
      <w:r>
        <w:t xml:space="preserve">Pilot  |  </w:t>
      </w:r>
      <w:r>
        <w:rPr>
          <w:b/>
        </w:rPr>
        <w:t xml:space="preserve">Value: </w:t>
      </w:r>
      <w:r>
        <w:t xml:space="preserve">$290,000  |  </w:t>
      </w:r>
      <w:r>
        <w:rPr>
          <w:b/>
        </w:rPr>
        <w:t xml:space="preserve">Owner: </w:t>
      </w:r>
      <w:r>
        <w:t>Sofia Marchetti</w:t>
      </w:r>
    </w:p>
    <w:p>
      <w:pPr>
        <w:pStyle w:val="Heading2"/>
      </w:pPr>
      <w:r>
        <w:rPr>
          <w:color w:val="2F5496"/>
        </w:rPr>
        <w:t>Current Status</w:t>
      </w:r>
    </w:p>
    <w:p>
      <w:r>
        <w:t>Sofia Marchetti provided an update on Nova Health Systems. The account is progressing through Pilot. Dr. Priya Nair (Chief Digital Officer) confirmed last week that internal stakeholders are aligned on moving forward. The legal team has reviewed 80% of the MSA. Key outstanding items: HIPAA compliance gaps use case confirmation and final pricing sign-off.</w:t>
      </w:r>
    </w:p>
    <w:p>
      <w:pPr>
        <w:pStyle w:val="Heading2"/>
      </w:pPr>
      <w:r>
        <w:rPr>
          <w:color w:val="2F5496"/>
        </w:rPr>
        <w:t>Risks</w:t>
      </w:r>
    </w:p>
    <w:p>
      <w:r>
        <w:t>Competitive risk: Epic is still in consideration. Sofia Marchetti to schedule a product differentiator call with Dr. Priya Nair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Dr. Priya Nair</w:t>
            </w:r>
          </w:p>
        </w:tc>
        <w:tc>
          <w:tcPr>
            <w:tcW w:type="dxa" w:w="3024"/>
          </w:tcPr>
          <w:p>
            <w:r>
              <w:t>May 23, 2026</w:t>
            </w:r>
          </w:p>
        </w:tc>
      </w:tr>
      <w:tr>
        <w:tc>
          <w:tcPr>
            <w:tcW w:type="dxa" w:w="3024"/>
          </w:tcPr>
          <w:p>
            <w:r>
              <w:t>David Kim</w:t>
            </w:r>
          </w:p>
        </w:tc>
        <w:tc>
          <w:tcPr>
            <w:tcW w:type="dxa" w:w="3024"/>
          </w:tcPr>
          <w:p>
            <w:r>
              <w:t>Deliver technical FAQ document for Nova Health Systems IT team</w:t>
            </w:r>
          </w:p>
        </w:tc>
        <w:tc>
          <w:tcPr>
            <w:tcW w:type="dxa" w:w="3024"/>
          </w:tcPr>
          <w:p>
            <w:r>
              <w:t>May 24, 2026</w:t>
            </w:r>
          </w:p>
        </w:tc>
      </w:tr>
      <w:tr>
        <w:tc>
          <w:tcPr>
            <w:tcW w:type="dxa" w:w="3024"/>
          </w:tcPr>
          <w:p>
            <w:r>
              <w:t>Sarah Chen</w:t>
            </w:r>
          </w:p>
        </w:tc>
        <w:tc>
          <w:tcPr>
            <w:tcW w:type="dxa" w:w="3024"/>
          </w:tcPr>
          <w:p>
            <w:r>
              <w:t>Executive sponsor call with Nova Health Systems CEO</w:t>
            </w:r>
          </w:p>
        </w:tc>
        <w:tc>
          <w:tcPr>
            <w:tcW w:type="dxa" w:w="3024"/>
          </w:tcPr>
          <w:p>
            <w:r>
              <w:t>May 27, 2026</w:t>
            </w:r>
          </w:p>
        </w:tc>
      </w:tr>
    </w:tbl>
    <w:p>
      <w:pPr>
        <w:pStyle w:val="Heading1"/>
      </w:pPr>
      <w:r>
        <w:rPr>
          <w:color w:val="1F3864"/>
        </w:rPr>
        <w:t>Pinnacle Education Group — Account Update</w:t>
      </w:r>
    </w:p>
    <w:p>
      <w:r>
        <w:rPr>
          <w:b/>
        </w:rPr>
        <w:t xml:space="preserve">Deal Stage: </w:t>
      </w:r>
      <w:r>
        <w:t xml:space="preserve">Negotiation  |  </w:t>
      </w:r>
      <w:r>
        <w:rPr>
          <w:b/>
        </w:rPr>
        <w:t xml:space="preserve">Value: </w:t>
      </w:r>
      <w:r>
        <w:t xml:space="preserve">$175,000  |  </w:t>
      </w:r>
      <w:r>
        <w:rPr>
          <w:b/>
        </w:rPr>
        <w:t xml:space="preserve">Owner: </w:t>
      </w:r>
      <w:r>
        <w:t>James Whitfield</w:t>
      </w:r>
    </w:p>
    <w:p>
      <w:pPr>
        <w:pStyle w:val="Heading2"/>
      </w:pPr>
      <w:r>
        <w:rPr>
          <w:color w:val="2F5496"/>
        </w:rPr>
        <w:t>Current Status</w:t>
      </w:r>
    </w:p>
    <w:p>
      <w:r>
        <w:t>James Whitfield provided an update on Pinnacle Education Group. The account is progressing through Negotiation. Dr. Samuel Adeyemi (VP of Partnerships) confirmed last week that internal stakeholders are aligned on moving forward. The legal team has reviewed 80% of the MSA. Key outstanding items: student lifecycle tracking use case confirmation and final pricing sign-off.</w:t>
      </w:r>
    </w:p>
    <w:p>
      <w:pPr>
        <w:pStyle w:val="Heading2"/>
      </w:pPr>
      <w:r>
        <w:rPr>
          <w:color w:val="2F5496"/>
        </w:rPr>
        <w:t>Risks</w:t>
      </w:r>
    </w:p>
    <w:p>
      <w:r>
        <w:t>Competitive risk: Slate is still in consideration. James Whitfield to schedule a product differentiator call with Dr. Samuel Adeyemi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James Whitfield</w:t>
            </w:r>
          </w:p>
        </w:tc>
        <w:tc>
          <w:tcPr>
            <w:tcW w:type="dxa" w:w="3024"/>
          </w:tcPr>
          <w:p>
            <w:r>
              <w:t>Send updated proposal to Dr. Samuel Adeyemi</w:t>
            </w:r>
          </w:p>
        </w:tc>
        <w:tc>
          <w:tcPr>
            <w:tcW w:type="dxa" w:w="3024"/>
          </w:tcPr>
          <w:p>
            <w:r>
              <w:t>May 23, 2026</w:t>
            </w:r>
          </w:p>
        </w:tc>
      </w:tr>
      <w:tr>
        <w:tc>
          <w:tcPr>
            <w:tcW w:type="dxa" w:w="3024"/>
          </w:tcPr>
          <w:p>
            <w:r>
              <w:t>David Kim</w:t>
            </w:r>
          </w:p>
        </w:tc>
        <w:tc>
          <w:tcPr>
            <w:tcW w:type="dxa" w:w="3024"/>
          </w:tcPr>
          <w:p>
            <w:r>
              <w:t>Deliver technical FAQ document for Pinnacle Education Group IT team</w:t>
            </w:r>
          </w:p>
        </w:tc>
        <w:tc>
          <w:tcPr>
            <w:tcW w:type="dxa" w:w="3024"/>
          </w:tcPr>
          <w:p>
            <w:r>
              <w:t>May 24, 2026</w:t>
            </w:r>
          </w:p>
        </w:tc>
      </w:tr>
      <w:tr>
        <w:tc>
          <w:tcPr>
            <w:tcW w:type="dxa" w:w="3024"/>
          </w:tcPr>
          <w:p>
            <w:r>
              <w:t>Sarah Chen</w:t>
            </w:r>
          </w:p>
        </w:tc>
        <w:tc>
          <w:tcPr>
            <w:tcW w:type="dxa" w:w="3024"/>
          </w:tcPr>
          <w:p>
            <w:r>
              <w:t>Executive sponsor call with Pinnacle Education Group CEO</w:t>
            </w:r>
          </w:p>
        </w:tc>
        <w:tc>
          <w:tcPr>
            <w:tcW w:type="dxa" w:w="3024"/>
          </w:tcPr>
          <w:p>
            <w:r>
              <w:t>May 27, 2026</w:t>
            </w:r>
          </w:p>
        </w:tc>
      </w:tr>
    </w:tbl>
    <w:p>
      <w:pPr>
        <w:pStyle w:val="Heading1"/>
      </w:pPr>
      <w:r>
        <w:rPr>
          <w:color w:val="1F3864"/>
        </w:rPr>
        <w:t>Acme Corporation — Account Update</w:t>
      </w:r>
    </w:p>
    <w:p>
      <w:r>
        <w:rPr>
          <w:b/>
        </w:rPr>
        <w:t xml:space="preserve">Deal Stage: </w:t>
      </w:r>
      <w:r>
        <w:t xml:space="preserve">Negotiation  |  </w:t>
      </w:r>
      <w:r>
        <w:rPr>
          <w:b/>
        </w:rPr>
        <w:t xml:space="preserve">Value: </w:t>
      </w:r>
      <w:r>
        <w:t xml:space="preserve">$840,000  |  </w:t>
      </w:r>
      <w:r>
        <w:rPr>
          <w:b/>
        </w:rPr>
        <w:t xml:space="preserve">Owner: </w:t>
      </w:r>
      <w:r>
        <w:t>James Whitfield</w:t>
      </w:r>
    </w:p>
    <w:p>
      <w:pPr>
        <w:pStyle w:val="Heading2"/>
      </w:pPr>
      <w:r>
        <w:rPr>
          <w:color w:val="2F5496"/>
        </w:rPr>
        <w:t>Current Status</w:t>
      </w:r>
    </w:p>
    <w:p>
      <w:r>
        <w:t>James Whitfield provided an update on Acme Corporation. The account is progressing through Negotiation. Rachel Torres (VP of Operations) confirmed last week that internal stakeholders are aligned on moving forward. The legal team has reviewed 80% of the MSA. Key outstanding items: manual data entry use case confirmation and final pricing sign-off.</w:t>
      </w:r>
    </w:p>
    <w:p>
      <w:pPr>
        <w:pStyle w:val="Heading2"/>
      </w:pPr>
      <w:r>
        <w:rPr>
          <w:color w:val="2F5496"/>
        </w:rPr>
        <w:t>Risks</w:t>
      </w:r>
    </w:p>
    <w:p>
      <w:r>
        <w:t>Competitive risk: Salesforce is still in consideration. James Whitfield to schedule a product differentiator call with Rachel Torres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James Whitfield</w:t>
            </w:r>
          </w:p>
        </w:tc>
        <w:tc>
          <w:tcPr>
            <w:tcW w:type="dxa" w:w="3024"/>
          </w:tcPr>
          <w:p>
            <w:r>
              <w:t>Send updated proposal to Rachel Torres</w:t>
            </w:r>
          </w:p>
        </w:tc>
        <w:tc>
          <w:tcPr>
            <w:tcW w:type="dxa" w:w="3024"/>
          </w:tcPr>
          <w:p>
            <w:r>
              <w:t>May 23, 2026</w:t>
            </w:r>
          </w:p>
        </w:tc>
      </w:tr>
      <w:tr>
        <w:tc>
          <w:tcPr>
            <w:tcW w:type="dxa" w:w="3024"/>
          </w:tcPr>
          <w:p>
            <w:r>
              <w:t>David Kim</w:t>
            </w:r>
          </w:p>
        </w:tc>
        <w:tc>
          <w:tcPr>
            <w:tcW w:type="dxa" w:w="3024"/>
          </w:tcPr>
          <w:p>
            <w:r>
              <w:t>Deliver technical FAQ document for Acme Corporation IT team</w:t>
            </w:r>
          </w:p>
        </w:tc>
        <w:tc>
          <w:tcPr>
            <w:tcW w:type="dxa" w:w="3024"/>
          </w:tcPr>
          <w:p>
            <w:r>
              <w:t>May 24, 2026</w:t>
            </w:r>
          </w:p>
        </w:tc>
      </w:tr>
      <w:tr>
        <w:tc>
          <w:tcPr>
            <w:tcW w:type="dxa" w:w="3024"/>
          </w:tcPr>
          <w:p>
            <w:r>
              <w:t>Sarah Chen</w:t>
            </w:r>
          </w:p>
        </w:tc>
        <w:tc>
          <w:tcPr>
            <w:tcW w:type="dxa" w:w="3024"/>
          </w:tcPr>
          <w:p>
            <w:r>
              <w:t>Executive sponsor call with Acme Corporation CEO</w:t>
            </w:r>
          </w:p>
        </w:tc>
        <w:tc>
          <w:tcPr>
            <w:tcW w:type="dxa" w:w="3024"/>
          </w:tcPr>
          <w:p>
            <w:r>
              <w:t>May 27, 2026</w:t>
            </w:r>
          </w:p>
        </w:tc>
      </w:tr>
    </w:tbl>
    <w:p>
      <w:pPr>
        <w:pStyle w:val="Heading1"/>
      </w:pPr>
      <w:r>
        <w:rPr>
          <w:color w:val="1F3864"/>
        </w:rPr>
        <w:t>Cross-Account Themes</w:t>
      </w:r>
    </w:p>
    <w:p>
      <w:r>
        <w:t>All three accounts are experiencing similar patterns: strong champion engagement at the VP level, procurement friction delaying close, and competitive pressure from incumbent vendors. Recommendation: create a standard procurement objection handling playbook and share with all AEs.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