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QBR-2025-9850  |  Period: H2 2026  |  Prepared: May 26, 2026</w:t>
      </w:r>
    </w:p>
    <w:p>
      <w:pPr>
        <w:pStyle w:val="Heading1"/>
      </w:pPr>
      <w:r>
        <w:rPr>
          <w:color w:val="1F3864"/>
        </w:rPr>
        <w:t>Strategic Plan — Nova Health Systems</w:t>
      </w:r>
    </w:p>
    <w:p>
      <w:r>
        <w:t>Account: Nova Health Systems  |  Industry: Healthcare  |  HQ: Boston, MA  |  Revenue: $1.8B  |  Employees: 6,500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Nova Health Systems into a platinum account by Q4 2026. Target expansion revenue: $290,000 additional ACV through Patient Journey Module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Priya Nair (Chief Digital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Epic from HIPAA compliance gaps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Acme Corporation</w:t>
      </w:r>
    </w:p>
    <w:p>
      <w:r>
        <w:t>Account: Acme Corporation  |  Industry: Manufacturing  |  HQ: Chicago, IL  |  Revenue: $4.2B  |  Employees: 12,000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Acme Corporation into a platinum account by Q4 2026. Target expansion revenue: $840,000 additional ACV through API Access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Rachel Torres (VP of Operations).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Salesforce from manual data entry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