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Weekly Account Review — Meeting Notes</w:t>
      </w:r>
    </w:p>
    <w:p>
      <w:r>
        <w:t>Ref: REV-2025-8110-DY  |  Date: Tuesday, May 26, 2026  |  Time: 9:00–11:00 AM PT</w:t>
      </w:r>
    </w:p>
    <w:p>
      <w:r>
        <w:t>Attendees: Sofia Marchetti, Chen Li, Sarah Chen (VP Sales), David Kim (SE)</w:t>
      </w:r>
    </w:p>
    <w:p>
      <w:pPr>
        <w:pStyle w:val="Heading1"/>
      </w:pPr>
      <w:r>
        <w:rPr>
          <w:color w:val="1F3864"/>
        </w:rPr>
        <w:t>Meeting Objective</w:t>
      </w:r>
    </w:p>
    <w:p>
      <w:r>
        <w:t>Review pipeline status on three strategic accounts, align on action items, identify blockers, and confirm close plans for Q2.</w:t>
      </w:r>
    </w:p>
    <w:p>
      <w:pPr>
        <w:pStyle w:val="Heading1"/>
      </w:pPr>
      <w:r>
        <w:rPr>
          <w:color w:val="1F3864"/>
        </w:rPr>
        <w:t>Nova Health Systems — Account Update</w:t>
      </w:r>
    </w:p>
    <w:p>
      <w:r>
        <w:rPr>
          <w:b/>
        </w:rPr>
        <w:t xml:space="preserve">Deal Stage: </w:t>
      </w:r>
      <w:r>
        <w:t xml:space="preserve">Pilot  |  </w:t>
      </w:r>
      <w:r>
        <w:rPr>
          <w:b/>
        </w:rPr>
        <w:t xml:space="preserve">Value: </w:t>
      </w:r>
      <w:r>
        <w:t xml:space="preserve">$290,000  |  </w:t>
      </w:r>
      <w:r>
        <w:rPr>
          <w:b/>
        </w:rPr>
        <w:t xml:space="preserve">Owner: </w:t>
      </w:r>
      <w:r>
        <w:t>Sofia Marchetti</w:t>
      </w:r>
    </w:p>
    <w:p>
      <w:pPr>
        <w:pStyle w:val="Heading2"/>
      </w:pPr>
      <w:r>
        <w:rPr>
          <w:color w:val="2F5496"/>
        </w:rPr>
        <w:t>Current Status</w:t>
      </w:r>
    </w:p>
    <w:p>
      <w:r>
        <w:t>Sofia Marchetti provided an update on Nova Health Systems. The account is progressing through Pilot. Dr. Priya Nair (Chief Digital Officer) confirmed last week that internal stakeholders are aligned on moving forward. The legal team has reviewed 80% of the MSA. Key outstanding items: HIPAA compliance gaps use case confirmation and final pricing sign-off.</w:t>
      </w:r>
    </w:p>
    <w:p>
      <w:pPr>
        <w:pStyle w:val="Heading2"/>
      </w:pPr>
      <w:r>
        <w:rPr>
          <w:color w:val="2F5496"/>
        </w:rPr>
        <w:t>Risks</w:t>
      </w:r>
    </w:p>
    <w:p>
      <w:r>
        <w:t>Competitive risk: Epic is still in consideration. Sofia Marchetti to schedule a product differentiator call with Dr. Priya Nair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Sofia Marchetti</w:t>
            </w:r>
          </w:p>
        </w:tc>
        <w:tc>
          <w:tcPr>
            <w:tcW w:type="dxa" w:w="3024"/>
          </w:tcPr>
          <w:p>
            <w:r>
              <w:t>Send updated proposal to Dr. Priya Nair</w:t>
            </w:r>
          </w:p>
        </w:tc>
        <w:tc>
          <w:tcPr>
            <w:tcW w:type="dxa" w:w="3024"/>
          </w:tcPr>
          <w:p>
            <w:r>
              <w:t>May 23, 2026</w:t>
            </w:r>
          </w:p>
        </w:tc>
      </w:tr>
      <w:tr>
        <w:tc>
          <w:tcPr>
            <w:tcW w:type="dxa" w:w="3024"/>
          </w:tcPr>
          <w:p>
            <w:r>
              <w:t>David Kim</w:t>
            </w:r>
          </w:p>
        </w:tc>
        <w:tc>
          <w:tcPr>
            <w:tcW w:type="dxa" w:w="3024"/>
          </w:tcPr>
          <w:p>
            <w:r>
              <w:t>Deliver technical FAQ document for Nova Health Systems IT team</w:t>
            </w:r>
          </w:p>
        </w:tc>
        <w:tc>
          <w:tcPr>
            <w:tcW w:type="dxa" w:w="3024"/>
          </w:tcPr>
          <w:p>
            <w:r>
              <w:t>May 24, 2026</w:t>
            </w:r>
          </w:p>
        </w:tc>
      </w:tr>
      <w:tr>
        <w:tc>
          <w:tcPr>
            <w:tcW w:type="dxa" w:w="3024"/>
          </w:tcPr>
          <w:p>
            <w:r>
              <w:t>Sarah Chen</w:t>
            </w:r>
          </w:p>
        </w:tc>
        <w:tc>
          <w:tcPr>
            <w:tcW w:type="dxa" w:w="3024"/>
          </w:tcPr>
          <w:p>
            <w:r>
              <w:t>Executive sponsor call with Nova Health Systems CEO</w:t>
            </w:r>
          </w:p>
        </w:tc>
        <w:tc>
          <w:tcPr>
            <w:tcW w:type="dxa" w:w="3024"/>
          </w:tcPr>
          <w:p>
            <w:r>
              <w:t>May 27, 2026</w:t>
            </w:r>
          </w:p>
        </w:tc>
      </w:tr>
    </w:tbl>
    <w:p>
      <w:pPr>
        <w:pStyle w:val="Heading1"/>
      </w:pPr>
      <w:r>
        <w:rPr>
          <w:color w:val="1F3864"/>
        </w:rPr>
        <w:t>Nexus Pharmaceuticals — Account Update</w:t>
      </w:r>
    </w:p>
    <w:p>
      <w:r>
        <w:rPr>
          <w:b/>
        </w:rPr>
        <w:t xml:space="preserve">Deal Stage: </w:t>
      </w:r>
      <w:r>
        <w:t xml:space="preserve">Pilot  |  </w:t>
      </w:r>
      <w:r>
        <w:rPr>
          <w:b/>
        </w:rPr>
        <w:t xml:space="preserve">Value: </w:t>
      </w:r>
      <w:r>
        <w:t xml:space="preserve">$630,000  |  </w:t>
      </w:r>
      <w:r>
        <w:rPr>
          <w:b/>
        </w:rPr>
        <w:t xml:space="preserve">Owner: </w:t>
      </w:r>
      <w:r>
        <w:t>Sofia Marchetti</w:t>
      </w:r>
    </w:p>
    <w:p>
      <w:pPr>
        <w:pStyle w:val="Heading2"/>
      </w:pPr>
      <w:r>
        <w:rPr>
          <w:color w:val="2F5496"/>
        </w:rPr>
        <w:t>Current Status</w:t>
      </w:r>
    </w:p>
    <w:p>
      <w:r>
        <w:t>Sofia Marchetti provided an update on Nexus Pharmaceuticals. The account is progressing through Pilot. Dr. Linda Zhao (Director of Commercial Operations) confirmed last week that internal stakeholders are aligned on moving forward. The legal team has reviewed 80% of the MSA. Key outstanding items: HCP relationship management use case confirmation and final pricing sign-off.</w:t>
      </w:r>
    </w:p>
    <w:p>
      <w:pPr>
        <w:pStyle w:val="Heading2"/>
      </w:pPr>
      <w:r>
        <w:rPr>
          <w:color w:val="2F5496"/>
        </w:rPr>
        <w:t>Risks</w:t>
      </w:r>
    </w:p>
    <w:p>
      <w:r>
        <w:t>Competitive risk: Veeva CRM is still in consideration. Sofia Marchetti to schedule a product differentiator call with Dr. Linda Zhao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Sofia Marchetti</w:t>
            </w:r>
          </w:p>
        </w:tc>
        <w:tc>
          <w:tcPr>
            <w:tcW w:type="dxa" w:w="3024"/>
          </w:tcPr>
          <w:p>
            <w:r>
              <w:t>Send updated proposal to Dr. Linda Zhao</w:t>
            </w:r>
          </w:p>
        </w:tc>
        <w:tc>
          <w:tcPr>
            <w:tcW w:type="dxa" w:w="3024"/>
          </w:tcPr>
          <w:p>
            <w:r>
              <w:t>May 23, 2026</w:t>
            </w:r>
          </w:p>
        </w:tc>
      </w:tr>
      <w:tr>
        <w:tc>
          <w:tcPr>
            <w:tcW w:type="dxa" w:w="3024"/>
          </w:tcPr>
          <w:p>
            <w:r>
              <w:t>David Kim</w:t>
            </w:r>
          </w:p>
        </w:tc>
        <w:tc>
          <w:tcPr>
            <w:tcW w:type="dxa" w:w="3024"/>
          </w:tcPr>
          <w:p>
            <w:r>
              <w:t>Deliver technical FAQ document for Nexus Pharmaceuticals IT team</w:t>
            </w:r>
          </w:p>
        </w:tc>
        <w:tc>
          <w:tcPr>
            <w:tcW w:type="dxa" w:w="3024"/>
          </w:tcPr>
          <w:p>
            <w:r>
              <w:t>May 24, 2026</w:t>
            </w:r>
          </w:p>
        </w:tc>
      </w:tr>
      <w:tr>
        <w:tc>
          <w:tcPr>
            <w:tcW w:type="dxa" w:w="3024"/>
          </w:tcPr>
          <w:p>
            <w:r>
              <w:t>Sarah Chen</w:t>
            </w:r>
          </w:p>
        </w:tc>
        <w:tc>
          <w:tcPr>
            <w:tcW w:type="dxa" w:w="3024"/>
          </w:tcPr>
          <w:p>
            <w:r>
              <w:t>Executive sponsor call with Nexus Pharmaceuticals CEO</w:t>
            </w:r>
          </w:p>
        </w:tc>
        <w:tc>
          <w:tcPr>
            <w:tcW w:type="dxa" w:w="3024"/>
          </w:tcPr>
          <w:p>
            <w:r>
              <w:t>May 27, 2026</w:t>
            </w:r>
          </w:p>
        </w:tc>
      </w:tr>
    </w:tbl>
    <w:p>
      <w:pPr>
        <w:pStyle w:val="Heading1"/>
      </w:pPr>
      <w:r>
        <w:rPr>
          <w:color w:val="1F3864"/>
        </w:rPr>
        <w:t>Titan Logistics Group — Account Update</w:t>
      </w:r>
    </w:p>
    <w:p>
      <w:r>
        <w:rPr>
          <w:b/>
        </w:rPr>
        <w:t xml:space="preserve">Deal Stage: </w:t>
      </w:r>
      <w:r>
        <w:t xml:space="preserve">Closed Won  |  </w:t>
      </w:r>
      <w:r>
        <w:rPr>
          <w:b/>
        </w:rPr>
        <w:t xml:space="preserve">Value: </w:t>
      </w:r>
      <w:r>
        <w:t xml:space="preserve">$1,100,000  |  </w:t>
      </w:r>
      <w:r>
        <w:rPr>
          <w:b/>
        </w:rPr>
        <w:t xml:space="preserve">Owner: </w:t>
      </w:r>
      <w:r>
        <w:t>Chen Li</w:t>
      </w:r>
    </w:p>
    <w:p>
      <w:pPr>
        <w:pStyle w:val="Heading2"/>
      </w:pPr>
      <w:r>
        <w:rPr>
          <w:color w:val="2F5496"/>
        </w:rPr>
        <w:t>Current Status</w:t>
      </w:r>
    </w:p>
    <w:p>
      <w:r>
        <w:t>Chen Li provided an update on Titan Logistics Group. The account is progressing through Closed Won. Marcus Webb (Director of Technology) confirmed last week that internal stakeholders are aligned on moving forward. The legal team has reviewed 80% of the MSA. Key outstanding items: last-mile visibility use case confirmation and final pricing sign-off.</w:t>
      </w:r>
    </w:p>
    <w:p>
      <w:pPr>
        <w:pStyle w:val="Heading2"/>
      </w:pPr>
      <w:r>
        <w:rPr>
          <w:color w:val="2F5496"/>
        </w:rPr>
        <w:t>Risks</w:t>
      </w:r>
    </w:p>
    <w:p>
      <w:r>
        <w:t>Competitive risk: Oracle TMS is still in consideration. Chen Li to schedule a product differentiator call with Marcus Webb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Chen Li</w:t>
            </w:r>
          </w:p>
        </w:tc>
        <w:tc>
          <w:tcPr>
            <w:tcW w:type="dxa" w:w="3024"/>
          </w:tcPr>
          <w:p>
            <w:r>
              <w:t>Send updated proposal to Marcus Webb</w:t>
            </w:r>
          </w:p>
        </w:tc>
        <w:tc>
          <w:tcPr>
            <w:tcW w:type="dxa" w:w="3024"/>
          </w:tcPr>
          <w:p>
            <w:r>
              <w:t>May 23, 2026</w:t>
            </w:r>
          </w:p>
        </w:tc>
      </w:tr>
      <w:tr>
        <w:tc>
          <w:tcPr>
            <w:tcW w:type="dxa" w:w="3024"/>
          </w:tcPr>
          <w:p>
            <w:r>
              <w:t>David Kim</w:t>
            </w:r>
          </w:p>
        </w:tc>
        <w:tc>
          <w:tcPr>
            <w:tcW w:type="dxa" w:w="3024"/>
          </w:tcPr>
          <w:p>
            <w:r>
              <w:t>Deliver technical FAQ document for Titan Logistics Group IT team</w:t>
            </w:r>
          </w:p>
        </w:tc>
        <w:tc>
          <w:tcPr>
            <w:tcW w:type="dxa" w:w="3024"/>
          </w:tcPr>
          <w:p>
            <w:r>
              <w:t>May 24, 2026</w:t>
            </w:r>
          </w:p>
        </w:tc>
      </w:tr>
      <w:tr>
        <w:tc>
          <w:tcPr>
            <w:tcW w:type="dxa" w:w="3024"/>
          </w:tcPr>
          <w:p>
            <w:r>
              <w:t>Sarah Chen</w:t>
            </w:r>
          </w:p>
        </w:tc>
        <w:tc>
          <w:tcPr>
            <w:tcW w:type="dxa" w:w="3024"/>
          </w:tcPr>
          <w:p>
            <w:r>
              <w:t>Executive sponsor call with Titan Logistics Group CEO</w:t>
            </w:r>
          </w:p>
        </w:tc>
        <w:tc>
          <w:tcPr>
            <w:tcW w:type="dxa" w:w="3024"/>
          </w:tcPr>
          <w:p>
            <w:r>
              <w:t>May 27, 2026</w:t>
            </w:r>
          </w:p>
        </w:tc>
      </w:tr>
    </w:tbl>
    <w:p>
      <w:pPr>
        <w:pStyle w:val="Heading1"/>
      </w:pPr>
      <w:r>
        <w:rPr>
          <w:color w:val="1F3864"/>
        </w:rPr>
        <w:t>Cross-Account Themes</w:t>
      </w:r>
    </w:p>
    <w:p>
      <w:r>
        <w:t>All three accounts are experiencing similar patterns: strong champion engagement at the VP level, procurement friction delaying close, and competitive pressure from incumbent vendors. Recommendation: create a standard procurement objection handling playbook and share with all AEs.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