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RPT-2026-5520  |  Period: H2 2026  |  Prepared: May 26, 2026</w:t>
      </w:r>
    </w:p>
    <w:p>
      <w:pPr>
        <w:pStyle w:val="Heading1"/>
      </w:pPr>
      <w:r>
        <w:rPr>
          <w:color w:val="1F3864"/>
        </w:rPr>
        <w:t>Strategic Plan — Nova Health Systems</w:t>
      </w:r>
    </w:p>
    <w:p>
      <w:r>
        <w:t>Account: Nova Health Systems  |  Industry: Healthcare  |  HQ: Boston, MA  |  Revenue: $1.8B  |  Employees: 6,500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Nova Health Systems into a flagship account by Q4 2026. Target expansion revenue: $290,000 additional ACV through Patient Journey Module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Dr. Priya Nair (Chief Digital Officer).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Epic from HIPAA compliance gaps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Greenfield Energy Partners</w:t>
      </w:r>
    </w:p>
    <w:p>
      <w:r>
        <w:t>Account: Greenfield Energy Partners  |  Industry: Renewable Energy  |  HQ: Austin, TX  |  Revenue: $920M  |  Employees: 3,100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Greenfield Energy Partners into a flagship account by Q4 2026. Target expansion revenue: $415,000 additional ACV through Project Pipeline Tracker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Amara Osei (Head of Business Development).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Salesforce Energy Cloud from investor reporting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