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STR-2025-1710-XZ  |  Period: H2 2026  |  Prepared: May 26, 2026</w:t>
      </w:r>
    </w:p>
    <w:p>
      <w:pPr>
        <w:pStyle w:val="Heading1"/>
      </w:pPr>
      <w:r>
        <w:rPr>
          <w:color w:val="1F3864"/>
        </w:rPr>
        <w:t>Strategic Plan — Atlas Construction &amp; Engineering</w:t>
      </w:r>
    </w:p>
    <w:p>
      <w:r>
        <w:t>Account: Atlas Construction &amp; Engineering  |  Industry: Construction  |  HQ: Denver, CO  |  Revenue: $1.3B  |  Employees: 4,600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Atlas Construction &amp; Engineering into a strategic account by Q4 2026. Target expansion revenue: $780,000 additional ACV through Subcontractor Portal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Robert Okafor (COO).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Procore from bid management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Sterling Capital Bank</w:t>
      </w:r>
    </w:p>
    <w:p>
      <w:r>
        <w:t>Account: Sterling Capital Bank  |  Industry: Financial Services  |  HQ: New York, NY  |  Revenue: $6.1B  |  Employees: 22,000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Sterling Capital Bank into a flagship account by Q4 2026. Target expansion revenue: $2,300,000 additional ACV through AI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Nathaniel Cross (SVP Technology).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Microsoft Dynamics from KYC automation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