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TKT-2026-1132-SV  |  Period: H2 2026  |  Prepared: May 26, 2026</w:t>
      </w:r>
    </w:p>
    <w:p>
      <w:pPr>
        <w:pStyle w:val="Heading1"/>
      </w:pPr>
      <w:r>
        <w:rPr>
          <w:color w:val="1F3864"/>
        </w:rPr>
        <w:t>Strategic Plan — Acme Corporation</w:t>
      </w:r>
    </w:p>
    <w:p>
      <w:r>
        <w:t>Account: Acme Corporation  |  Industry: Manufacturing  |  HQ: Chicago, IL  |  Revenue: $4.2B  |  Employees: 12,000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Acme Corporation into a strategic account by Q4 2026. Target expansion revenue: $840,000 additional ACV through API Access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Rachel Torres (VP of Operations).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Salesforce from manual data entry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Nexus Pharmaceuticals</w:t>
      </w:r>
    </w:p>
    <w:p>
      <w:r>
        <w:t>Account: Nexus Pharmaceuticals  |  Industry: Pharmaceuticals  |  HQ: San Diego, CA  |  Revenue: $2.1B  |  Employees: 7,800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Nexus Pharmaceuticals into a platinum account by Q4 2026. Target expansion revenue: $630,000 additional ACV through Compliance Tracker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Dr. Linda Zhao (Director of Commercial Operations).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Veeva CRM from HCP relationship management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