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Strategic Account Plan</w:t>
      </w:r>
    </w:p>
    <w:p>
      <w:r>
        <w:t>Document: TKT-2026-8433  |  Period: H2 2026  |  Prepared: May 26, 2026</w:t>
      </w:r>
    </w:p>
    <w:p>
      <w:pPr>
        <w:pStyle w:val="Heading1"/>
      </w:pPr>
      <w:r>
        <w:rPr>
          <w:color w:val="1F3864"/>
        </w:rPr>
        <w:t>Strategic Plan — Nova Health Systems</w:t>
      </w:r>
    </w:p>
    <w:p>
      <w:r>
        <w:t>Account: Nova Health Systems  |  Industry: Healthcare  |  HQ: Boston, MA  |  Revenue: $1.8B  |  Employees: 6,500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Nova Health Systems into a flagship account by Q4 2026. Target expansion revenue: $290,000 additional ACV through Patient Journey Module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Dr. Priya Nair (Chief Digital Officer).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Epic from HIPAA compliance gaps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p>
      <w:pPr>
        <w:pStyle w:val="Heading1"/>
      </w:pPr>
      <w:r>
        <w:rPr>
          <w:color w:val="1F3864"/>
        </w:rPr>
        <w:t>Strategic Plan — Meridian Technology Solutions</w:t>
      </w:r>
    </w:p>
    <w:p>
      <w:r>
        <w:t>Account: Meridian Technology Solutions  |  Industry: Software &amp; SaaS  |  HQ: San Francisco, CA  |  Revenue: $750M  |  Employees: 2,900</w:t>
      </w:r>
    </w:p>
    <w:p>
      <w:pPr>
        <w:pStyle w:val="Heading2"/>
      </w:pPr>
      <w:r>
        <w:rPr>
          <w:color w:val="2F5496"/>
        </w:rPr>
        <w:t>Account Vision</w:t>
      </w:r>
    </w:p>
    <w:p>
      <w:r>
        <w:t>Grow Meridian Technology Solutions into a flagship account by Q4 2026. Target expansion revenue: $320,000 additional ACV through Webhooks Module adoption and seat expansion.</w:t>
      </w:r>
    </w:p>
    <w:p>
      <w:pPr>
        <w:pStyle w:val="Heading2"/>
      </w:pPr>
      <w:r>
        <w:rPr>
          <w:color w:val="2F5496"/>
        </w:rPr>
        <w:t>Key Relationships</w:t>
      </w:r>
    </w:p>
    <w:p>
      <w:r>
        <w:t>Executive sponsor: Anika Sharma (CTO). Additional stakeholders identified: IT Director, CFO, Head of Procurement. Relationship health: Strong at VP level, developing at C-suite.</w:t>
      </w:r>
    </w:p>
    <w:p>
      <w:pPr>
        <w:pStyle w:val="Heading2"/>
      </w:pPr>
      <w:r>
        <w:rPr>
          <w:color w:val="2F5496"/>
        </w:rPr>
        <w:t>Competitive Strategy</w:t>
      </w:r>
    </w:p>
    <w:p>
      <w:r>
        <w:t>Displace Segment from API rate limits workflow. Position MasterCRM on total cost of ownership, faster implementation, and dedicated support. Avoid direct price competition — focus on business value and ROI.</w:t>
      </w:r>
    </w:p>
    <w:p>
      <w:pPr>
        <w:pStyle w:val="Heading2"/>
      </w:pPr>
      <w:r>
        <w:rPr>
          <w:color w:val="2F5496"/>
        </w:rPr>
        <w:t>Success Metrics</w:t>
      </w:r>
    </w:p>
    <w:p>
      <w:r>
        <w:t>Seat utilization above 85% within 90 days of go-live. NPS above 50 by Q3 2026. Renewal probability: 90%+. Expansion target: +30% ACV in Year 2.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