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nishit1@yopmail.com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