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668" w:rsidP="00FB5668" w:rsidRDefault="00247DBA" w14:paraId="7FC09B68" w14:textId="303C2909">
      <w:pPr>
        <w:pStyle w:val="Letterhead"/>
      </w:pPr>
      <w:r>
        <w:t xml:space="preserve"> </w:t>
      </w:r>
    </w:p>
    <w:p w:rsidR="00FB5668" w:rsidP="00FB5668" w:rsidRDefault="00F02386" w14:paraId="1B16EB35" w14:textId="600351A9">
      <w:pPr>
        <w:pStyle w:val="AddressLine"/>
      </w:pPr>
      <w:bookmarkStart w:name="_Hlk100431976" w:id="0"/>
      <w:r>
        <w:t>${consultant_name}</w:t>
      </w:r>
    </w:p>
    <w:bookmarkEnd w:id="0"/>
    <w:p w:rsidR="00FB5668" w:rsidP="00FB5668" w:rsidRDefault="00F02386" w14:paraId="5949FEA2" w14:textId="499DDB94">
      <w:pPr>
        <w:pStyle w:val="AddressLine"/>
      </w:pPr>
      <w:r>
        <w:t>${consultant_address}</w:t>
      </w:r>
    </w:p>
    <w:p w:rsidR="00FB5668" w:rsidP="00FB5668" w:rsidRDefault="00F02386" w14:paraId="06BA7767" w14:textId="72D13464">
      <w:pPr>
        <w:pStyle w:val="Date"/>
      </w:pPr>
      <w:r>
        <w:t>${date_of_contract}</w:t>
      </w:r>
    </w:p>
    <w:p w:rsidR="00F02386" w:rsidP="00F02386" w:rsidRDefault="00FB5668" w14:paraId="1EAF87F2" w14:textId="1AB9C6C0">
      <w:pPr>
        <w:pStyle w:val="SalutationPara"/>
      </w:pPr>
      <w:r>
        <w:t xml:space="preserve">Dear </w:t>
      </w:r>
      <w:r w:rsidR="00F02386">
        <w:t>${consultant_name}</w:t>
      </w:r>
    </w:p>
    <w:p w:rsidRPr="00F02386" w:rsidR="00F02386" w:rsidP="00F02386" w:rsidRDefault="00F02386" w14:paraId="10D4BFA8" w14:textId="77777777">
      <w:pPr>
        <w:pStyle w:val="Paragraph"/>
        <w:rPr>
          <w:rFonts w:eastAsia="Arial"/>
        </w:rPr>
      </w:pPr>
    </w:p>
    <w:p w:rsidR="00FB5668" w:rsidP="00FB5668" w:rsidRDefault="00FB5668" w14:paraId="5E651876" w14:textId="77777777">
      <w:pPr>
        <w:pStyle w:val="LetterTitle"/>
      </w:pPr>
      <w:r>
        <w:t>Consultancy agreement</w:t>
      </w:r>
    </w:p>
    <w:p w:rsidR="00FB5668" w:rsidP="00FB5668" w:rsidRDefault="00FB5668" w14:paraId="67686246" w14:textId="33BCCF09">
      <w:pPr>
        <w:pStyle w:val="Paragraph"/>
      </w:pPr>
      <w:r>
        <w:t xml:space="preserve">I am writing to confirm the terms of our agreement concerning the provision of your consultancy services to </w:t>
      </w:r>
      <w:bookmarkStart w:name="_Hlk100432390" w:id="1"/>
      <w:r w:rsidR="00F02386">
        <w:t>${company_name}</w:t>
      </w:r>
      <w:r>
        <w:t xml:space="preserve"> </w:t>
      </w:r>
      <w:bookmarkEnd w:id="1"/>
      <w:r>
        <w:t>(</w:t>
      </w:r>
      <w:r>
        <w:rPr>
          <w:rStyle w:val="DefTerm"/>
        </w:rPr>
        <w:t>Client</w:t>
      </w:r>
      <w:r>
        <w:t xml:space="preserve">). In this letter, I refer to the Client as 'us', 'our' and 'we'. </w:t>
      </w:r>
    </w:p>
    <w:p w:rsidR="00FB5668" w:rsidP="00FB5668" w:rsidRDefault="00FB5668" w14:paraId="49B94B01" w14:textId="77777777">
      <w:pPr>
        <w:pStyle w:val="TitleClause"/>
      </w:pPr>
      <w:bookmarkStart w:name="a178779" w:id="2"/>
      <w:r>
        <w:t>Term</w:t>
      </w:r>
      <w:bookmarkEnd w:id="2"/>
    </w:p>
    <w:p w:rsidR="00FB5668" w:rsidP="00FB5668" w:rsidRDefault="00FB5668" w14:paraId="647F41F9" w14:textId="2B2FD2E1">
      <w:pPr>
        <w:pStyle w:val="NoNumUntitledsubclause1"/>
      </w:pPr>
      <w:bookmarkStart w:name="a95920" w:id="3"/>
      <w:r>
        <w:t xml:space="preserve">You shall provide your services to us from </w:t>
      </w:r>
      <w:r w:rsidR="00F02386">
        <w:t>${effective_date}</w:t>
      </w:r>
      <w:r>
        <w:t xml:space="preserve"> unless and until this </w:t>
      </w:r>
      <w:r w:rsidR="00CC1ABE">
        <w:t xml:space="preserve">letter </w:t>
      </w:r>
      <w:r>
        <w:t xml:space="preserve">agreement is terminated by either party giving to the other not less than </w:t>
      </w:r>
      <w:r w:rsidR="00F02386">
        <w:t>${notice_period}</w:t>
      </w:r>
      <w:r>
        <w:t xml:space="preserve"> weeks' prior written notice or as otherwise provided in this letter.</w:t>
      </w:r>
      <w:bookmarkEnd w:id="3"/>
    </w:p>
    <w:p w:rsidR="00FB5668" w:rsidP="00FB5668" w:rsidRDefault="00FB5668" w14:paraId="0112DAC8" w14:textId="77777777">
      <w:pPr>
        <w:pStyle w:val="TitleClause"/>
      </w:pPr>
      <w:bookmarkStart w:name="a875656" w:id="4"/>
      <w:r>
        <w:t>Duties</w:t>
      </w:r>
      <w:bookmarkEnd w:id="4"/>
    </w:p>
    <w:p w:rsidR="00FB5668" w:rsidP="00FB5668" w:rsidRDefault="00FB5668" w14:paraId="4B5FDEA8" w14:textId="363A795A">
      <w:pPr>
        <w:pStyle w:val="Untitledsubclause1"/>
      </w:pPr>
      <w:bookmarkStart w:name="a270866" w:id="5"/>
      <w:r>
        <w:t xml:space="preserve">You shall use your best endeavours to promote our interests and any other company in our group and, unless prevented by ill health or accident, devote at least </w:t>
      </w:r>
      <w:r w:rsidR="00962B01">
        <w:t>${time_commitment}</w:t>
      </w:r>
      <w:r>
        <w:t xml:space="preserve"> to carrying out the following services for us:</w:t>
      </w:r>
      <w:bookmarkEnd w:id="5"/>
    </w:p>
    <w:p w:rsidR="00FB5668" w:rsidP="00962B01" w:rsidRDefault="00962B01" w14:paraId="37EDAF1F" w14:textId="0CFF78AD">
      <w:pPr>
        <w:pStyle w:val="Untitledsubclause2"/>
        <w:numPr>
          <w:ilvl w:val="0"/>
          <w:numId w:val="0"/>
        </w:numPr>
        <w:ind w:firstLine="720"/>
      </w:pPr>
      <w:bookmarkStart w:name="a85238" w:id="6"/>
      <w:r>
        <w:t>${list_of_services}</w:t>
      </w:r>
      <w:r w:rsidR="00FB5668">
        <w:t xml:space="preserve"> (</w:t>
      </w:r>
      <w:r w:rsidR="00FB5668">
        <w:rPr>
          <w:rStyle w:val="DefTerm"/>
        </w:rPr>
        <w:t>Services</w:t>
      </w:r>
      <w:r w:rsidR="00FB5668">
        <w:t>).</w:t>
      </w:r>
      <w:bookmarkEnd w:id="6"/>
    </w:p>
    <w:p w:rsidR="00FB5668" w:rsidP="00FB5668" w:rsidRDefault="00FB5668" w14:paraId="34640045" w14:textId="52DF632B">
      <w:pPr>
        <w:pStyle w:val="Untitledsubclause1"/>
      </w:pPr>
      <w:bookmarkStart w:name="a907700" w:id="7"/>
      <w:r>
        <w:t xml:space="preserve">If you are unable to provide the Services due to illness or injury, you shall notify </w:t>
      </w:r>
      <w:r w:rsidR="009447C0">
        <w:t>us without delay and</w:t>
      </w:r>
      <w:r>
        <w:t xml:space="preserve"> as soon as reasonably practicable.</w:t>
      </w:r>
      <w:bookmarkEnd w:id="7"/>
    </w:p>
    <w:p w:rsidRPr="002008C1" w:rsidR="003E7781" w:rsidP="003E7781" w:rsidRDefault="003E7781" w14:paraId="5377ABF0" w14:textId="72DE5ED1">
      <w:pPr>
        <w:pStyle w:val="Untitledsubclause1"/>
        <w:rPr>
          <w:szCs w:val="22"/>
        </w:rPr>
      </w:pPr>
      <w:bookmarkStart w:name="a296308" w:id="8"/>
      <w:bookmarkStart w:name="a174734" w:id="9"/>
      <w:r>
        <w:rPr>
          <w:szCs w:val="22"/>
        </w:rPr>
        <w:t xml:space="preserve">You </w:t>
      </w:r>
      <w:r w:rsidRPr="002008C1">
        <w:rPr>
          <w:szCs w:val="22"/>
        </w:rPr>
        <w:t>shall:</w:t>
      </w:r>
      <w:bookmarkEnd w:id="8"/>
    </w:p>
    <w:p w:rsidRPr="002008C1" w:rsidR="003E7781" w:rsidP="003E7781" w:rsidRDefault="003E7781" w14:paraId="310BF93E" w14:textId="6233EE86">
      <w:pPr>
        <w:pStyle w:val="Untitledsubclause2"/>
        <w:rPr>
          <w:szCs w:val="22"/>
        </w:rPr>
      </w:pPr>
      <w:bookmarkStart w:name="a422842" w:id="10"/>
      <w:r w:rsidRPr="002008C1">
        <w:rPr>
          <w:szCs w:val="22"/>
        </w:rPr>
        <w:t xml:space="preserve">co-operate with </w:t>
      </w:r>
      <w:r>
        <w:rPr>
          <w:szCs w:val="22"/>
        </w:rPr>
        <w:t>us</w:t>
      </w:r>
      <w:r w:rsidRPr="002008C1">
        <w:rPr>
          <w:szCs w:val="22"/>
        </w:rPr>
        <w:t xml:space="preserve"> in all matters relating to the Services;</w:t>
      </w:r>
      <w:bookmarkEnd w:id="10"/>
      <w:r>
        <w:rPr>
          <w:szCs w:val="22"/>
        </w:rPr>
        <w:t xml:space="preserve"> and</w:t>
      </w:r>
    </w:p>
    <w:p w:rsidRPr="002008C1" w:rsidR="003E7781" w:rsidP="003E7781" w:rsidRDefault="003E7781" w14:paraId="33659E4F" w14:textId="3211B788">
      <w:pPr>
        <w:pStyle w:val="Untitledsubclause2"/>
        <w:rPr>
          <w:szCs w:val="22"/>
        </w:rPr>
      </w:pPr>
      <w:bookmarkStart w:name="a662064" w:id="11"/>
      <w:r w:rsidRPr="002008C1">
        <w:rPr>
          <w:szCs w:val="22"/>
        </w:rPr>
        <w:t>provide</w:t>
      </w:r>
      <w:r>
        <w:rPr>
          <w:szCs w:val="22"/>
        </w:rPr>
        <w:t xml:space="preserve"> us</w:t>
      </w:r>
      <w:r w:rsidRPr="002008C1">
        <w:rPr>
          <w:szCs w:val="22"/>
        </w:rPr>
        <w:t xml:space="preserve"> in a timely manner all documents, information, items</w:t>
      </w:r>
      <w:r>
        <w:rPr>
          <w:szCs w:val="22"/>
        </w:rPr>
        <w:t xml:space="preserve"> </w:t>
      </w:r>
      <w:r w:rsidRPr="002008C1">
        <w:rPr>
          <w:szCs w:val="22"/>
        </w:rPr>
        <w:t xml:space="preserve">or otherwise reasonably required by </w:t>
      </w:r>
      <w:r>
        <w:rPr>
          <w:szCs w:val="22"/>
        </w:rPr>
        <w:t>us</w:t>
      </w:r>
      <w:r w:rsidRPr="002008C1">
        <w:rPr>
          <w:szCs w:val="22"/>
        </w:rPr>
        <w:t xml:space="preserve"> in connection with the Services</w:t>
      </w:r>
      <w:r>
        <w:rPr>
          <w:szCs w:val="22"/>
        </w:rPr>
        <w:t>.</w:t>
      </w:r>
      <w:r w:rsidRPr="002008C1">
        <w:rPr>
          <w:szCs w:val="22"/>
        </w:rPr>
        <w:t xml:space="preserve"> </w:t>
      </w:r>
      <w:bookmarkEnd w:id="11"/>
    </w:p>
    <w:p w:rsidR="00FB5668" w:rsidP="00FB5668" w:rsidRDefault="00B85807" w14:paraId="57B3834F" w14:textId="57CC7457">
      <w:pPr>
        <w:pStyle w:val="Untitledsubclause1"/>
      </w:pPr>
      <w:r>
        <w:t xml:space="preserve">You may not, without our prior written consent, </w:t>
      </w:r>
      <w:r w:rsidR="00FB5668">
        <w:t>appoint a suitably qualified substitute to perform the Services on your behalf</w:t>
      </w:r>
      <w:r>
        <w:t>.  In any such circumstance</w:t>
      </w:r>
      <w:r w:rsidR="00FB5668">
        <w:t xml:space="preserve"> the substitute shall be required to enter into direct undertakings with us, including with regard to confidentiality. We will continue to pay you your fee as provided in </w:t>
      </w:r>
      <w:r w:rsidR="00FB5668">
        <w:fldChar w:fldCharType="begin"/>
      </w:r>
      <w:r w:rsidR="00FB5668">
        <w:instrText>PAGEREF a727889\# "'clause '"  \h</w:instrText>
      </w:r>
      <w:r w:rsidR="00FB5668">
        <w:fldChar w:fldCharType="separate"/>
      </w:r>
      <w:r w:rsidR="00FB5668">
        <w:t xml:space="preserve">clause </w:t>
      </w:r>
      <w:r w:rsidR="00FB5668">
        <w:fldChar w:fldCharType="end"/>
      </w:r>
      <w:r w:rsidR="00FB5668">
        <w:fldChar w:fldCharType="begin"/>
      </w:r>
      <w:r w:rsidRPr="008062E3" w:rsidR="00FB5668">
        <w:rPr>
          <w:highlight w:val="lightGray"/>
        </w:rPr>
        <w:instrText>REF a727889 \h \w</w:instrText>
      </w:r>
      <w:r w:rsidR="00FB5668">
        <w:fldChar w:fldCharType="separate"/>
      </w:r>
      <w:r w:rsidR="00FB5668">
        <w:t>3.1</w:t>
      </w:r>
      <w:r w:rsidR="00FB5668">
        <w:fldChar w:fldCharType="end"/>
      </w:r>
      <w:r w:rsidR="00FB5668">
        <w:t xml:space="preserve"> below and you shall be responsible for the remuneration of, and any expenses incurred by, the substitute. You will not be paid for any period during which neither you nor any substitute provide the Services. You will continue to be subject to all duties and obligations under this </w:t>
      </w:r>
      <w:r w:rsidR="00CC1ABE">
        <w:t xml:space="preserve">letter </w:t>
      </w:r>
      <w:r w:rsidR="00FB5668">
        <w:t>agreement for the duration of the appointment of the substitute.</w:t>
      </w:r>
      <w:bookmarkEnd w:id="9"/>
    </w:p>
    <w:p w:rsidR="00FB5668" w:rsidP="00FB5668" w:rsidRDefault="00FB5668" w14:paraId="6352B5CC" w14:textId="77777777">
      <w:pPr>
        <w:pStyle w:val="TitleClause"/>
      </w:pPr>
      <w:bookmarkStart w:name="a1035876" w:id="12"/>
      <w:r>
        <w:t>Fees and expenses</w:t>
      </w:r>
      <w:bookmarkEnd w:id="12"/>
    </w:p>
    <w:p w:rsidR="00FB5668" w:rsidP="00FB5668" w:rsidRDefault="00FB5668" w14:paraId="77154286" w14:textId="43A576AC">
      <w:pPr>
        <w:pStyle w:val="Untitledsubclause1"/>
      </w:pPr>
      <w:bookmarkStart w:name="a727889" w:id="13"/>
      <w:r>
        <w:t xml:space="preserve">We will pay you a fee of </w:t>
      </w:r>
      <w:r w:rsidR="00B85807">
        <w:t>${rate_of_fee}</w:t>
      </w:r>
      <w:r>
        <w:t xml:space="preserve"> </w:t>
      </w:r>
      <w:r w:rsidRPr="00160D64" w:rsidR="00265A8A">
        <w:rPr>
          <w:highlight w:val="yellow"/>
        </w:rPr>
        <w:t>${vat_included_excluded}</w:t>
      </w:r>
      <w:r w:rsidR="003E7781">
        <w:t xml:space="preserve"> (</w:t>
      </w:r>
      <w:r w:rsidRPr="003E7781" w:rsidR="003E7781">
        <w:rPr>
          <w:b/>
          <w:bCs/>
        </w:rPr>
        <w:t>Fees</w:t>
      </w:r>
      <w:r w:rsidR="003E7781">
        <w:t>)</w:t>
      </w:r>
      <w:r>
        <w:t xml:space="preserve">. You shall submit invoices to us on a </w:t>
      </w:r>
      <w:r w:rsidR="003E7781">
        <w:t>${frequency_of_invoices}</w:t>
      </w:r>
      <w:r>
        <w:t xml:space="preserve"> setting out the hours that you have worked for us during the preceding </w:t>
      </w:r>
      <w:r w:rsidR="001764DF">
        <w:t>period</w:t>
      </w:r>
      <w:r>
        <w:t xml:space="preserve"> and any VAT payable (if applicable). We will pay such invoices within </w:t>
      </w:r>
      <w:r w:rsidR="001764DF">
        <w:t>one month or</w:t>
      </w:r>
      <w:r>
        <w:t xml:space="preserve"> in accordance with our usual payment terms.</w:t>
      </w:r>
      <w:bookmarkEnd w:id="13"/>
    </w:p>
    <w:p w:rsidRPr="001764DF" w:rsidR="00FB5668" w:rsidP="00FB5668" w:rsidRDefault="00531B41" w14:paraId="05A612B5" w14:textId="4E248A3E">
      <w:pPr>
        <w:pStyle w:val="Untitledsubclause1"/>
        <w:rPr>
          <w:highlight w:val="yellow"/>
        </w:rPr>
      </w:pPr>
      <w:r w:rsidRPr="00160D64">
        <w:rPr>
          <w:highlight w:val="yellow"/>
        </w:rPr>
        <w:lastRenderedPageBreak/>
        <w:t>${radio_group_costs_expenses}</w:t>
      </w:r>
    </w:p>
    <w:p w:rsidR="00FB5668" w:rsidP="00FB5668" w:rsidRDefault="00FB5668" w14:paraId="4F285F54" w14:textId="1B8609ED">
      <w:pPr>
        <w:pStyle w:val="Untitledsubclause1"/>
      </w:pPr>
      <w:bookmarkStart w:name="a362187" w:id="14"/>
      <w:r>
        <w:t xml:space="preserve">We are entitled to deduct from the </w:t>
      </w:r>
      <w:r w:rsidR="001764DF">
        <w:t>F</w:t>
      </w:r>
      <w:r>
        <w:t>ees (and any other sums) payable to you any sums that you may owe us or any other company in our group</w:t>
      </w:r>
      <w:r w:rsidR="001764DF">
        <w:t xml:space="preserve"> </w:t>
      </w:r>
      <w:r>
        <w:t>at any time.</w:t>
      </w:r>
      <w:bookmarkEnd w:id="14"/>
    </w:p>
    <w:p w:rsidR="00FB5668" w:rsidP="00FB5668" w:rsidRDefault="00FB5668" w14:paraId="5ADDEE7C" w14:textId="77777777">
      <w:pPr>
        <w:pStyle w:val="TitleClause"/>
      </w:pPr>
      <w:bookmarkStart w:name="a792031" w:id="15"/>
      <w:r>
        <w:t>Other activities</w:t>
      </w:r>
      <w:bookmarkEnd w:id="15"/>
    </w:p>
    <w:p w:rsidRPr="00AE54A9" w:rsidR="00FB5668" w:rsidP="00FB5668" w:rsidRDefault="00FB5668" w14:paraId="0F12E424" w14:textId="59BB132C">
      <w:pPr>
        <w:pStyle w:val="NoNumUntitledsubclause1"/>
      </w:pPr>
      <w:bookmarkStart w:name="a909023" w:id="16"/>
      <w:r>
        <w:t>You may be engaged, employed or concerned in any other business, trade, profession or other activity which does not place you in a conflict of interest with us. However, you may not be involved in any capacity with a business which does or could compete with our business without</w:t>
      </w:r>
      <w:r w:rsidR="00B85807">
        <w:t xml:space="preserve"> our</w:t>
      </w:r>
      <w:r>
        <w:t xml:space="preserve"> prior written consent</w:t>
      </w:r>
      <w:r w:rsidR="00B85807">
        <w:t xml:space="preserve"> </w:t>
      </w:r>
      <w:r>
        <w:t xml:space="preserve">(such consent not to be unreasonably withheld). </w:t>
      </w:r>
      <w:bookmarkEnd w:id="16"/>
    </w:p>
    <w:p w:rsidR="00FB5668" w:rsidP="00FB5668" w:rsidRDefault="00FB5668" w14:paraId="62C6EB6E" w14:textId="77777777">
      <w:pPr>
        <w:pStyle w:val="TitleClause"/>
      </w:pPr>
      <w:bookmarkStart w:name="a614506" w:id="17"/>
      <w:r>
        <w:t>Confidential information and Client property</w:t>
      </w:r>
      <w:bookmarkEnd w:id="17"/>
    </w:p>
    <w:p w:rsidR="00FB5668" w:rsidP="00FB5668" w:rsidRDefault="00FB5668" w14:paraId="0442B734" w14:textId="39EC5095">
      <w:pPr>
        <w:pStyle w:val="Untitledsubclause1"/>
      </w:pPr>
      <w:bookmarkStart w:name="a195660" w:id="18"/>
      <w:r>
        <w:t xml:space="preserve">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w:t>
      </w:r>
      <w:r>
        <w:fldChar w:fldCharType="begin"/>
      </w:r>
      <w:r>
        <w:instrText>PAGEREF a614506\# "'clause '"  \h</w:instrText>
      </w:r>
      <w:r>
        <w:fldChar w:fldCharType="separate"/>
      </w:r>
      <w:r>
        <w:t xml:space="preserve">clause </w:t>
      </w:r>
      <w:r>
        <w:fldChar w:fldCharType="end"/>
      </w:r>
      <w:r>
        <w:fldChar w:fldCharType="begin"/>
      </w:r>
      <w:r w:rsidRPr="008062E3">
        <w:rPr>
          <w:highlight w:val="lightGray"/>
        </w:rPr>
        <w:instrText>REF a614506 \h \w</w:instrText>
      </w:r>
      <w:r>
        <w:fldChar w:fldCharType="separate"/>
      </w:r>
      <w:r>
        <w:t>5</w:t>
      </w:r>
      <w:r>
        <w:fldChar w:fldCharType="end"/>
      </w:r>
      <w:r>
        <w:t xml:space="preserve">, </w:t>
      </w:r>
      <w:r>
        <w:rPr>
          <w:rStyle w:val="DefTerm"/>
        </w:rPr>
        <w:t>confidential information</w:t>
      </w:r>
      <w:r>
        <w:t xml:space="preserve"> means any information or matter which is not in the public domain and which relates to our affairs or any other company in our group or any of our business contacts.</w:t>
      </w:r>
      <w:bookmarkEnd w:id="18"/>
    </w:p>
    <w:p w:rsidR="00FB5668" w:rsidP="00FB5668" w:rsidRDefault="00FB5668" w14:paraId="0E7AEA02" w14:textId="77777777">
      <w:pPr>
        <w:pStyle w:val="Untitledsubclause1"/>
      </w:pPr>
      <w:bookmarkStart w:name="a369800" w:id="19"/>
      <w:r>
        <w:t xml:space="preserve">The restriction in </w:t>
      </w:r>
      <w:r>
        <w:fldChar w:fldCharType="begin"/>
      </w:r>
      <w:r>
        <w:instrText>PAGEREF a195660\# "'clause '"  \h</w:instrText>
      </w:r>
      <w:r>
        <w:fldChar w:fldCharType="separate"/>
      </w:r>
      <w:r>
        <w:t xml:space="preserve">clause </w:t>
      </w:r>
      <w:r>
        <w:fldChar w:fldCharType="end"/>
      </w:r>
      <w:r>
        <w:fldChar w:fldCharType="begin"/>
      </w:r>
      <w:r w:rsidRPr="008062E3">
        <w:rPr>
          <w:highlight w:val="lightGray"/>
        </w:rPr>
        <w:instrText>REF a195660 \h \w</w:instrText>
      </w:r>
      <w:r>
        <w:fldChar w:fldCharType="separate"/>
      </w:r>
      <w:r>
        <w:t>5.1</w:t>
      </w:r>
      <w:r>
        <w:fldChar w:fldCharType="end"/>
      </w:r>
      <w:r>
        <w:t xml:space="preserve"> does not apply to:</w:t>
      </w:r>
      <w:bookmarkEnd w:id="19"/>
    </w:p>
    <w:p w:rsidR="00FB5668" w:rsidP="00FB5668" w:rsidRDefault="00FB5668" w14:paraId="1C701756" w14:textId="77777777">
      <w:pPr>
        <w:pStyle w:val="Untitledsubclause2"/>
      </w:pPr>
      <w:bookmarkStart w:name="a476820" w:id="20"/>
      <w:r>
        <w:t>any use or disclosure authorised by us or as required by law; or</w:t>
      </w:r>
      <w:bookmarkEnd w:id="20"/>
    </w:p>
    <w:p w:rsidR="00FB5668" w:rsidP="00FB5668" w:rsidRDefault="00FB5668" w14:paraId="133BF218" w14:textId="77777777">
      <w:pPr>
        <w:pStyle w:val="Untitledsubclause2"/>
      </w:pPr>
      <w:bookmarkStart w:name="a256558" w:id="21"/>
      <w:r>
        <w:t>any information which is already in, or comes into, the public domain otherwise than through your unauthorised disclosure.</w:t>
      </w:r>
      <w:bookmarkEnd w:id="21"/>
    </w:p>
    <w:p w:rsidRPr="00B85807" w:rsidR="00FB5668" w:rsidP="00B85807" w:rsidRDefault="00FB5668" w14:paraId="228FACC9" w14:textId="77226152">
      <w:pPr>
        <w:pStyle w:val="Untitledsubclause1"/>
      </w:pPr>
      <w:bookmarkStart w:name="a723111" w:id="22"/>
      <w:r>
        <w:t xml:space="preserve">All documents, manuals, hardware and software provided for your use by us, and any data or documents (including copies) produced, maintained or stored on our computer systems or other electronic equipment (including mobile phones if provided by us), remain our property. </w:t>
      </w:r>
      <w:bookmarkEnd w:id="22"/>
    </w:p>
    <w:p w:rsidR="00FB5668" w:rsidP="00FB5668" w:rsidRDefault="00FB5668" w14:paraId="6FCC3E89" w14:textId="77777777">
      <w:pPr>
        <w:pStyle w:val="TitleClause"/>
      </w:pPr>
      <w:bookmarkStart w:name="a791893" w:id="23"/>
      <w:r>
        <w:t>Intellectual property</w:t>
      </w:r>
      <w:bookmarkEnd w:id="23"/>
    </w:p>
    <w:p w:rsidR="00FB5668" w:rsidP="00FB5668" w:rsidRDefault="00FB5668" w14:paraId="098809A1" w14:textId="1588BCA5">
      <w:pPr>
        <w:pStyle w:val="Untitledsubclause1"/>
      </w:pPr>
      <w:bookmarkStart w:name="a200217" w:id="24"/>
      <w:r>
        <w:t xml:space="preserve">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w:t>
      </w:r>
      <w:r>
        <w:fldChar w:fldCharType="begin"/>
      </w:r>
      <w:r>
        <w:instrText>PAGEREF a791893\# "'clause '"  \h</w:instrText>
      </w:r>
      <w:r>
        <w:fldChar w:fldCharType="separate"/>
      </w:r>
      <w:r>
        <w:t xml:space="preserve">clause </w:t>
      </w:r>
      <w:r>
        <w:fldChar w:fldCharType="end"/>
      </w:r>
      <w:r w:rsidR="00391A81">
        <w:fldChar w:fldCharType="begin"/>
      </w:r>
      <w:r w:rsidR="00391A81">
        <w:instrText xml:space="preserve"> REF a791893 \r \h </w:instrText>
      </w:r>
      <w:r w:rsidR="00391A81">
        <w:fldChar w:fldCharType="separate"/>
      </w:r>
      <w:r w:rsidR="00391A81">
        <w:t>6</w:t>
      </w:r>
      <w:r w:rsidR="00391A81">
        <w:fldChar w:fldCharType="end"/>
      </w:r>
      <w:r>
        <w:t>.</w:t>
      </w:r>
      <w:bookmarkEnd w:id="24"/>
    </w:p>
    <w:p w:rsidR="00FB5668" w:rsidP="00FB5668" w:rsidRDefault="00FB5668" w14:paraId="42E622B4" w14:textId="6C058D96">
      <w:pPr>
        <w:pStyle w:val="Untitledsubclause1"/>
      </w:pPr>
      <w:bookmarkStart w:name="a967387" w:id="25"/>
      <w:r>
        <w:t>You hereby irrevocably waive all moral rights (and all similar rights in other jurisdictions) which you have or will have in any existing or future works.</w:t>
      </w:r>
      <w:bookmarkEnd w:id="25"/>
    </w:p>
    <w:p w:rsidR="00FB5668" w:rsidP="00FB5668" w:rsidRDefault="00FB5668" w14:paraId="11CE3C98" w14:textId="75878BA7">
      <w:pPr>
        <w:pStyle w:val="Untitledsubclause1"/>
      </w:pPr>
      <w:r>
        <w:fldChar w:fldCharType="begin"/>
      </w:r>
      <w:r>
        <w:fldChar w:fldCharType="end"/>
      </w:r>
      <w:bookmarkStart w:name="a460358" w:id="26"/>
      <w:r>
        <w:t>You irrevocably appoint us to be your attorney in your name and on your behalf to execute documents, use your name and do all things which are necessary or desirable for us to obtain for ourselves or our nominee the full benefit of this clause.</w:t>
      </w:r>
      <w:bookmarkEnd w:id="26"/>
    </w:p>
    <w:p w:rsidR="00FB5668" w:rsidP="00FB5668" w:rsidRDefault="00FB5668" w14:paraId="72476F51" w14:textId="77777777">
      <w:pPr>
        <w:pStyle w:val="TitleClause"/>
      </w:pPr>
      <w:bookmarkStart w:name="a569844" w:id="27"/>
      <w:r>
        <w:t>Termination</w:t>
      </w:r>
      <w:bookmarkEnd w:id="27"/>
    </w:p>
    <w:p w:rsidR="00FB5668" w:rsidP="00FB5668" w:rsidRDefault="00FB5668" w14:paraId="39866F83" w14:textId="77777777">
      <w:pPr>
        <w:pStyle w:val="NoNumUntitledsubclause1"/>
      </w:pPr>
      <w:bookmarkStart w:name="a829649" w:id="28"/>
      <w:r>
        <w:t>We may at any time terminate your engagement with immediate effect with no liability to make any further payment to you (other than in respect of any accrued fees or expenses at the date of termination) if:</w:t>
      </w:r>
      <w:bookmarkEnd w:id="28"/>
    </w:p>
    <w:p w:rsidR="00FB5668" w:rsidP="00FB5668" w:rsidRDefault="00FB5668" w14:paraId="7570BC71" w14:textId="7DD1A109">
      <w:pPr>
        <w:pStyle w:val="Untitledsubclause2"/>
      </w:pPr>
      <w:bookmarkStart w:name="a206584" w:id="29"/>
      <w:r>
        <w:t xml:space="preserve">you are in material breach of any of your obligations under this </w:t>
      </w:r>
      <w:r w:rsidR="00CC1ABE">
        <w:t xml:space="preserve">letter </w:t>
      </w:r>
      <w:r>
        <w:t>agreement; or</w:t>
      </w:r>
      <w:bookmarkEnd w:id="29"/>
    </w:p>
    <w:p w:rsidR="00FB5668" w:rsidP="00FB5668" w:rsidRDefault="00FB5668" w14:paraId="00FA42AD" w14:textId="77777777">
      <w:pPr>
        <w:pStyle w:val="Untitledsubclause2"/>
      </w:pPr>
      <w:bookmarkStart w:name="a473760" w:id="30"/>
      <w:r>
        <w:lastRenderedPageBreak/>
        <w:t>other than as a result of illness or accident, after notice in writing, you wilfully neglect to provide or fail to remedy any default in providing the Services.</w:t>
      </w:r>
      <w:bookmarkEnd w:id="30"/>
    </w:p>
    <w:p w:rsidR="00FB5668" w:rsidP="00FB5668" w:rsidRDefault="00FB5668" w14:paraId="1BDC91A2" w14:textId="77777777">
      <w:pPr>
        <w:pStyle w:val="Parasubclause1"/>
      </w:pPr>
      <w:r>
        <w:t>Any delay by us in exercising our rights to terminate shall not constitute a waiver of those rights.</w:t>
      </w:r>
    </w:p>
    <w:p w:rsidR="00FB5668" w:rsidP="00FB5668" w:rsidRDefault="00FB5668" w14:paraId="77CBC2D3" w14:textId="77777777">
      <w:pPr>
        <w:pStyle w:val="TitleClause"/>
      </w:pPr>
      <w:bookmarkStart w:name="a607250" w:id="31"/>
      <w:r>
        <w:t>Obligations on termination</w:t>
      </w:r>
      <w:bookmarkEnd w:id="31"/>
    </w:p>
    <w:p w:rsidR="00FB5668" w:rsidP="00FB5668" w:rsidRDefault="00FB5668" w14:paraId="5EFE0F3A" w14:textId="57777D43">
      <w:pPr>
        <w:pStyle w:val="NoNumUntitledsubclause1"/>
      </w:pPr>
      <w:bookmarkStart w:name="a908172" w:id="32"/>
      <w:r>
        <w:t xml:space="preserve">Any property belonging to us in your possession or under your control, and any original or copy documents obtained by you in the course of providing the Services, shall be returned to </w:t>
      </w:r>
      <w:r w:rsidR="009447C0">
        <w:t>us</w:t>
      </w:r>
      <w:r>
        <w:t xml:space="preserve"> at any time on request and in any event on or before the termination of this </w:t>
      </w:r>
      <w:r w:rsidR="009447C0">
        <w:t xml:space="preserve">letter </w:t>
      </w:r>
      <w:r>
        <w:t xml:space="preserve">agreement. </w:t>
      </w:r>
      <w:bookmarkEnd w:id="32"/>
    </w:p>
    <w:bookmarkStart w:name="_Hlk68871261" w:id="33"/>
    <w:bookmarkStart w:name="a958387" w:id="34"/>
    <w:p w:rsidRPr="00A32823" w:rsidR="0044517C" w:rsidP="0044517C" w:rsidRDefault="0044517C" w14:paraId="3D402598" w14:textId="77777777">
      <w:pPr>
        <w:pStyle w:val="TitleClause"/>
        <w:rPr>
          <w:szCs w:val="22"/>
        </w:rPr>
      </w:pPr>
      <w:r w:rsidRPr="00A32823">
        <w:rPr>
          <w:szCs w:val="22"/>
        </w:rPr>
        <w:fldChar w:fldCharType="begin"/>
      </w:r>
      <w:r w:rsidRPr="00A32823">
        <w:rPr>
          <w:szCs w:val="22"/>
        </w:rPr>
        <w:instrText>TC "13. Limitation of liability" \l 1</w:instrText>
      </w:r>
      <w:r w:rsidRPr="00A32823">
        <w:rPr>
          <w:szCs w:val="22"/>
        </w:rPr>
        <w:fldChar w:fldCharType="end"/>
      </w:r>
      <w:bookmarkStart w:name="a60299" w:id="35"/>
      <w:bookmarkStart w:name="_Toc68873422" w:id="36"/>
      <w:r w:rsidRPr="00A32823">
        <w:rPr>
          <w:szCs w:val="22"/>
        </w:rPr>
        <w:t>Limitation of liability</w:t>
      </w:r>
      <w:bookmarkEnd w:id="35"/>
      <w:bookmarkEnd w:id="36"/>
    </w:p>
    <w:p w:rsidR="0044517C" w:rsidP="0044517C" w:rsidRDefault="0044517C" w14:paraId="2D86406E" w14:textId="0BA7FCFF">
      <w:pPr>
        <w:pStyle w:val="Untitledsubclause1"/>
        <w:numPr>
          <w:ilvl w:val="0"/>
          <w:numId w:val="0"/>
        </w:numPr>
        <w:ind w:left="720"/>
      </w:pPr>
      <w:bookmarkStart w:name="a844510" w:id="37"/>
      <w:r>
        <w:rPr>
          <w:szCs w:val="22"/>
        </w:rPr>
        <w:t>Our aggregate</w:t>
      </w:r>
      <w:r w:rsidRPr="00A32823">
        <w:rPr>
          <w:szCs w:val="22"/>
        </w:rPr>
        <w:t xml:space="preserve"> liability for any losses or damages arising as a </w:t>
      </w:r>
      <w:r>
        <w:rPr>
          <w:szCs w:val="22"/>
        </w:rPr>
        <w:t xml:space="preserve">result of any </w:t>
      </w:r>
      <w:r w:rsidRPr="00A32823">
        <w:rPr>
          <w:szCs w:val="22"/>
        </w:rPr>
        <w:t>breach of this</w:t>
      </w:r>
      <w:r>
        <w:rPr>
          <w:szCs w:val="22"/>
        </w:rPr>
        <w:t xml:space="preserve"> letter</w:t>
      </w:r>
      <w:r w:rsidRPr="00A32823">
        <w:rPr>
          <w:szCs w:val="22"/>
        </w:rPr>
        <w:t xml:space="preserve"> agreement shall not exceed the value of the </w:t>
      </w:r>
      <w:r w:rsidRPr="001764DF">
        <w:rPr>
          <w:szCs w:val="22"/>
        </w:rPr>
        <w:t>Fees paid</w:t>
      </w:r>
      <w:r w:rsidRPr="00A32823">
        <w:rPr>
          <w:szCs w:val="22"/>
        </w:rPr>
        <w:t xml:space="preserve"> by </w:t>
      </w:r>
      <w:r>
        <w:rPr>
          <w:szCs w:val="22"/>
        </w:rPr>
        <w:t xml:space="preserve">us to you </w:t>
      </w:r>
      <w:r w:rsidRPr="00A32823">
        <w:rPr>
          <w:szCs w:val="22"/>
        </w:rPr>
        <w:t xml:space="preserve">for the previous 12 month period. </w:t>
      </w:r>
      <w:bookmarkEnd w:id="33"/>
      <w:bookmarkEnd w:id="37"/>
    </w:p>
    <w:p w:rsidR="00FB5668" w:rsidP="00FB5668" w:rsidRDefault="00FB5668" w14:paraId="539AFBF6" w14:textId="53B04CFC">
      <w:pPr>
        <w:pStyle w:val="TitleClause"/>
      </w:pPr>
      <w:r>
        <w:t>Status</w:t>
      </w:r>
      <w:bookmarkEnd w:id="34"/>
    </w:p>
    <w:p w:rsidR="00FB5668" w:rsidP="00FB5668" w:rsidRDefault="00FB5668" w14:paraId="7BC0E8AD" w14:textId="3E155BBD">
      <w:pPr>
        <w:pStyle w:val="Untitledsubclause1"/>
      </w:pPr>
      <w:bookmarkStart w:name="a938575" w:id="38"/>
      <w:r>
        <w:t xml:space="preserve">You will be an independent contractor and nothing in this </w:t>
      </w:r>
      <w:r w:rsidR="009447C0">
        <w:t xml:space="preserve">letter </w:t>
      </w:r>
      <w:r>
        <w:t>agreement shall render you our employee, worker, agent or partner and you shall not hold yourself out as such.</w:t>
      </w:r>
      <w:bookmarkEnd w:id="38"/>
    </w:p>
    <w:p w:rsidR="00FB5668" w:rsidP="00FB5668" w:rsidRDefault="00FB5668" w14:paraId="32AB2CA9" w14:textId="3908455A">
      <w:pPr>
        <w:pStyle w:val="Untitledsubclause1"/>
      </w:pPr>
      <w:bookmarkStart w:name="a785883" w:id="39"/>
      <w:r>
        <w:t>You shall be fully responsible for and indemnify us or any other company in our group against any liability, assessment or claim for:</w:t>
      </w:r>
      <w:bookmarkEnd w:id="39"/>
    </w:p>
    <w:p w:rsidR="00FB5668" w:rsidP="00FB5668" w:rsidRDefault="00FB5668" w14:paraId="6BDD13F4" w14:textId="77777777">
      <w:pPr>
        <w:pStyle w:val="Untitledsubclause2"/>
      </w:pPr>
      <w:bookmarkStart w:name="a141647" w:id="40"/>
      <w:r>
        <w:t>taxation howsoever arising from or made in connection with the performance of the Services, where such recovery is not prohibited by law; and</w:t>
      </w:r>
      <w:bookmarkEnd w:id="40"/>
    </w:p>
    <w:p w:rsidR="00FB5668" w:rsidP="00FB5668" w:rsidRDefault="00FB5668" w14:paraId="1B535933" w14:textId="77777777">
      <w:pPr>
        <w:pStyle w:val="Untitledsubclause2"/>
      </w:pPr>
      <w:bookmarkStart w:name="a671433" w:id="41"/>
      <w:r>
        <w: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w:t>
      </w:r>
      <w:bookmarkEnd w:id="41"/>
    </w:p>
    <w:p w:rsidR="00FB5668" w:rsidP="00FB5668" w:rsidRDefault="00FB5668" w14:paraId="6791C02F" w14:textId="77777777">
      <w:pPr>
        <w:pStyle w:val="Parasubclause1"/>
      </w:pPr>
      <w:r>
        <w:t>We may satisfy such indemnity (in whole or in part) by way of deduction from any payment due to you.</w:t>
      </w:r>
    </w:p>
    <w:bookmarkStart w:name="a418705" w:id="42"/>
    <w:p w:rsidRPr="002008C1" w:rsidR="00CC1ABE" w:rsidP="00CC1ABE" w:rsidRDefault="00CC1ABE" w14:paraId="4D8EFC5C" w14:textId="77777777">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name="a915683" w:id="43"/>
      <w:bookmarkStart w:name="_Toc68873430" w:id="44"/>
      <w:r w:rsidRPr="002008C1">
        <w:rPr>
          <w:szCs w:val="22"/>
        </w:rPr>
        <w:t>Entire agreement</w:t>
      </w:r>
      <w:bookmarkEnd w:id="43"/>
      <w:bookmarkEnd w:id="44"/>
    </w:p>
    <w:p w:rsidR="00CC1ABE" w:rsidP="00CC1ABE" w:rsidRDefault="00CC1ABE" w14:paraId="6398F43D" w14:textId="241BA693">
      <w:pPr>
        <w:pStyle w:val="Untitledsubclause1"/>
      </w:pPr>
      <w:bookmarkStart w:name="a970363" w:id="45"/>
      <w:r>
        <w:t>This letter agreement constitutes the entire agreement between the parties and supersedes and extinguishes all previous agreements, promises, assurances, warranties, representations and understandings between them, whether written or oral, relating to its subject matter.</w:t>
      </w:r>
      <w:bookmarkEnd w:id="45"/>
    </w:p>
    <w:p w:rsidR="00CC1ABE" w:rsidP="00CC1ABE" w:rsidRDefault="00CC1ABE" w14:paraId="7DDEBED8" w14:textId="01C9C999">
      <w:pPr>
        <w:pStyle w:val="Untitledsubclause1"/>
      </w:pPr>
      <w:bookmarkStart w:name="a175777" w:id="46"/>
      <w:r>
        <w:t>Each party acknowledges that in entering into this letter agreement it does not rely on, and shall have no remedies in respect of, any statement, representation, assurance or warranty (whether made innocently or negligently) that is not set out in this letter agreement.</w:t>
      </w:r>
      <w:bookmarkEnd w:id="46"/>
    </w:p>
    <w:p w:rsidRPr="00816033" w:rsidR="00CC1ABE" w:rsidP="00CC1ABE" w:rsidRDefault="00CC1ABE" w14:paraId="654C6558" w14:textId="664884F9">
      <w:pPr>
        <w:pStyle w:val="Untitledsubclause1"/>
      </w:pPr>
      <w:bookmarkStart w:name="a641078" w:id="47"/>
      <w:r>
        <w:t>Each party agrees that it shall have no claim for innocent or negligent misrepresentation or negligent misstatement based on any statement in this letter agreement.</w:t>
      </w:r>
      <w:bookmarkEnd w:id="47"/>
    </w:p>
    <w:p w:rsidR="00FB5668" w:rsidP="00FB5668" w:rsidRDefault="00FB5668" w14:paraId="5D86AFED" w14:textId="6CC54F93">
      <w:pPr>
        <w:pStyle w:val="TitleClause"/>
      </w:pPr>
      <w:r>
        <w:t>Variation</w:t>
      </w:r>
      <w:bookmarkEnd w:id="42"/>
    </w:p>
    <w:p w:rsidR="00FB5668" w:rsidP="00FB5668" w:rsidRDefault="00FB5668" w14:paraId="131803AC" w14:textId="57D50569">
      <w:pPr>
        <w:pStyle w:val="NoNumUntitledsubclause1"/>
      </w:pPr>
      <w:bookmarkStart w:name="a923640" w:id="48"/>
      <w:r>
        <w:t xml:space="preserve">This </w:t>
      </w:r>
      <w:r w:rsidR="009447C0">
        <w:t>let</w:t>
      </w:r>
      <w:r w:rsidR="00CC1ABE">
        <w:t xml:space="preserve">ter </w:t>
      </w:r>
      <w:r>
        <w:t>agreement may only be varied by a document signed by both you and us.</w:t>
      </w:r>
      <w:bookmarkEnd w:id="48"/>
    </w:p>
    <w:p w:rsidR="00FB5668" w:rsidP="00FB5668" w:rsidRDefault="00FB5668" w14:paraId="7836C2FA" w14:textId="77777777">
      <w:pPr>
        <w:pStyle w:val="TitleClause"/>
      </w:pPr>
      <w:bookmarkStart w:name="a544951" w:id="49"/>
      <w:r>
        <w:lastRenderedPageBreak/>
        <w:t>Governing law</w:t>
      </w:r>
      <w:bookmarkEnd w:id="49"/>
    </w:p>
    <w:p w:rsidR="00FB5668" w:rsidP="00FB5668" w:rsidRDefault="00DD5E84" w14:paraId="67E2E4E2" w14:textId="64051BCC">
      <w:pPr>
        <w:pStyle w:val="NoNumUntitledsubclause1"/>
      </w:pPr>
      <w:r w:rsidRPr="00DD5E84">
        <w:t>This letter agreement and any dispute or claim arising out of or in connection with it or its subject matter or formation (including non-contractual disputes or claims) shall be governed by and construed in accordance with the laws of Ireland.</w:t>
      </w:r>
    </w:p>
    <w:p w:rsidR="00FB5668" w:rsidP="00FB5668" w:rsidRDefault="00FB5668" w14:paraId="067399E2" w14:textId="77777777">
      <w:pPr>
        <w:pStyle w:val="TitleClause"/>
      </w:pPr>
      <w:bookmarkStart w:name="a274455" w:id="50"/>
      <w:r>
        <w:t>Jurisdiction</w:t>
      </w:r>
      <w:bookmarkEnd w:id="50"/>
    </w:p>
    <w:p w:rsidR="000A794A" w:rsidP="00FB5668" w:rsidRDefault="00DD5E84" w14:paraId="5B880AA3" w14:textId="3430F8BC">
      <w:pPr>
        <w:pStyle w:val="NoNumUntitledClause"/>
      </w:pPr>
      <w:bookmarkStart w:name="a826292" w:id="51"/>
      <w:r w:rsidRPr="00DD5E84">
        <w:t xml:space="preserve">Each party irrevocably agrees that the courts of Ireland shall have exclusive jurisdiction to settle any dispute or claim arising out of or in connection with this </w:t>
      </w:r>
      <w:r w:rsidR="00CC1ABE">
        <w:t xml:space="preserve">letter </w:t>
      </w:r>
      <w:r w:rsidRPr="00DD5E84">
        <w:t>agreement or its subject matter or formation (including non-contractual disputes or claims).</w:t>
      </w:r>
    </w:p>
    <w:p w:rsidR="00FB5668" w:rsidP="0E402AFB" w:rsidRDefault="000A794A" w14:paraId="71D649C2" w14:textId="0D0CF99E" w14:noSpellErr="1">
      <w:pPr>
        <w:pStyle w:val="NoNumUntitledClause"/>
        <w:numPr>
          <w:numId w:val="0"/>
        </w:numPr>
      </w:pPr>
      <w:r>
        <w:br w:type="page"/>
      </w:r>
      <w:r w:rsidR="00FB5668">
        <w:rPr/>
        <w:t xml:space="preserve">Please acknowledge receipt of this letter </w:t>
      </w:r>
      <w:r w:rsidR="000A794A">
        <w:rPr/>
        <w:t xml:space="preserve">agreement </w:t>
      </w:r>
      <w:r w:rsidR="00FB5668">
        <w:rPr/>
        <w:t>and acceptance of its terms by signing, dating and returning the enclosed copy.</w:t>
      </w:r>
      <w:bookmarkEnd w:id="51"/>
    </w:p>
    <w:p w:rsidR="0E402AFB" w:rsidP="404C22F2" w:rsidRDefault="0E402AFB" w14:paraId="4AE0B549" w14:textId="0FC5A783">
      <w:pPr>
        <w:pStyle w:val="NoNumUntitledClause"/>
        <w:numPr>
          <w:numId w:val="0"/>
        </w:numPr>
        <w:rPr>
          <w:rFonts w:ascii="Arial" w:hAnsi="Arial" w:eastAsia="Arial Unicode MS" w:cs="Arial"/>
          <w:b w:val="0"/>
          <w:bCs w:val="0"/>
          <w:color w:val="000000" w:themeColor="text1" w:themeTint="FF" w:themeShade="FF"/>
          <w:sz w:val="22"/>
          <w:szCs w:val="22"/>
        </w:rPr>
      </w:pPr>
      <w:r w:rsidRPr="404C22F2" w:rsidR="0E402AFB">
        <w:rPr>
          <w:rFonts w:ascii="Arial" w:hAnsi="Arial" w:eastAsia="Arial Unicode MS" w:cs="Arial"/>
          <w:b w:val="0"/>
          <w:bCs w:val="0"/>
          <w:color w:val="000000" w:themeColor="text1" w:themeTint="FF" w:themeShade="FF"/>
          <w:sz w:val="22"/>
          <w:szCs w:val="22"/>
        </w:rPr>
        <w:t/>
      </w:r>
    </w:p>
    <w:p w:rsidR="0E402AFB" w:rsidP="0E402AFB" w:rsidRDefault="0E402AFB" w14:paraId="34B67117" w14:textId="73DF97A4">
      <w:pPr>
        <w:pStyle w:val="NoNumUntitledClause"/>
        <w:numPr>
          <w:numId w:val="0"/>
        </w:numPr>
        <w:rPr>
          <w:rFonts w:ascii="Arial" w:hAnsi="Arial" w:eastAsia="Arial Unicode MS" w:cs="Arial"/>
          <w:b w:val="0"/>
          <w:bCs w:val="0"/>
          <w:color w:val="000000" w:themeColor="text1" w:themeTint="FF" w:themeShade="FF"/>
          <w:sz w:val="22"/>
          <w:szCs w:val="22"/>
        </w:rPr>
      </w:pPr>
      <w:r w:rsidRPr="0E402AFB" w:rsidR="0E402AFB">
        <w:rPr>
          <w:rFonts w:ascii="Arial" w:hAnsi="Arial" w:eastAsia="Arial Unicode MS" w:cs="Arial"/>
          <w:b w:val="0"/>
          <w:bCs w:val="0"/>
          <w:color w:val="000000" w:themeColor="text1" w:themeTint="FF" w:themeShade="FF"/>
          <w:sz w:val="22"/>
          <w:szCs w:val="22"/>
        </w:rPr>
        <w:t/>
      </w:r>
    </w:p>
    <w:p w:rsidR="00FB5668" w:rsidP="000A794A" w:rsidRDefault="00FB5668" w14:paraId="44D88506" w14:textId="45D0D32D">
      <w:pPr>
        <w:pStyle w:val="ClosingSignOff"/>
        <w:ind w:firstLine="720"/>
      </w:pPr>
      <w:r>
        <w:t>Yours sincerely,</w:t>
      </w:r>
    </w:p>
    <w:p w:rsidR="000A794A" w:rsidP="000A794A" w:rsidRDefault="000A794A" w14:paraId="774248B3" w14:textId="44EBF5AF">
      <w:pPr>
        <w:pStyle w:val="ClosingSignOff"/>
        <w:ind w:firstLine="720"/>
      </w:pPr>
    </w:p>
    <w:p w:rsidRPr="002D5DCD" w:rsidR="008E6B1E" w:rsidP="000A794A" w:rsidRDefault="008E6B1E" w14:paraId="504354AD" w14:textId="526866B7">
      <w:pPr>
        <w:spacing w:after="0" w:line="240" w:lineRule="auto"/>
        <w:ind w:firstLine="720"/>
        <w:rPr>
          <w:rFonts w:eastAsia="Arial Unicode MS"/>
          <w:b/>
          <w:color w:val="auto"/>
          <w:szCs w:val="20"/>
          <w:lang w:eastAsia="en-US"/>
        </w:rPr>
      </w:pPr>
      <w:r w:rsidRPr="002D5DCD">
        <w:rPr>
          <w:rFonts w:eastAsia="Arial Unicode MS"/>
          <w:b/>
          <w:color w:val="auto"/>
          <w:szCs w:val="20"/>
          <w:lang w:eastAsia="en-US"/>
        </w:rPr>
        <w:t>For and on behalf of</w:t>
      </w:r>
    </w:p>
    <w:p w:rsidRPr="002D5DCD" w:rsidR="008E6B1E" w:rsidP="000A794A" w:rsidRDefault="008E6B1E" w14:paraId="0A396721" w14:textId="5B990E4A">
      <w:pPr>
        <w:spacing w:after="0" w:line="240" w:lineRule="auto"/>
        <w:ind w:firstLine="720"/>
        <w:rPr>
          <w:rFonts w:eastAsia="Arial Unicode MS"/>
          <w:b/>
          <w:color w:val="auto"/>
          <w:szCs w:val="20"/>
          <w:lang w:eastAsia="en-US"/>
        </w:rPr>
      </w:pPr>
      <w:r w:rsidRPr="002D5DCD">
        <w:t>${company_name}</w:t>
      </w:r>
    </w:p>
    <w:p w:rsidRPr="002D5DCD" w:rsidR="008E6B1E" w:rsidP="000A794A" w:rsidRDefault="008E6B1E" w14:paraId="57BB6489" w14:textId="77777777">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rsidRPr="002D5DCD" w:rsidR="008E6B1E" w:rsidP="000A794A" w:rsidRDefault="000A794A" w14:paraId="4B0CAF50" w14:textId="1D9E0964">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ab/>
      </w:r>
      <w:r w:rsidRPr="002D5DCD" w:rsidR="008E6B1E">
        <w:rPr>
          <w:rFonts w:eastAsia="Times New Roman"/>
          <w:i/>
          <w:color w:val="auto"/>
          <w:lang w:val="en-US" w:eastAsia="en-US"/>
        </w:rPr>
        <w:t>Signature</w:t>
      </w:r>
      <w:r w:rsidRPr="002D5DCD" w:rsidR="008E6B1E">
        <w:rPr>
          <w:rFonts w:eastAsia="Times New Roman"/>
          <w:i/>
          <w:color w:val="auto"/>
          <w:lang w:val="en-US" w:eastAsia="en-US"/>
        </w:rPr>
        <w:tab/>
      </w:r>
    </w:p>
    <w:p w:rsidRPr="002D5DCD" w:rsidR="008E6B1E" w:rsidP="000A794A" w:rsidRDefault="008E6B1E" w14:paraId="40AE7E35" w14:textId="77777777">
      <w:pPr>
        <w:tabs>
          <w:tab w:val="left" w:pos="4320"/>
          <w:tab w:val="left" w:pos="5040"/>
          <w:tab w:val="left" w:pos="9630"/>
        </w:tabs>
        <w:spacing w:before="3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rsidRPr="002D5DCD" w:rsidR="008E6B1E" w:rsidP="000A794A" w:rsidRDefault="000A794A" w14:paraId="012C918C" w14:textId="39822C84">
      <w:pPr>
        <w:spacing w:after="160" w:line="259" w:lineRule="auto"/>
        <w:ind w:left="709"/>
        <w:rPr>
          <w:rFonts w:eastAsia="Calibri"/>
          <w:color w:val="auto"/>
          <w:lang w:eastAsia="en-US"/>
        </w:rPr>
      </w:pPr>
      <w:r w:rsidRPr="002D5DCD">
        <w:rPr>
          <w:rFonts w:eastAsia="Times New Roman"/>
          <w:i/>
          <w:color w:val="auto"/>
          <w:lang w:val="en-US" w:eastAsia="en-US"/>
        </w:rPr>
        <w:t>${company_signatory}</w:t>
      </w:r>
    </w:p>
    <w:p w:rsidRPr="00CC1ABE" w:rsidR="008E6B1E" w:rsidP="008E6B1E" w:rsidRDefault="008E6B1E" w14:paraId="25D8569E" w14:textId="77777777">
      <w:pPr>
        <w:spacing w:after="160" w:line="259" w:lineRule="auto"/>
        <w:rPr>
          <w:rFonts w:eastAsia="Calibri"/>
          <w:color w:val="auto"/>
          <w:lang w:eastAsia="en-US"/>
        </w:rPr>
      </w:pPr>
    </w:p>
    <w:p w:rsidRPr="00CC1ABE" w:rsidR="008E6B1E" w:rsidP="000A794A" w:rsidRDefault="008E6B1E" w14:paraId="777FAC0F" w14:textId="56CBFAD3">
      <w:pPr>
        <w:spacing w:after="160" w:line="259" w:lineRule="auto"/>
        <w:ind w:firstLine="709"/>
        <w:rPr>
          <w:rFonts w:eastAsia="Calibri"/>
          <w:b/>
          <w:bCs/>
          <w:color w:val="auto"/>
          <w:lang w:eastAsia="en-US"/>
        </w:rPr>
      </w:pPr>
      <w:r w:rsidRPr="00CC1ABE">
        <w:rPr>
          <w:rFonts w:eastAsia="Calibri"/>
          <w:b/>
          <w:bCs/>
          <w:color w:val="auto"/>
          <w:lang w:eastAsia="en-US"/>
        </w:rPr>
        <w:t>I hereby acknowledge receipt and accept the contents of this letter agreement.</w:t>
      </w:r>
    </w:p>
    <w:p w:rsidRPr="002D5DCD" w:rsidR="008E6B1E" w:rsidP="000A794A" w:rsidRDefault="008E6B1E" w14:paraId="1C95B3B2" w14:textId="77777777">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rsidRPr="002D5DCD" w:rsidR="008E6B1E" w:rsidP="000A794A" w:rsidRDefault="008E6B1E" w14:paraId="361B67E4" w14:textId="77777777">
      <w:pPr>
        <w:tabs>
          <w:tab w:val="left" w:pos="5040"/>
        </w:tabs>
        <w:spacing w:before="20" w:after="0" w:line="240" w:lineRule="auto"/>
        <w:ind w:left="709"/>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rsidRPr="002D5DCD" w:rsidR="008E6B1E" w:rsidP="000A794A" w:rsidRDefault="008E6B1E" w14:paraId="546D6075" w14:textId="77777777">
      <w:pPr>
        <w:tabs>
          <w:tab w:val="left" w:pos="4320"/>
          <w:tab w:val="left" w:pos="5040"/>
          <w:tab w:val="left" w:pos="9630"/>
        </w:tabs>
        <w:spacing w:before="360" w:after="0" w:line="240" w:lineRule="auto"/>
        <w:ind w:firstLine="709"/>
        <w:rPr>
          <w:rFonts w:eastAsia="Times New Roman"/>
          <w:i/>
          <w:color w:val="auto"/>
          <w:u w:val="single"/>
          <w:lang w:val="en-US" w:eastAsia="en-US"/>
        </w:rPr>
      </w:pPr>
      <w:r w:rsidRPr="002D5DCD">
        <w:rPr>
          <w:rFonts w:eastAsia="Times New Roman"/>
          <w:i/>
          <w:color w:val="auto"/>
          <w:u w:val="single"/>
          <w:lang w:val="en-US" w:eastAsia="en-US"/>
        </w:rPr>
        <w:tab/>
      </w:r>
    </w:p>
    <w:p w:rsidRPr="002D5DCD" w:rsidR="000A794A" w:rsidP="000A794A" w:rsidRDefault="000A794A" w14:paraId="4616FD10" w14:textId="1EF622D1">
      <w:pPr>
        <w:pStyle w:val="AddressLine"/>
        <w:ind w:firstLine="709"/>
        <w:rPr>
          <w:i/>
          <w:iCs/>
        </w:rPr>
      </w:pPr>
      <w:r w:rsidRPr="002D5DCD">
        <w:rPr>
          <w:i/>
          <w:iCs/>
        </w:rPr>
        <w:t>${consultant_name}</w:t>
      </w:r>
    </w:p>
    <w:p w:rsidRPr="008E6B1E" w:rsidR="008E6B1E" w:rsidP="008E6B1E" w:rsidRDefault="008E6B1E" w14:paraId="031A3F0D" w14:textId="2A5AECF9">
      <w:pPr>
        <w:spacing w:after="160" w:line="259" w:lineRule="auto"/>
        <w:rPr>
          <w:rFonts w:ascii="Calibri" w:hAnsi="Calibri" w:eastAsia="Calibri" w:cs="Times New Roman"/>
          <w:color w:val="auto"/>
          <w:lang w:eastAsia="en-US"/>
        </w:rPr>
      </w:pPr>
    </w:p>
    <w:p w:rsidR="008E6B1E" w:rsidRDefault="008E6B1E" w14:paraId="2D268011" w14:textId="77777777"/>
    <w:p w:rsidR="00FB5668" w:rsidP="008E6B1E" w:rsidRDefault="00FB5668" w14:paraId="042DBE7A" w14:textId="0A66D2E3">
      <w:pPr>
        <w:pStyle w:val="Part"/>
        <w:numPr>
          <w:ilvl w:val="0"/>
          <w:numId w:val="0"/>
        </w:numPr>
      </w:pPr>
    </w:p>
    <w:sectPr w:rsidR="00FB5668" w:rsidSect="00FB5668">
      <w:footerReference w:type="default" r:id="rId11"/>
      <w:pgSz w:w="11906" w:h="16838" w:orient="portrait"/>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528E" w:rsidP="00FB5668" w:rsidRDefault="00D4528E" w14:paraId="29544B68" w14:textId="77777777">
      <w:pPr>
        <w:spacing w:after="0" w:line="240" w:lineRule="auto"/>
      </w:pPr>
      <w:r>
        <w:separator/>
      </w:r>
    </w:p>
  </w:endnote>
  <w:endnote w:type="continuationSeparator" w:id="0">
    <w:p w:rsidR="00D4528E" w:rsidP="00FB5668" w:rsidRDefault="00D4528E" w14:paraId="502A9F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668" w:rsidRDefault="00FB5668" w14:paraId="72299AB9" w14:textId="77777777">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528E" w:rsidP="00FB5668" w:rsidRDefault="00D4528E" w14:paraId="641B09CC" w14:textId="77777777">
      <w:pPr>
        <w:spacing w:after="0" w:line="240" w:lineRule="auto"/>
      </w:pPr>
      <w:r>
        <w:separator/>
      </w:r>
    </w:p>
  </w:footnote>
  <w:footnote w:type="continuationSeparator" w:id="0">
    <w:p w:rsidR="00D4528E" w:rsidP="00FB5668" w:rsidRDefault="00D4528E" w14:paraId="3572810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33F6F34C">
      <w:start w:val="1"/>
      <w:numFmt w:val="bullet"/>
      <w:pStyle w:val="DefinedTermBullet"/>
      <w:lvlText w:val=""/>
      <w:lvlJc w:val="left"/>
      <w:pPr>
        <w:ind w:left="1440" w:hanging="360"/>
      </w:pPr>
      <w:rPr>
        <w:rFonts w:hint="default" w:ascii="Symbol" w:hAnsi="Symbol"/>
        <w:color w:val="000000"/>
      </w:rPr>
    </w:lvl>
    <w:lvl w:ilvl="1" w:tplc="74043554" w:tentative="1">
      <w:start w:val="1"/>
      <w:numFmt w:val="bullet"/>
      <w:lvlText w:val="o"/>
      <w:lvlJc w:val="left"/>
      <w:pPr>
        <w:ind w:left="2160" w:hanging="360"/>
      </w:pPr>
      <w:rPr>
        <w:rFonts w:hint="default" w:ascii="Courier New" w:hAnsi="Courier New" w:cs="Courier New"/>
      </w:rPr>
    </w:lvl>
    <w:lvl w:ilvl="2" w:tplc="4686FFFA" w:tentative="1">
      <w:start w:val="1"/>
      <w:numFmt w:val="bullet"/>
      <w:lvlText w:val=""/>
      <w:lvlJc w:val="left"/>
      <w:pPr>
        <w:ind w:left="2880" w:hanging="360"/>
      </w:pPr>
      <w:rPr>
        <w:rFonts w:hint="default" w:ascii="Wingdings" w:hAnsi="Wingdings"/>
      </w:rPr>
    </w:lvl>
    <w:lvl w:ilvl="3" w:tplc="AEC416CA" w:tentative="1">
      <w:start w:val="1"/>
      <w:numFmt w:val="bullet"/>
      <w:lvlText w:val=""/>
      <w:lvlJc w:val="left"/>
      <w:pPr>
        <w:ind w:left="3600" w:hanging="360"/>
      </w:pPr>
      <w:rPr>
        <w:rFonts w:hint="default" w:ascii="Symbol" w:hAnsi="Symbol"/>
      </w:rPr>
    </w:lvl>
    <w:lvl w:ilvl="4" w:tplc="9C8E8A20" w:tentative="1">
      <w:start w:val="1"/>
      <w:numFmt w:val="bullet"/>
      <w:lvlText w:val="o"/>
      <w:lvlJc w:val="left"/>
      <w:pPr>
        <w:ind w:left="4320" w:hanging="360"/>
      </w:pPr>
      <w:rPr>
        <w:rFonts w:hint="default" w:ascii="Courier New" w:hAnsi="Courier New" w:cs="Courier New"/>
      </w:rPr>
    </w:lvl>
    <w:lvl w:ilvl="5" w:tplc="763A0424" w:tentative="1">
      <w:start w:val="1"/>
      <w:numFmt w:val="bullet"/>
      <w:lvlText w:val=""/>
      <w:lvlJc w:val="left"/>
      <w:pPr>
        <w:ind w:left="5040" w:hanging="360"/>
      </w:pPr>
      <w:rPr>
        <w:rFonts w:hint="default" w:ascii="Wingdings" w:hAnsi="Wingdings"/>
      </w:rPr>
    </w:lvl>
    <w:lvl w:ilvl="6" w:tplc="13D8A0D2" w:tentative="1">
      <w:start w:val="1"/>
      <w:numFmt w:val="bullet"/>
      <w:lvlText w:val=""/>
      <w:lvlJc w:val="left"/>
      <w:pPr>
        <w:ind w:left="5760" w:hanging="360"/>
      </w:pPr>
      <w:rPr>
        <w:rFonts w:hint="default" w:ascii="Symbol" w:hAnsi="Symbol"/>
      </w:rPr>
    </w:lvl>
    <w:lvl w:ilvl="7" w:tplc="3FFAD144" w:tentative="1">
      <w:start w:val="1"/>
      <w:numFmt w:val="bullet"/>
      <w:lvlText w:val="o"/>
      <w:lvlJc w:val="left"/>
      <w:pPr>
        <w:ind w:left="6480" w:hanging="360"/>
      </w:pPr>
      <w:rPr>
        <w:rFonts w:hint="default" w:ascii="Courier New" w:hAnsi="Courier New" w:cs="Courier New"/>
      </w:rPr>
    </w:lvl>
    <w:lvl w:ilvl="8" w:tplc="A364C738" w:tentative="1">
      <w:start w:val="1"/>
      <w:numFmt w:val="bullet"/>
      <w:lvlText w:val=""/>
      <w:lvlJc w:val="left"/>
      <w:pPr>
        <w:ind w:left="7200" w:hanging="360"/>
      </w:pPr>
      <w:rPr>
        <w:rFonts w:hint="default" w:ascii="Wingdings" w:hAnsi="Wingdings"/>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tplc="5BBA617A">
      <w:start w:val="1"/>
      <w:numFmt w:val="decimal"/>
      <w:pStyle w:val="ScheduleHeading-Single"/>
      <w:lvlText w:val="Schedule"/>
      <w:lvlJc w:val="left"/>
      <w:pPr>
        <w:tabs>
          <w:tab w:val="num" w:pos="720"/>
        </w:tabs>
        <w:ind w:left="720" w:hanging="720"/>
      </w:pPr>
      <w:rPr>
        <w:color w:val="000000"/>
      </w:rPr>
    </w:lvl>
    <w:lvl w:ilvl="1" w:tplc="20803288" w:tentative="1">
      <w:start w:val="1"/>
      <w:numFmt w:val="lowerLetter"/>
      <w:lvlText w:val="%2."/>
      <w:lvlJc w:val="left"/>
      <w:pPr>
        <w:tabs>
          <w:tab w:val="num" w:pos="1440"/>
        </w:tabs>
        <w:ind w:left="1440" w:hanging="360"/>
      </w:pPr>
    </w:lvl>
    <w:lvl w:ilvl="2" w:tplc="E05CB912" w:tentative="1">
      <w:start w:val="1"/>
      <w:numFmt w:val="lowerRoman"/>
      <w:lvlText w:val="%3."/>
      <w:lvlJc w:val="right"/>
      <w:pPr>
        <w:tabs>
          <w:tab w:val="num" w:pos="2160"/>
        </w:tabs>
        <w:ind w:left="2160" w:hanging="180"/>
      </w:pPr>
    </w:lvl>
    <w:lvl w:ilvl="3" w:tplc="7550202A" w:tentative="1">
      <w:start w:val="1"/>
      <w:numFmt w:val="decimal"/>
      <w:lvlText w:val="%4."/>
      <w:lvlJc w:val="left"/>
      <w:pPr>
        <w:tabs>
          <w:tab w:val="num" w:pos="2880"/>
        </w:tabs>
        <w:ind w:left="2880" w:hanging="360"/>
      </w:pPr>
    </w:lvl>
    <w:lvl w:ilvl="4" w:tplc="72F82988" w:tentative="1">
      <w:start w:val="1"/>
      <w:numFmt w:val="lowerLetter"/>
      <w:lvlText w:val="%5."/>
      <w:lvlJc w:val="left"/>
      <w:pPr>
        <w:tabs>
          <w:tab w:val="num" w:pos="3600"/>
        </w:tabs>
        <w:ind w:left="3600" w:hanging="360"/>
      </w:pPr>
    </w:lvl>
    <w:lvl w:ilvl="5" w:tplc="A0A677EA" w:tentative="1">
      <w:start w:val="1"/>
      <w:numFmt w:val="lowerRoman"/>
      <w:lvlText w:val="%6."/>
      <w:lvlJc w:val="right"/>
      <w:pPr>
        <w:tabs>
          <w:tab w:val="num" w:pos="4320"/>
        </w:tabs>
        <w:ind w:left="4320" w:hanging="180"/>
      </w:pPr>
    </w:lvl>
    <w:lvl w:ilvl="6" w:tplc="DD00DCE0" w:tentative="1">
      <w:start w:val="1"/>
      <w:numFmt w:val="decimal"/>
      <w:lvlText w:val="%7."/>
      <w:lvlJc w:val="left"/>
      <w:pPr>
        <w:tabs>
          <w:tab w:val="num" w:pos="5040"/>
        </w:tabs>
        <w:ind w:left="5040" w:hanging="360"/>
      </w:pPr>
    </w:lvl>
    <w:lvl w:ilvl="7" w:tplc="28605976" w:tentative="1">
      <w:start w:val="1"/>
      <w:numFmt w:val="lowerLetter"/>
      <w:lvlText w:val="%8."/>
      <w:lvlJc w:val="left"/>
      <w:pPr>
        <w:tabs>
          <w:tab w:val="num" w:pos="5760"/>
        </w:tabs>
        <w:ind w:left="5760" w:hanging="360"/>
      </w:pPr>
    </w:lvl>
    <w:lvl w:ilvl="8" w:tplc="9BBE4852"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tplc="A95CA166">
      <w:start w:val="1"/>
      <w:numFmt w:val="upperLetter"/>
      <w:pStyle w:val="Annex"/>
      <w:lvlText w:val="ANNEX %1"/>
      <w:lvlJc w:val="left"/>
      <w:rPr>
        <w:rFonts w:hint="default" w:cs="Times New Roman"/>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CD8966E" w:tentative="1">
      <w:start w:val="1"/>
      <w:numFmt w:val="lowerLetter"/>
      <w:lvlText w:val="%2."/>
      <w:lvlJc w:val="left"/>
      <w:pPr>
        <w:ind w:left="1440" w:hanging="360"/>
      </w:pPr>
    </w:lvl>
    <w:lvl w:ilvl="2" w:tplc="92A40448" w:tentative="1">
      <w:start w:val="1"/>
      <w:numFmt w:val="lowerRoman"/>
      <w:lvlText w:val="%3."/>
      <w:lvlJc w:val="right"/>
      <w:pPr>
        <w:ind w:left="2160" w:hanging="180"/>
      </w:pPr>
    </w:lvl>
    <w:lvl w:ilvl="3" w:tplc="B0867B3C" w:tentative="1">
      <w:start w:val="1"/>
      <w:numFmt w:val="decimal"/>
      <w:lvlText w:val="%4."/>
      <w:lvlJc w:val="left"/>
      <w:pPr>
        <w:ind w:left="2880" w:hanging="360"/>
      </w:pPr>
    </w:lvl>
    <w:lvl w:ilvl="4" w:tplc="52E8E890" w:tentative="1">
      <w:start w:val="1"/>
      <w:numFmt w:val="lowerLetter"/>
      <w:lvlText w:val="%5."/>
      <w:lvlJc w:val="left"/>
      <w:pPr>
        <w:ind w:left="3600" w:hanging="360"/>
      </w:pPr>
    </w:lvl>
    <w:lvl w:ilvl="5" w:tplc="6EC87746" w:tentative="1">
      <w:start w:val="1"/>
      <w:numFmt w:val="lowerRoman"/>
      <w:lvlText w:val="%6."/>
      <w:lvlJc w:val="right"/>
      <w:pPr>
        <w:ind w:left="4320" w:hanging="180"/>
      </w:pPr>
    </w:lvl>
    <w:lvl w:ilvl="6" w:tplc="402C5FB0" w:tentative="1">
      <w:start w:val="1"/>
      <w:numFmt w:val="decimal"/>
      <w:lvlText w:val="%7."/>
      <w:lvlJc w:val="left"/>
      <w:pPr>
        <w:ind w:left="5040" w:hanging="360"/>
      </w:pPr>
    </w:lvl>
    <w:lvl w:ilvl="7" w:tplc="65D63B22" w:tentative="1">
      <w:start w:val="1"/>
      <w:numFmt w:val="lowerLetter"/>
      <w:lvlText w:val="%8."/>
      <w:lvlJc w:val="left"/>
      <w:pPr>
        <w:ind w:left="5760" w:hanging="360"/>
      </w:pPr>
    </w:lvl>
    <w:lvl w:ilvl="8" w:tplc="1A7C4C7A"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tplc="973A0604">
      <w:start w:val="1"/>
      <w:numFmt w:val="decimal"/>
      <w:pStyle w:val="QuestionParagraph"/>
      <w:lvlText w:val="%1."/>
      <w:lvlJc w:val="left"/>
      <w:pPr>
        <w:ind w:left="720" w:hanging="360"/>
      </w:pPr>
      <w:rPr>
        <w:color w:val="000000"/>
      </w:rPr>
    </w:lvl>
    <w:lvl w:ilvl="1" w:tplc="125484D0" w:tentative="1">
      <w:start w:val="1"/>
      <w:numFmt w:val="lowerLetter"/>
      <w:lvlText w:val="%2."/>
      <w:lvlJc w:val="left"/>
      <w:pPr>
        <w:ind w:left="1440" w:hanging="360"/>
      </w:pPr>
    </w:lvl>
    <w:lvl w:ilvl="2" w:tplc="9146C45C" w:tentative="1">
      <w:start w:val="1"/>
      <w:numFmt w:val="lowerRoman"/>
      <w:lvlText w:val="%3."/>
      <w:lvlJc w:val="right"/>
      <w:pPr>
        <w:ind w:left="2160" w:hanging="180"/>
      </w:pPr>
    </w:lvl>
    <w:lvl w:ilvl="3" w:tplc="B3205D0C" w:tentative="1">
      <w:start w:val="1"/>
      <w:numFmt w:val="decimal"/>
      <w:lvlText w:val="%4."/>
      <w:lvlJc w:val="left"/>
      <w:pPr>
        <w:ind w:left="2880" w:hanging="360"/>
      </w:pPr>
    </w:lvl>
    <w:lvl w:ilvl="4" w:tplc="2E001A6A" w:tentative="1">
      <w:start w:val="1"/>
      <w:numFmt w:val="lowerLetter"/>
      <w:lvlText w:val="%5."/>
      <w:lvlJc w:val="left"/>
      <w:pPr>
        <w:ind w:left="3600" w:hanging="360"/>
      </w:pPr>
    </w:lvl>
    <w:lvl w:ilvl="5" w:tplc="B8066894" w:tentative="1">
      <w:start w:val="1"/>
      <w:numFmt w:val="lowerRoman"/>
      <w:lvlText w:val="%6."/>
      <w:lvlJc w:val="right"/>
      <w:pPr>
        <w:ind w:left="4320" w:hanging="180"/>
      </w:pPr>
    </w:lvl>
    <w:lvl w:ilvl="6" w:tplc="54FA75B6" w:tentative="1">
      <w:start w:val="1"/>
      <w:numFmt w:val="decimal"/>
      <w:lvlText w:val="%7."/>
      <w:lvlJc w:val="left"/>
      <w:pPr>
        <w:ind w:left="5040" w:hanging="360"/>
      </w:pPr>
    </w:lvl>
    <w:lvl w:ilvl="7" w:tplc="66EE390E" w:tentative="1">
      <w:start w:val="1"/>
      <w:numFmt w:val="lowerLetter"/>
      <w:lvlText w:val="%8."/>
      <w:lvlJc w:val="left"/>
      <w:pPr>
        <w:ind w:left="5760" w:hanging="360"/>
      </w:pPr>
    </w:lvl>
    <w:lvl w:ilvl="8" w:tplc="3D4C02FC"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tplc="AF46C424">
      <w:start w:val="1"/>
      <w:numFmt w:val="bullet"/>
      <w:pStyle w:val="subclause2Bullet2"/>
      <w:lvlText w:val=""/>
      <w:lvlJc w:val="left"/>
      <w:pPr>
        <w:ind w:left="2279" w:hanging="360"/>
      </w:pPr>
      <w:rPr>
        <w:rFonts w:hint="default" w:ascii="Symbol" w:hAnsi="Symbol"/>
        <w:color w:val="000000"/>
      </w:rPr>
    </w:lvl>
    <w:lvl w:ilvl="1" w:tplc="0E4A6DC2" w:tentative="1">
      <w:start w:val="1"/>
      <w:numFmt w:val="bullet"/>
      <w:lvlText w:val="o"/>
      <w:lvlJc w:val="left"/>
      <w:pPr>
        <w:ind w:left="2999" w:hanging="360"/>
      </w:pPr>
      <w:rPr>
        <w:rFonts w:hint="default" w:ascii="Courier New" w:hAnsi="Courier New" w:cs="Courier New"/>
      </w:rPr>
    </w:lvl>
    <w:lvl w:ilvl="2" w:tplc="27089FBC" w:tentative="1">
      <w:start w:val="1"/>
      <w:numFmt w:val="bullet"/>
      <w:lvlText w:val=""/>
      <w:lvlJc w:val="left"/>
      <w:pPr>
        <w:ind w:left="3719" w:hanging="360"/>
      </w:pPr>
      <w:rPr>
        <w:rFonts w:hint="default" w:ascii="Wingdings" w:hAnsi="Wingdings"/>
      </w:rPr>
    </w:lvl>
    <w:lvl w:ilvl="3" w:tplc="7BC0F3D4" w:tentative="1">
      <w:start w:val="1"/>
      <w:numFmt w:val="bullet"/>
      <w:lvlText w:val=""/>
      <w:lvlJc w:val="left"/>
      <w:pPr>
        <w:ind w:left="4439" w:hanging="360"/>
      </w:pPr>
      <w:rPr>
        <w:rFonts w:hint="default" w:ascii="Symbol" w:hAnsi="Symbol"/>
      </w:rPr>
    </w:lvl>
    <w:lvl w:ilvl="4" w:tplc="9BDE08C8" w:tentative="1">
      <w:start w:val="1"/>
      <w:numFmt w:val="bullet"/>
      <w:lvlText w:val="o"/>
      <w:lvlJc w:val="left"/>
      <w:pPr>
        <w:ind w:left="5159" w:hanging="360"/>
      </w:pPr>
      <w:rPr>
        <w:rFonts w:hint="default" w:ascii="Courier New" w:hAnsi="Courier New" w:cs="Courier New"/>
      </w:rPr>
    </w:lvl>
    <w:lvl w:ilvl="5" w:tplc="30847DA4" w:tentative="1">
      <w:start w:val="1"/>
      <w:numFmt w:val="bullet"/>
      <w:lvlText w:val=""/>
      <w:lvlJc w:val="left"/>
      <w:pPr>
        <w:ind w:left="5879" w:hanging="360"/>
      </w:pPr>
      <w:rPr>
        <w:rFonts w:hint="default" w:ascii="Wingdings" w:hAnsi="Wingdings"/>
      </w:rPr>
    </w:lvl>
    <w:lvl w:ilvl="6" w:tplc="6E901906" w:tentative="1">
      <w:start w:val="1"/>
      <w:numFmt w:val="bullet"/>
      <w:lvlText w:val=""/>
      <w:lvlJc w:val="left"/>
      <w:pPr>
        <w:ind w:left="6599" w:hanging="360"/>
      </w:pPr>
      <w:rPr>
        <w:rFonts w:hint="default" w:ascii="Symbol" w:hAnsi="Symbol"/>
      </w:rPr>
    </w:lvl>
    <w:lvl w:ilvl="7" w:tplc="6A140B78" w:tentative="1">
      <w:start w:val="1"/>
      <w:numFmt w:val="bullet"/>
      <w:lvlText w:val="o"/>
      <w:lvlJc w:val="left"/>
      <w:pPr>
        <w:ind w:left="7319" w:hanging="360"/>
      </w:pPr>
      <w:rPr>
        <w:rFonts w:hint="default" w:ascii="Courier New" w:hAnsi="Courier New" w:cs="Courier New"/>
      </w:rPr>
    </w:lvl>
    <w:lvl w:ilvl="8" w:tplc="4C50EDFE" w:tentative="1">
      <w:start w:val="1"/>
      <w:numFmt w:val="bullet"/>
      <w:lvlText w:val=""/>
      <w:lvlJc w:val="left"/>
      <w:pPr>
        <w:ind w:left="8039" w:hanging="360"/>
      </w:pPr>
      <w:rPr>
        <w:rFonts w:hint="default" w:ascii="Wingdings" w:hAnsi="Wingdings"/>
      </w:rPr>
    </w:lvl>
  </w:abstractNum>
  <w:abstractNum w:abstractNumId="7" w15:restartNumberingAfterBreak="0">
    <w:nsid w:val="31E9741F"/>
    <w:multiLevelType w:val="hybridMultilevel"/>
    <w:tmpl w:val="0CAC7D4E"/>
    <w:lvl w:ilvl="0" w:tplc="1B7E2E42">
      <w:start w:val="1"/>
      <w:numFmt w:val="bullet"/>
      <w:pStyle w:val="BulletList2"/>
      <w:lvlText w:val=""/>
      <w:lvlJc w:val="left"/>
      <w:pPr>
        <w:tabs>
          <w:tab w:val="num" w:pos="1077"/>
        </w:tabs>
        <w:ind w:left="1077" w:hanging="357"/>
      </w:pPr>
      <w:rPr>
        <w:rFonts w:hint="default" w:ascii="Symbol" w:hAnsi="Symbol"/>
        <w:color w:val="000000"/>
      </w:rPr>
    </w:lvl>
    <w:lvl w:ilvl="1" w:tplc="DFCC153E" w:tentative="1">
      <w:start w:val="1"/>
      <w:numFmt w:val="bullet"/>
      <w:lvlText w:val="o"/>
      <w:lvlJc w:val="left"/>
      <w:pPr>
        <w:tabs>
          <w:tab w:val="num" w:pos="1440"/>
        </w:tabs>
        <w:ind w:left="1440" w:hanging="360"/>
      </w:pPr>
      <w:rPr>
        <w:rFonts w:hint="default" w:ascii="Courier New" w:hAnsi="Courier New" w:cs="Courier New"/>
      </w:rPr>
    </w:lvl>
    <w:lvl w:ilvl="2" w:tplc="4796D026" w:tentative="1">
      <w:start w:val="1"/>
      <w:numFmt w:val="bullet"/>
      <w:lvlText w:val=""/>
      <w:lvlJc w:val="left"/>
      <w:pPr>
        <w:tabs>
          <w:tab w:val="num" w:pos="2160"/>
        </w:tabs>
        <w:ind w:left="2160" w:hanging="360"/>
      </w:pPr>
      <w:rPr>
        <w:rFonts w:hint="default" w:ascii="Wingdings" w:hAnsi="Wingdings"/>
      </w:rPr>
    </w:lvl>
    <w:lvl w:ilvl="3" w:tplc="CC402DDE" w:tentative="1">
      <w:start w:val="1"/>
      <w:numFmt w:val="bullet"/>
      <w:lvlText w:val=""/>
      <w:lvlJc w:val="left"/>
      <w:pPr>
        <w:tabs>
          <w:tab w:val="num" w:pos="2880"/>
        </w:tabs>
        <w:ind w:left="2880" w:hanging="360"/>
      </w:pPr>
      <w:rPr>
        <w:rFonts w:hint="default" w:ascii="Symbol" w:hAnsi="Symbol"/>
      </w:rPr>
    </w:lvl>
    <w:lvl w:ilvl="4" w:tplc="1EA27BD6" w:tentative="1">
      <w:start w:val="1"/>
      <w:numFmt w:val="bullet"/>
      <w:lvlText w:val="o"/>
      <w:lvlJc w:val="left"/>
      <w:pPr>
        <w:tabs>
          <w:tab w:val="num" w:pos="3600"/>
        </w:tabs>
        <w:ind w:left="3600" w:hanging="360"/>
      </w:pPr>
      <w:rPr>
        <w:rFonts w:hint="default" w:ascii="Courier New" w:hAnsi="Courier New" w:cs="Courier New"/>
      </w:rPr>
    </w:lvl>
    <w:lvl w:ilvl="5" w:tplc="3AF66B4E" w:tentative="1">
      <w:start w:val="1"/>
      <w:numFmt w:val="bullet"/>
      <w:lvlText w:val=""/>
      <w:lvlJc w:val="left"/>
      <w:pPr>
        <w:tabs>
          <w:tab w:val="num" w:pos="4320"/>
        </w:tabs>
        <w:ind w:left="4320" w:hanging="360"/>
      </w:pPr>
      <w:rPr>
        <w:rFonts w:hint="default" w:ascii="Wingdings" w:hAnsi="Wingdings"/>
      </w:rPr>
    </w:lvl>
    <w:lvl w:ilvl="6" w:tplc="2C22713C" w:tentative="1">
      <w:start w:val="1"/>
      <w:numFmt w:val="bullet"/>
      <w:lvlText w:val=""/>
      <w:lvlJc w:val="left"/>
      <w:pPr>
        <w:tabs>
          <w:tab w:val="num" w:pos="5040"/>
        </w:tabs>
        <w:ind w:left="5040" w:hanging="360"/>
      </w:pPr>
      <w:rPr>
        <w:rFonts w:hint="default" w:ascii="Symbol" w:hAnsi="Symbol"/>
      </w:rPr>
    </w:lvl>
    <w:lvl w:ilvl="7" w:tplc="69B6C5F6" w:tentative="1">
      <w:start w:val="1"/>
      <w:numFmt w:val="bullet"/>
      <w:lvlText w:val="o"/>
      <w:lvlJc w:val="left"/>
      <w:pPr>
        <w:tabs>
          <w:tab w:val="num" w:pos="5760"/>
        </w:tabs>
        <w:ind w:left="5760" w:hanging="360"/>
      </w:pPr>
      <w:rPr>
        <w:rFonts w:hint="default" w:ascii="Courier New" w:hAnsi="Courier New" w:cs="Courier New"/>
      </w:rPr>
    </w:lvl>
    <w:lvl w:ilvl="8" w:tplc="EC54D680"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3CC668D"/>
    <w:multiLevelType w:val="hybridMultilevel"/>
    <w:tmpl w:val="594C4DAE"/>
    <w:lvl w:ilvl="0" w:tplc="2A9E37C4">
      <w:start w:val="1"/>
      <w:numFmt w:val="bullet"/>
      <w:pStyle w:val="Bullet4"/>
      <w:lvlText w:val=""/>
      <w:lvlJc w:val="left"/>
      <w:pPr>
        <w:tabs>
          <w:tab w:val="num" w:pos="2676"/>
        </w:tabs>
        <w:ind w:left="2676" w:hanging="357"/>
      </w:pPr>
      <w:rPr>
        <w:rFonts w:hint="default" w:ascii="Symbol" w:hAnsi="Symbol"/>
        <w:color w:val="000000"/>
      </w:rPr>
    </w:lvl>
    <w:lvl w:ilvl="1" w:tplc="CC3CA72A" w:tentative="1">
      <w:start w:val="1"/>
      <w:numFmt w:val="bullet"/>
      <w:lvlText w:val="o"/>
      <w:lvlJc w:val="left"/>
      <w:pPr>
        <w:tabs>
          <w:tab w:val="num" w:pos="1440"/>
        </w:tabs>
        <w:ind w:left="1440" w:hanging="360"/>
      </w:pPr>
      <w:rPr>
        <w:rFonts w:hint="default" w:ascii="Courier New" w:hAnsi="Courier New" w:cs="Courier New"/>
      </w:rPr>
    </w:lvl>
    <w:lvl w:ilvl="2" w:tplc="98E289DE" w:tentative="1">
      <w:start w:val="1"/>
      <w:numFmt w:val="bullet"/>
      <w:lvlText w:val=""/>
      <w:lvlJc w:val="left"/>
      <w:pPr>
        <w:tabs>
          <w:tab w:val="num" w:pos="2160"/>
        </w:tabs>
        <w:ind w:left="2160" w:hanging="360"/>
      </w:pPr>
      <w:rPr>
        <w:rFonts w:hint="default" w:ascii="Wingdings" w:hAnsi="Wingdings"/>
      </w:rPr>
    </w:lvl>
    <w:lvl w:ilvl="3" w:tplc="904664FC" w:tentative="1">
      <w:start w:val="1"/>
      <w:numFmt w:val="bullet"/>
      <w:lvlText w:val=""/>
      <w:lvlJc w:val="left"/>
      <w:pPr>
        <w:tabs>
          <w:tab w:val="num" w:pos="2880"/>
        </w:tabs>
        <w:ind w:left="2880" w:hanging="360"/>
      </w:pPr>
      <w:rPr>
        <w:rFonts w:hint="default" w:ascii="Symbol" w:hAnsi="Symbol"/>
      </w:rPr>
    </w:lvl>
    <w:lvl w:ilvl="4" w:tplc="976EF780" w:tentative="1">
      <w:start w:val="1"/>
      <w:numFmt w:val="bullet"/>
      <w:lvlText w:val="o"/>
      <w:lvlJc w:val="left"/>
      <w:pPr>
        <w:tabs>
          <w:tab w:val="num" w:pos="3600"/>
        </w:tabs>
        <w:ind w:left="3600" w:hanging="360"/>
      </w:pPr>
      <w:rPr>
        <w:rFonts w:hint="default" w:ascii="Courier New" w:hAnsi="Courier New" w:cs="Courier New"/>
      </w:rPr>
    </w:lvl>
    <w:lvl w:ilvl="5" w:tplc="6FAA575E" w:tentative="1">
      <w:start w:val="1"/>
      <w:numFmt w:val="bullet"/>
      <w:lvlText w:val=""/>
      <w:lvlJc w:val="left"/>
      <w:pPr>
        <w:tabs>
          <w:tab w:val="num" w:pos="4320"/>
        </w:tabs>
        <w:ind w:left="4320" w:hanging="360"/>
      </w:pPr>
      <w:rPr>
        <w:rFonts w:hint="default" w:ascii="Wingdings" w:hAnsi="Wingdings"/>
      </w:rPr>
    </w:lvl>
    <w:lvl w:ilvl="6" w:tplc="1444D1D6" w:tentative="1">
      <w:start w:val="1"/>
      <w:numFmt w:val="bullet"/>
      <w:lvlText w:val=""/>
      <w:lvlJc w:val="left"/>
      <w:pPr>
        <w:tabs>
          <w:tab w:val="num" w:pos="5040"/>
        </w:tabs>
        <w:ind w:left="5040" w:hanging="360"/>
      </w:pPr>
      <w:rPr>
        <w:rFonts w:hint="default" w:ascii="Symbol" w:hAnsi="Symbol"/>
      </w:rPr>
    </w:lvl>
    <w:lvl w:ilvl="7" w:tplc="8EF60A5C" w:tentative="1">
      <w:start w:val="1"/>
      <w:numFmt w:val="bullet"/>
      <w:lvlText w:val="o"/>
      <w:lvlJc w:val="left"/>
      <w:pPr>
        <w:tabs>
          <w:tab w:val="num" w:pos="5760"/>
        </w:tabs>
        <w:ind w:left="5760" w:hanging="360"/>
      </w:pPr>
      <w:rPr>
        <w:rFonts w:hint="default" w:ascii="Courier New" w:hAnsi="Courier New" w:cs="Courier New"/>
      </w:rPr>
    </w:lvl>
    <w:lvl w:ilvl="8" w:tplc="C436F7BE"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tplc="C548174E">
      <w:start w:val="1"/>
      <w:numFmt w:val="bullet"/>
      <w:pStyle w:val="ClauseBullet2"/>
      <w:lvlText w:val=""/>
      <w:lvlJc w:val="left"/>
      <w:pPr>
        <w:ind w:left="1440" w:hanging="360"/>
      </w:pPr>
      <w:rPr>
        <w:rFonts w:hint="default" w:ascii="Symbol" w:hAnsi="Symbol"/>
        <w:color w:val="000000"/>
      </w:rPr>
    </w:lvl>
    <w:lvl w:ilvl="1" w:tplc="48F423C2" w:tentative="1">
      <w:start w:val="1"/>
      <w:numFmt w:val="bullet"/>
      <w:lvlText w:val="o"/>
      <w:lvlJc w:val="left"/>
      <w:pPr>
        <w:ind w:left="2160" w:hanging="360"/>
      </w:pPr>
      <w:rPr>
        <w:rFonts w:hint="default" w:ascii="Courier New" w:hAnsi="Courier New" w:cs="Courier New"/>
      </w:rPr>
    </w:lvl>
    <w:lvl w:ilvl="2" w:tplc="4D44A3C4" w:tentative="1">
      <w:start w:val="1"/>
      <w:numFmt w:val="bullet"/>
      <w:lvlText w:val=""/>
      <w:lvlJc w:val="left"/>
      <w:pPr>
        <w:ind w:left="2880" w:hanging="360"/>
      </w:pPr>
      <w:rPr>
        <w:rFonts w:hint="default" w:ascii="Wingdings" w:hAnsi="Wingdings"/>
      </w:rPr>
    </w:lvl>
    <w:lvl w:ilvl="3" w:tplc="422E5A14" w:tentative="1">
      <w:start w:val="1"/>
      <w:numFmt w:val="bullet"/>
      <w:lvlText w:val=""/>
      <w:lvlJc w:val="left"/>
      <w:pPr>
        <w:ind w:left="3600" w:hanging="360"/>
      </w:pPr>
      <w:rPr>
        <w:rFonts w:hint="default" w:ascii="Symbol" w:hAnsi="Symbol"/>
      </w:rPr>
    </w:lvl>
    <w:lvl w:ilvl="4" w:tplc="1FEE603C" w:tentative="1">
      <w:start w:val="1"/>
      <w:numFmt w:val="bullet"/>
      <w:lvlText w:val="o"/>
      <w:lvlJc w:val="left"/>
      <w:pPr>
        <w:ind w:left="4320" w:hanging="360"/>
      </w:pPr>
      <w:rPr>
        <w:rFonts w:hint="default" w:ascii="Courier New" w:hAnsi="Courier New" w:cs="Courier New"/>
      </w:rPr>
    </w:lvl>
    <w:lvl w:ilvl="5" w:tplc="7700CB88" w:tentative="1">
      <w:start w:val="1"/>
      <w:numFmt w:val="bullet"/>
      <w:lvlText w:val=""/>
      <w:lvlJc w:val="left"/>
      <w:pPr>
        <w:ind w:left="5040" w:hanging="360"/>
      </w:pPr>
      <w:rPr>
        <w:rFonts w:hint="default" w:ascii="Wingdings" w:hAnsi="Wingdings"/>
      </w:rPr>
    </w:lvl>
    <w:lvl w:ilvl="6" w:tplc="BC605BEC" w:tentative="1">
      <w:start w:val="1"/>
      <w:numFmt w:val="bullet"/>
      <w:lvlText w:val=""/>
      <w:lvlJc w:val="left"/>
      <w:pPr>
        <w:ind w:left="5760" w:hanging="360"/>
      </w:pPr>
      <w:rPr>
        <w:rFonts w:hint="default" w:ascii="Symbol" w:hAnsi="Symbol"/>
      </w:rPr>
    </w:lvl>
    <w:lvl w:ilvl="7" w:tplc="C42418D2" w:tentative="1">
      <w:start w:val="1"/>
      <w:numFmt w:val="bullet"/>
      <w:lvlText w:val="o"/>
      <w:lvlJc w:val="left"/>
      <w:pPr>
        <w:ind w:left="6480" w:hanging="360"/>
      </w:pPr>
      <w:rPr>
        <w:rFonts w:hint="default" w:ascii="Courier New" w:hAnsi="Courier New" w:cs="Courier New"/>
      </w:rPr>
    </w:lvl>
    <w:lvl w:ilvl="8" w:tplc="8FAE6896" w:tentative="1">
      <w:start w:val="1"/>
      <w:numFmt w:val="bullet"/>
      <w:lvlText w:val=""/>
      <w:lvlJc w:val="left"/>
      <w:pPr>
        <w:ind w:left="7200" w:hanging="360"/>
      </w:pPr>
      <w:rPr>
        <w:rFonts w:hint="default" w:ascii="Wingdings" w:hAnsi="Wingdings"/>
      </w:rPr>
    </w:lvl>
  </w:abstractNum>
  <w:abstractNum w:abstractNumId="11" w15:restartNumberingAfterBreak="0">
    <w:nsid w:val="44D67987"/>
    <w:multiLevelType w:val="hybridMultilevel"/>
    <w:tmpl w:val="EBD6FB80"/>
    <w:lvl w:ilvl="0" w:tplc="A2808D18">
      <w:start w:val="1"/>
      <w:numFmt w:val="bullet"/>
      <w:pStyle w:val="subclause1Bullet2"/>
      <w:lvlText w:val=""/>
      <w:lvlJc w:val="left"/>
      <w:pPr>
        <w:ind w:left="1440" w:hanging="360"/>
      </w:pPr>
      <w:rPr>
        <w:rFonts w:hint="default" w:ascii="Symbol" w:hAnsi="Symbol"/>
        <w:color w:val="000000"/>
      </w:rPr>
    </w:lvl>
    <w:lvl w:ilvl="1" w:tplc="73CA679E" w:tentative="1">
      <w:start w:val="1"/>
      <w:numFmt w:val="bullet"/>
      <w:lvlText w:val="o"/>
      <w:lvlJc w:val="left"/>
      <w:pPr>
        <w:ind w:left="2160" w:hanging="360"/>
      </w:pPr>
      <w:rPr>
        <w:rFonts w:hint="default" w:ascii="Courier New" w:hAnsi="Courier New" w:cs="Courier New"/>
      </w:rPr>
    </w:lvl>
    <w:lvl w:ilvl="2" w:tplc="9CEA583A" w:tentative="1">
      <w:start w:val="1"/>
      <w:numFmt w:val="bullet"/>
      <w:lvlText w:val=""/>
      <w:lvlJc w:val="left"/>
      <w:pPr>
        <w:ind w:left="2880" w:hanging="360"/>
      </w:pPr>
      <w:rPr>
        <w:rFonts w:hint="default" w:ascii="Wingdings" w:hAnsi="Wingdings"/>
      </w:rPr>
    </w:lvl>
    <w:lvl w:ilvl="3" w:tplc="1A7C6AE2" w:tentative="1">
      <w:start w:val="1"/>
      <w:numFmt w:val="bullet"/>
      <w:lvlText w:val=""/>
      <w:lvlJc w:val="left"/>
      <w:pPr>
        <w:ind w:left="3600" w:hanging="360"/>
      </w:pPr>
      <w:rPr>
        <w:rFonts w:hint="default" w:ascii="Symbol" w:hAnsi="Symbol"/>
      </w:rPr>
    </w:lvl>
    <w:lvl w:ilvl="4" w:tplc="D5AE36F4" w:tentative="1">
      <w:start w:val="1"/>
      <w:numFmt w:val="bullet"/>
      <w:lvlText w:val="o"/>
      <w:lvlJc w:val="left"/>
      <w:pPr>
        <w:ind w:left="4320" w:hanging="360"/>
      </w:pPr>
      <w:rPr>
        <w:rFonts w:hint="default" w:ascii="Courier New" w:hAnsi="Courier New" w:cs="Courier New"/>
      </w:rPr>
    </w:lvl>
    <w:lvl w:ilvl="5" w:tplc="8A1CC612" w:tentative="1">
      <w:start w:val="1"/>
      <w:numFmt w:val="bullet"/>
      <w:lvlText w:val=""/>
      <w:lvlJc w:val="left"/>
      <w:pPr>
        <w:ind w:left="5040" w:hanging="360"/>
      </w:pPr>
      <w:rPr>
        <w:rFonts w:hint="default" w:ascii="Wingdings" w:hAnsi="Wingdings"/>
      </w:rPr>
    </w:lvl>
    <w:lvl w:ilvl="6" w:tplc="3CD4FA94" w:tentative="1">
      <w:start w:val="1"/>
      <w:numFmt w:val="bullet"/>
      <w:lvlText w:val=""/>
      <w:lvlJc w:val="left"/>
      <w:pPr>
        <w:ind w:left="5760" w:hanging="360"/>
      </w:pPr>
      <w:rPr>
        <w:rFonts w:hint="default" w:ascii="Symbol" w:hAnsi="Symbol"/>
      </w:rPr>
    </w:lvl>
    <w:lvl w:ilvl="7" w:tplc="B73C1DDE" w:tentative="1">
      <w:start w:val="1"/>
      <w:numFmt w:val="bullet"/>
      <w:lvlText w:val="o"/>
      <w:lvlJc w:val="left"/>
      <w:pPr>
        <w:ind w:left="6480" w:hanging="360"/>
      </w:pPr>
      <w:rPr>
        <w:rFonts w:hint="default" w:ascii="Courier New" w:hAnsi="Courier New" w:cs="Courier New"/>
      </w:rPr>
    </w:lvl>
    <w:lvl w:ilvl="8" w:tplc="1F66E4EE" w:tentative="1">
      <w:start w:val="1"/>
      <w:numFmt w:val="bullet"/>
      <w:lvlText w:val=""/>
      <w:lvlJc w:val="left"/>
      <w:pPr>
        <w:ind w:left="7200" w:hanging="360"/>
      </w:pPr>
      <w:rPr>
        <w:rFonts w:hint="default" w:ascii="Wingdings" w:hAnsi="Wingdings"/>
      </w:rPr>
    </w:lvl>
  </w:abstractNum>
  <w:abstractNum w:abstractNumId="12" w15:restartNumberingAfterBreak="0">
    <w:nsid w:val="44E96665"/>
    <w:multiLevelType w:val="hybridMultilevel"/>
    <w:tmpl w:val="EF1E142A"/>
    <w:lvl w:ilvl="0" w:tplc="D55A73B2">
      <w:start w:val="1"/>
      <w:numFmt w:val="bullet"/>
      <w:pStyle w:val="subclause3Bullet1"/>
      <w:lvlText w:val=""/>
      <w:lvlJc w:val="left"/>
      <w:pPr>
        <w:ind w:left="2988" w:hanging="360"/>
      </w:pPr>
      <w:rPr>
        <w:rFonts w:hint="default" w:ascii="Symbol" w:hAnsi="Symbol"/>
        <w:color w:val="000000"/>
      </w:rPr>
    </w:lvl>
    <w:lvl w:ilvl="1" w:tplc="0268C16E" w:tentative="1">
      <w:start w:val="1"/>
      <w:numFmt w:val="bullet"/>
      <w:lvlText w:val="o"/>
      <w:lvlJc w:val="left"/>
      <w:pPr>
        <w:ind w:left="3708" w:hanging="360"/>
      </w:pPr>
      <w:rPr>
        <w:rFonts w:hint="default" w:ascii="Courier New" w:hAnsi="Courier New" w:cs="Courier New"/>
      </w:rPr>
    </w:lvl>
    <w:lvl w:ilvl="2" w:tplc="428C7608" w:tentative="1">
      <w:start w:val="1"/>
      <w:numFmt w:val="bullet"/>
      <w:lvlText w:val=""/>
      <w:lvlJc w:val="left"/>
      <w:pPr>
        <w:ind w:left="4428" w:hanging="360"/>
      </w:pPr>
      <w:rPr>
        <w:rFonts w:hint="default" w:ascii="Wingdings" w:hAnsi="Wingdings"/>
      </w:rPr>
    </w:lvl>
    <w:lvl w:ilvl="3" w:tplc="B4CA39F2" w:tentative="1">
      <w:start w:val="1"/>
      <w:numFmt w:val="bullet"/>
      <w:lvlText w:val=""/>
      <w:lvlJc w:val="left"/>
      <w:pPr>
        <w:ind w:left="5148" w:hanging="360"/>
      </w:pPr>
      <w:rPr>
        <w:rFonts w:hint="default" w:ascii="Symbol" w:hAnsi="Symbol"/>
      </w:rPr>
    </w:lvl>
    <w:lvl w:ilvl="4" w:tplc="869808C2" w:tentative="1">
      <w:start w:val="1"/>
      <w:numFmt w:val="bullet"/>
      <w:lvlText w:val="o"/>
      <w:lvlJc w:val="left"/>
      <w:pPr>
        <w:ind w:left="5868" w:hanging="360"/>
      </w:pPr>
      <w:rPr>
        <w:rFonts w:hint="default" w:ascii="Courier New" w:hAnsi="Courier New" w:cs="Courier New"/>
      </w:rPr>
    </w:lvl>
    <w:lvl w:ilvl="5" w:tplc="388261F8" w:tentative="1">
      <w:start w:val="1"/>
      <w:numFmt w:val="bullet"/>
      <w:lvlText w:val=""/>
      <w:lvlJc w:val="left"/>
      <w:pPr>
        <w:ind w:left="6588" w:hanging="360"/>
      </w:pPr>
      <w:rPr>
        <w:rFonts w:hint="default" w:ascii="Wingdings" w:hAnsi="Wingdings"/>
      </w:rPr>
    </w:lvl>
    <w:lvl w:ilvl="6" w:tplc="C24A1482" w:tentative="1">
      <w:start w:val="1"/>
      <w:numFmt w:val="bullet"/>
      <w:lvlText w:val=""/>
      <w:lvlJc w:val="left"/>
      <w:pPr>
        <w:ind w:left="7308" w:hanging="360"/>
      </w:pPr>
      <w:rPr>
        <w:rFonts w:hint="default" w:ascii="Symbol" w:hAnsi="Symbol"/>
      </w:rPr>
    </w:lvl>
    <w:lvl w:ilvl="7" w:tplc="0FA8DD58" w:tentative="1">
      <w:start w:val="1"/>
      <w:numFmt w:val="bullet"/>
      <w:lvlText w:val="o"/>
      <w:lvlJc w:val="left"/>
      <w:pPr>
        <w:ind w:left="8028" w:hanging="360"/>
      </w:pPr>
      <w:rPr>
        <w:rFonts w:hint="default" w:ascii="Courier New" w:hAnsi="Courier New" w:cs="Courier New"/>
      </w:rPr>
    </w:lvl>
    <w:lvl w:ilvl="8" w:tplc="032E5854" w:tentative="1">
      <w:start w:val="1"/>
      <w:numFmt w:val="bullet"/>
      <w:lvlText w:val=""/>
      <w:lvlJc w:val="left"/>
      <w:pPr>
        <w:ind w:left="8748" w:hanging="360"/>
      </w:pPr>
      <w:rPr>
        <w:rFonts w:hint="default" w:ascii="Wingdings" w:hAnsi="Wingdings"/>
      </w:rPr>
    </w:lvl>
  </w:abstractNum>
  <w:abstractNum w:abstractNumId="13" w15:restartNumberingAfterBreak="0">
    <w:nsid w:val="46AC04C6"/>
    <w:multiLevelType w:val="hybridMultilevel"/>
    <w:tmpl w:val="E6C47700"/>
    <w:lvl w:ilvl="0" w:tplc="5158F630">
      <w:start w:val="1"/>
      <w:numFmt w:val="bullet"/>
      <w:pStyle w:val="subclause2Bullet1"/>
      <w:lvlText w:val=""/>
      <w:lvlJc w:val="left"/>
      <w:pPr>
        <w:ind w:left="2279" w:hanging="360"/>
      </w:pPr>
      <w:rPr>
        <w:rFonts w:hint="default" w:ascii="Symbol" w:hAnsi="Symbol"/>
        <w:color w:val="000000"/>
      </w:rPr>
    </w:lvl>
    <w:lvl w:ilvl="1" w:tplc="426C789E" w:tentative="1">
      <w:start w:val="1"/>
      <w:numFmt w:val="bullet"/>
      <w:lvlText w:val="o"/>
      <w:lvlJc w:val="left"/>
      <w:pPr>
        <w:ind w:left="2999" w:hanging="360"/>
      </w:pPr>
      <w:rPr>
        <w:rFonts w:hint="default" w:ascii="Courier New" w:hAnsi="Courier New" w:cs="Courier New"/>
      </w:rPr>
    </w:lvl>
    <w:lvl w:ilvl="2" w:tplc="C8EC8C68" w:tentative="1">
      <w:start w:val="1"/>
      <w:numFmt w:val="bullet"/>
      <w:lvlText w:val=""/>
      <w:lvlJc w:val="left"/>
      <w:pPr>
        <w:ind w:left="3719" w:hanging="360"/>
      </w:pPr>
      <w:rPr>
        <w:rFonts w:hint="default" w:ascii="Wingdings" w:hAnsi="Wingdings"/>
      </w:rPr>
    </w:lvl>
    <w:lvl w:ilvl="3" w:tplc="0C847974" w:tentative="1">
      <w:start w:val="1"/>
      <w:numFmt w:val="bullet"/>
      <w:lvlText w:val=""/>
      <w:lvlJc w:val="left"/>
      <w:pPr>
        <w:ind w:left="4439" w:hanging="360"/>
      </w:pPr>
      <w:rPr>
        <w:rFonts w:hint="default" w:ascii="Symbol" w:hAnsi="Symbol"/>
      </w:rPr>
    </w:lvl>
    <w:lvl w:ilvl="4" w:tplc="EC0AF48A" w:tentative="1">
      <w:start w:val="1"/>
      <w:numFmt w:val="bullet"/>
      <w:lvlText w:val="o"/>
      <w:lvlJc w:val="left"/>
      <w:pPr>
        <w:ind w:left="5159" w:hanging="360"/>
      </w:pPr>
      <w:rPr>
        <w:rFonts w:hint="default" w:ascii="Courier New" w:hAnsi="Courier New" w:cs="Courier New"/>
      </w:rPr>
    </w:lvl>
    <w:lvl w:ilvl="5" w:tplc="DA2C5AA2" w:tentative="1">
      <w:start w:val="1"/>
      <w:numFmt w:val="bullet"/>
      <w:lvlText w:val=""/>
      <w:lvlJc w:val="left"/>
      <w:pPr>
        <w:ind w:left="5879" w:hanging="360"/>
      </w:pPr>
      <w:rPr>
        <w:rFonts w:hint="default" w:ascii="Wingdings" w:hAnsi="Wingdings"/>
      </w:rPr>
    </w:lvl>
    <w:lvl w:ilvl="6" w:tplc="5C024070" w:tentative="1">
      <w:start w:val="1"/>
      <w:numFmt w:val="bullet"/>
      <w:lvlText w:val=""/>
      <w:lvlJc w:val="left"/>
      <w:pPr>
        <w:ind w:left="6599" w:hanging="360"/>
      </w:pPr>
      <w:rPr>
        <w:rFonts w:hint="default" w:ascii="Symbol" w:hAnsi="Symbol"/>
      </w:rPr>
    </w:lvl>
    <w:lvl w:ilvl="7" w:tplc="9BC4161C" w:tentative="1">
      <w:start w:val="1"/>
      <w:numFmt w:val="bullet"/>
      <w:lvlText w:val="o"/>
      <w:lvlJc w:val="left"/>
      <w:pPr>
        <w:ind w:left="7319" w:hanging="360"/>
      </w:pPr>
      <w:rPr>
        <w:rFonts w:hint="default" w:ascii="Courier New" w:hAnsi="Courier New" w:cs="Courier New"/>
      </w:rPr>
    </w:lvl>
    <w:lvl w:ilvl="8" w:tplc="86A87408" w:tentative="1">
      <w:start w:val="1"/>
      <w:numFmt w:val="bullet"/>
      <w:lvlText w:val=""/>
      <w:lvlJc w:val="left"/>
      <w:pPr>
        <w:ind w:left="8039" w:hanging="360"/>
      </w:pPr>
      <w:rPr>
        <w:rFonts w:hint="default" w:ascii="Wingdings" w:hAnsi="Wingdings"/>
      </w:rPr>
    </w:lvl>
  </w:abstractNum>
  <w:abstractNum w:abstractNumId="14" w15:restartNumberingAfterBreak="0">
    <w:nsid w:val="47F42723"/>
    <w:multiLevelType w:val="hybridMultilevel"/>
    <w:tmpl w:val="C5A02EE6"/>
    <w:lvl w:ilvl="0" w:tplc="A97217FC">
      <w:start w:val="1"/>
      <w:numFmt w:val="bullet"/>
      <w:pStyle w:val="subclause1Bullet1"/>
      <w:lvlText w:val=""/>
      <w:lvlJc w:val="left"/>
      <w:pPr>
        <w:ind w:left="1440" w:hanging="360"/>
      </w:pPr>
      <w:rPr>
        <w:rFonts w:hint="default" w:ascii="Symbol" w:hAnsi="Symbol"/>
        <w:color w:val="000000"/>
      </w:rPr>
    </w:lvl>
    <w:lvl w:ilvl="1" w:tplc="95100652" w:tentative="1">
      <w:start w:val="1"/>
      <w:numFmt w:val="bullet"/>
      <w:lvlText w:val="o"/>
      <w:lvlJc w:val="left"/>
      <w:pPr>
        <w:ind w:left="2160" w:hanging="360"/>
      </w:pPr>
      <w:rPr>
        <w:rFonts w:hint="default" w:ascii="Courier New" w:hAnsi="Courier New" w:cs="Courier New"/>
      </w:rPr>
    </w:lvl>
    <w:lvl w:ilvl="2" w:tplc="B7DE6D88" w:tentative="1">
      <w:start w:val="1"/>
      <w:numFmt w:val="bullet"/>
      <w:lvlText w:val=""/>
      <w:lvlJc w:val="left"/>
      <w:pPr>
        <w:ind w:left="2880" w:hanging="360"/>
      </w:pPr>
      <w:rPr>
        <w:rFonts w:hint="default" w:ascii="Wingdings" w:hAnsi="Wingdings"/>
      </w:rPr>
    </w:lvl>
    <w:lvl w:ilvl="3" w:tplc="5C688E90" w:tentative="1">
      <w:start w:val="1"/>
      <w:numFmt w:val="bullet"/>
      <w:lvlText w:val=""/>
      <w:lvlJc w:val="left"/>
      <w:pPr>
        <w:ind w:left="3600" w:hanging="360"/>
      </w:pPr>
      <w:rPr>
        <w:rFonts w:hint="default" w:ascii="Symbol" w:hAnsi="Symbol"/>
      </w:rPr>
    </w:lvl>
    <w:lvl w:ilvl="4" w:tplc="CD5CEB20" w:tentative="1">
      <w:start w:val="1"/>
      <w:numFmt w:val="bullet"/>
      <w:lvlText w:val="o"/>
      <w:lvlJc w:val="left"/>
      <w:pPr>
        <w:ind w:left="4320" w:hanging="360"/>
      </w:pPr>
      <w:rPr>
        <w:rFonts w:hint="default" w:ascii="Courier New" w:hAnsi="Courier New" w:cs="Courier New"/>
      </w:rPr>
    </w:lvl>
    <w:lvl w:ilvl="5" w:tplc="F2DEE728" w:tentative="1">
      <w:start w:val="1"/>
      <w:numFmt w:val="bullet"/>
      <w:lvlText w:val=""/>
      <w:lvlJc w:val="left"/>
      <w:pPr>
        <w:ind w:left="5040" w:hanging="360"/>
      </w:pPr>
      <w:rPr>
        <w:rFonts w:hint="default" w:ascii="Wingdings" w:hAnsi="Wingdings"/>
      </w:rPr>
    </w:lvl>
    <w:lvl w:ilvl="6" w:tplc="AC82AA62" w:tentative="1">
      <w:start w:val="1"/>
      <w:numFmt w:val="bullet"/>
      <w:lvlText w:val=""/>
      <w:lvlJc w:val="left"/>
      <w:pPr>
        <w:ind w:left="5760" w:hanging="360"/>
      </w:pPr>
      <w:rPr>
        <w:rFonts w:hint="default" w:ascii="Symbol" w:hAnsi="Symbol"/>
      </w:rPr>
    </w:lvl>
    <w:lvl w:ilvl="7" w:tplc="26781332" w:tentative="1">
      <w:start w:val="1"/>
      <w:numFmt w:val="bullet"/>
      <w:lvlText w:val="o"/>
      <w:lvlJc w:val="left"/>
      <w:pPr>
        <w:ind w:left="6480" w:hanging="360"/>
      </w:pPr>
      <w:rPr>
        <w:rFonts w:hint="default" w:ascii="Courier New" w:hAnsi="Courier New" w:cs="Courier New"/>
      </w:rPr>
    </w:lvl>
    <w:lvl w:ilvl="8" w:tplc="B236588E" w:tentative="1">
      <w:start w:val="1"/>
      <w:numFmt w:val="bullet"/>
      <w:lvlText w:val=""/>
      <w:lvlJc w:val="left"/>
      <w:pPr>
        <w:ind w:left="7200" w:hanging="360"/>
      </w:pPr>
      <w:rPr>
        <w:rFonts w:hint="default" w:ascii="Wingdings" w:hAnsi="Wingdings"/>
      </w:rPr>
    </w:lvl>
  </w:abstractNum>
  <w:abstractNum w:abstractNumId="15" w15:restartNumberingAfterBreak="0">
    <w:nsid w:val="55CB0AF0"/>
    <w:multiLevelType w:val="hybridMultilevel"/>
    <w:tmpl w:val="EB98B43A"/>
    <w:lvl w:ilvl="0" w:tplc="CE6CA1C8">
      <w:start w:val="1"/>
      <w:numFmt w:val="decimal"/>
      <w:pStyle w:val="LongQuestionPara"/>
      <w:lvlText w:val="%1."/>
      <w:lvlJc w:val="left"/>
      <w:pPr>
        <w:ind w:left="360" w:hanging="360"/>
      </w:pPr>
      <w:rPr>
        <w:rFonts w:hint="default"/>
        <w:b/>
        <w:i w:val="0"/>
        <w:color w:val="000000"/>
        <w:sz w:val="24"/>
      </w:rPr>
    </w:lvl>
    <w:lvl w:ilvl="1" w:tplc="DF181D1C" w:tentative="1">
      <w:start w:val="1"/>
      <w:numFmt w:val="lowerLetter"/>
      <w:lvlText w:val="%2."/>
      <w:lvlJc w:val="left"/>
      <w:pPr>
        <w:ind w:left="1440" w:hanging="360"/>
      </w:pPr>
    </w:lvl>
    <w:lvl w:ilvl="2" w:tplc="19DA1F38" w:tentative="1">
      <w:start w:val="1"/>
      <w:numFmt w:val="lowerRoman"/>
      <w:lvlText w:val="%3."/>
      <w:lvlJc w:val="right"/>
      <w:pPr>
        <w:ind w:left="2160" w:hanging="180"/>
      </w:pPr>
    </w:lvl>
    <w:lvl w:ilvl="3" w:tplc="0D361238" w:tentative="1">
      <w:start w:val="1"/>
      <w:numFmt w:val="decimal"/>
      <w:lvlText w:val="%4."/>
      <w:lvlJc w:val="left"/>
      <w:pPr>
        <w:ind w:left="2880" w:hanging="360"/>
      </w:pPr>
    </w:lvl>
    <w:lvl w:ilvl="4" w:tplc="2D8E1942" w:tentative="1">
      <w:start w:val="1"/>
      <w:numFmt w:val="lowerLetter"/>
      <w:lvlText w:val="%5."/>
      <w:lvlJc w:val="left"/>
      <w:pPr>
        <w:ind w:left="3600" w:hanging="360"/>
      </w:pPr>
    </w:lvl>
    <w:lvl w:ilvl="5" w:tplc="70A6044A" w:tentative="1">
      <w:start w:val="1"/>
      <w:numFmt w:val="lowerRoman"/>
      <w:lvlText w:val="%6."/>
      <w:lvlJc w:val="right"/>
      <w:pPr>
        <w:ind w:left="4320" w:hanging="180"/>
      </w:pPr>
    </w:lvl>
    <w:lvl w:ilvl="6" w:tplc="09405F50" w:tentative="1">
      <w:start w:val="1"/>
      <w:numFmt w:val="decimal"/>
      <w:lvlText w:val="%7."/>
      <w:lvlJc w:val="left"/>
      <w:pPr>
        <w:ind w:left="5040" w:hanging="360"/>
      </w:pPr>
    </w:lvl>
    <w:lvl w:ilvl="7" w:tplc="104C7E70" w:tentative="1">
      <w:start w:val="1"/>
      <w:numFmt w:val="lowerLetter"/>
      <w:lvlText w:val="%8."/>
      <w:lvlJc w:val="left"/>
      <w:pPr>
        <w:ind w:left="5760" w:hanging="360"/>
      </w:pPr>
    </w:lvl>
    <w:lvl w:ilvl="8" w:tplc="1980B934"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tplc="8474007A">
      <w:start w:val="1"/>
      <w:numFmt w:val="bullet"/>
      <w:pStyle w:val="ClauseBullet1"/>
      <w:lvlText w:val=""/>
      <w:lvlJc w:val="left"/>
      <w:pPr>
        <w:ind w:left="1080" w:hanging="360"/>
      </w:pPr>
      <w:rPr>
        <w:rFonts w:hint="default" w:ascii="Symbol" w:hAnsi="Symbol"/>
        <w:color w:val="000000"/>
      </w:rPr>
    </w:lvl>
    <w:lvl w:ilvl="1" w:tplc="A7529ADA" w:tentative="1">
      <w:start w:val="1"/>
      <w:numFmt w:val="bullet"/>
      <w:lvlText w:val="o"/>
      <w:lvlJc w:val="left"/>
      <w:pPr>
        <w:ind w:left="1800" w:hanging="360"/>
      </w:pPr>
      <w:rPr>
        <w:rFonts w:hint="default" w:ascii="Courier New" w:hAnsi="Courier New" w:cs="Courier New"/>
      </w:rPr>
    </w:lvl>
    <w:lvl w:ilvl="2" w:tplc="0D8069FE" w:tentative="1">
      <w:start w:val="1"/>
      <w:numFmt w:val="bullet"/>
      <w:lvlText w:val=""/>
      <w:lvlJc w:val="left"/>
      <w:pPr>
        <w:ind w:left="2520" w:hanging="360"/>
      </w:pPr>
      <w:rPr>
        <w:rFonts w:hint="default" w:ascii="Wingdings" w:hAnsi="Wingdings"/>
      </w:rPr>
    </w:lvl>
    <w:lvl w:ilvl="3" w:tplc="C9AC67F2" w:tentative="1">
      <w:start w:val="1"/>
      <w:numFmt w:val="bullet"/>
      <w:lvlText w:val=""/>
      <w:lvlJc w:val="left"/>
      <w:pPr>
        <w:ind w:left="3240" w:hanging="360"/>
      </w:pPr>
      <w:rPr>
        <w:rFonts w:hint="default" w:ascii="Symbol" w:hAnsi="Symbol"/>
      </w:rPr>
    </w:lvl>
    <w:lvl w:ilvl="4" w:tplc="487E7A22" w:tentative="1">
      <w:start w:val="1"/>
      <w:numFmt w:val="bullet"/>
      <w:lvlText w:val="o"/>
      <w:lvlJc w:val="left"/>
      <w:pPr>
        <w:ind w:left="3960" w:hanging="360"/>
      </w:pPr>
      <w:rPr>
        <w:rFonts w:hint="default" w:ascii="Courier New" w:hAnsi="Courier New" w:cs="Courier New"/>
      </w:rPr>
    </w:lvl>
    <w:lvl w:ilvl="5" w:tplc="D67291C4" w:tentative="1">
      <w:start w:val="1"/>
      <w:numFmt w:val="bullet"/>
      <w:lvlText w:val=""/>
      <w:lvlJc w:val="left"/>
      <w:pPr>
        <w:ind w:left="4680" w:hanging="360"/>
      </w:pPr>
      <w:rPr>
        <w:rFonts w:hint="default" w:ascii="Wingdings" w:hAnsi="Wingdings"/>
      </w:rPr>
    </w:lvl>
    <w:lvl w:ilvl="6" w:tplc="B1164CB4" w:tentative="1">
      <w:start w:val="1"/>
      <w:numFmt w:val="bullet"/>
      <w:lvlText w:val=""/>
      <w:lvlJc w:val="left"/>
      <w:pPr>
        <w:ind w:left="5400" w:hanging="360"/>
      </w:pPr>
      <w:rPr>
        <w:rFonts w:hint="default" w:ascii="Symbol" w:hAnsi="Symbol"/>
      </w:rPr>
    </w:lvl>
    <w:lvl w:ilvl="7" w:tplc="2586EE64" w:tentative="1">
      <w:start w:val="1"/>
      <w:numFmt w:val="bullet"/>
      <w:lvlText w:val="o"/>
      <w:lvlJc w:val="left"/>
      <w:pPr>
        <w:ind w:left="6120" w:hanging="360"/>
      </w:pPr>
      <w:rPr>
        <w:rFonts w:hint="default" w:ascii="Courier New" w:hAnsi="Courier New" w:cs="Courier New"/>
      </w:rPr>
    </w:lvl>
    <w:lvl w:ilvl="8" w:tplc="36AE23EE" w:tentative="1">
      <w:start w:val="1"/>
      <w:numFmt w:val="bullet"/>
      <w:lvlText w:val=""/>
      <w:lvlJc w:val="left"/>
      <w:pPr>
        <w:ind w:left="6840" w:hanging="360"/>
      </w:pPr>
      <w:rPr>
        <w:rFonts w:hint="default" w:ascii="Wingdings" w:hAnsi="Wingdings"/>
      </w:rPr>
    </w:lvl>
  </w:abstractNum>
  <w:abstractNum w:abstractNumId="18" w15:restartNumberingAfterBreak="0">
    <w:nsid w:val="642371CD"/>
    <w:multiLevelType w:val="hybridMultilevel"/>
    <w:tmpl w:val="3B76A654"/>
    <w:lvl w:ilvl="0" w:tplc="631CAECE">
      <w:start w:val="1"/>
      <w:numFmt w:val="bullet"/>
      <w:pStyle w:val="subclause3Bullet2"/>
      <w:lvlText w:val=""/>
      <w:lvlJc w:val="left"/>
      <w:pPr>
        <w:ind w:left="3748" w:hanging="360"/>
      </w:pPr>
      <w:rPr>
        <w:rFonts w:hint="default" w:ascii="Symbol" w:hAnsi="Symbol"/>
        <w:color w:val="000000"/>
      </w:rPr>
    </w:lvl>
    <w:lvl w:ilvl="1" w:tplc="B1106072" w:tentative="1">
      <w:start w:val="1"/>
      <w:numFmt w:val="bullet"/>
      <w:lvlText w:val="o"/>
      <w:lvlJc w:val="left"/>
      <w:pPr>
        <w:ind w:left="4468" w:hanging="360"/>
      </w:pPr>
      <w:rPr>
        <w:rFonts w:hint="default" w:ascii="Courier New" w:hAnsi="Courier New" w:cs="Courier New"/>
      </w:rPr>
    </w:lvl>
    <w:lvl w:ilvl="2" w:tplc="6238968E" w:tentative="1">
      <w:start w:val="1"/>
      <w:numFmt w:val="bullet"/>
      <w:lvlText w:val=""/>
      <w:lvlJc w:val="left"/>
      <w:pPr>
        <w:ind w:left="5188" w:hanging="360"/>
      </w:pPr>
      <w:rPr>
        <w:rFonts w:hint="default" w:ascii="Wingdings" w:hAnsi="Wingdings"/>
      </w:rPr>
    </w:lvl>
    <w:lvl w:ilvl="3" w:tplc="3432CB78" w:tentative="1">
      <w:start w:val="1"/>
      <w:numFmt w:val="bullet"/>
      <w:lvlText w:val=""/>
      <w:lvlJc w:val="left"/>
      <w:pPr>
        <w:ind w:left="5908" w:hanging="360"/>
      </w:pPr>
      <w:rPr>
        <w:rFonts w:hint="default" w:ascii="Symbol" w:hAnsi="Symbol"/>
      </w:rPr>
    </w:lvl>
    <w:lvl w:ilvl="4" w:tplc="30E426E2" w:tentative="1">
      <w:start w:val="1"/>
      <w:numFmt w:val="bullet"/>
      <w:lvlText w:val="o"/>
      <w:lvlJc w:val="left"/>
      <w:pPr>
        <w:ind w:left="6628" w:hanging="360"/>
      </w:pPr>
      <w:rPr>
        <w:rFonts w:hint="default" w:ascii="Courier New" w:hAnsi="Courier New" w:cs="Courier New"/>
      </w:rPr>
    </w:lvl>
    <w:lvl w:ilvl="5" w:tplc="02DE4FCC" w:tentative="1">
      <w:start w:val="1"/>
      <w:numFmt w:val="bullet"/>
      <w:lvlText w:val=""/>
      <w:lvlJc w:val="left"/>
      <w:pPr>
        <w:ind w:left="7348" w:hanging="360"/>
      </w:pPr>
      <w:rPr>
        <w:rFonts w:hint="default" w:ascii="Wingdings" w:hAnsi="Wingdings"/>
      </w:rPr>
    </w:lvl>
    <w:lvl w:ilvl="6" w:tplc="AA9EE0FE" w:tentative="1">
      <w:start w:val="1"/>
      <w:numFmt w:val="bullet"/>
      <w:lvlText w:val=""/>
      <w:lvlJc w:val="left"/>
      <w:pPr>
        <w:ind w:left="8068" w:hanging="360"/>
      </w:pPr>
      <w:rPr>
        <w:rFonts w:hint="default" w:ascii="Symbol" w:hAnsi="Symbol"/>
      </w:rPr>
    </w:lvl>
    <w:lvl w:ilvl="7" w:tplc="2B141664" w:tentative="1">
      <w:start w:val="1"/>
      <w:numFmt w:val="bullet"/>
      <w:lvlText w:val="o"/>
      <w:lvlJc w:val="left"/>
      <w:pPr>
        <w:ind w:left="8788" w:hanging="360"/>
      </w:pPr>
      <w:rPr>
        <w:rFonts w:hint="default" w:ascii="Courier New" w:hAnsi="Courier New" w:cs="Courier New"/>
      </w:rPr>
    </w:lvl>
    <w:lvl w:ilvl="8" w:tplc="568A3E8C" w:tentative="1">
      <w:start w:val="1"/>
      <w:numFmt w:val="bullet"/>
      <w:lvlText w:val=""/>
      <w:lvlJc w:val="left"/>
      <w:pPr>
        <w:ind w:left="9508" w:hanging="360"/>
      </w:pPr>
      <w:rPr>
        <w:rFonts w:hint="default" w:ascii="Wingdings" w:hAnsi="Wingdings"/>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tplc="A4C80160">
      <w:start w:val="1"/>
      <w:numFmt w:val="bullet"/>
      <w:pStyle w:val="BulletList1"/>
      <w:lvlText w:val="·"/>
      <w:lvlJc w:val="left"/>
      <w:pPr>
        <w:tabs>
          <w:tab w:val="num" w:pos="360"/>
        </w:tabs>
        <w:ind w:left="360" w:hanging="360"/>
      </w:pPr>
      <w:rPr>
        <w:rFonts w:hint="default" w:ascii="Symbol" w:hAnsi="Symbol"/>
        <w:color w:val="000000"/>
      </w:rPr>
    </w:lvl>
    <w:lvl w:ilvl="1" w:tplc="27D22730" w:tentative="1">
      <w:start w:val="1"/>
      <w:numFmt w:val="bullet"/>
      <w:lvlText w:val="·"/>
      <w:lvlJc w:val="left"/>
      <w:pPr>
        <w:tabs>
          <w:tab w:val="num" w:pos="1440"/>
        </w:tabs>
        <w:ind w:left="1440" w:hanging="360"/>
      </w:pPr>
      <w:rPr>
        <w:rFonts w:hint="default" w:ascii="Symbol" w:hAnsi="Symbol"/>
      </w:rPr>
    </w:lvl>
    <w:lvl w:ilvl="2" w:tplc="B9DCD13E" w:tentative="1">
      <w:start w:val="1"/>
      <w:numFmt w:val="bullet"/>
      <w:lvlText w:val="·"/>
      <w:lvlJc w:val="left"/>
      <w:pPr>
        <w:tabs>
          <w:tab w:val="num" w:pos="2160"/>
        </w:tabs>
        <w:ind w:left="2160" w:hanging="360"/>
      </w:pPr>
      <w:rPr>
        <w:rFonts w:hint="default" w:ascii="Symbol" w:hAnsi="Symbol"/>
      </w:rPr>
    </w:lvl>
    <w:lvl w:ilvl="3" w:tplc="F4C0F97E" w:tentative="1">
      <w:start w:val="1"/>
      <w:numFmt w:val="bullet"/>
      <w:lvlText w:val="·"/>
      <w:lvlJc w:val="left"/>
      <w:pPr>
        <w:tabs>
          <w:tab w:val="num" w:pos="2880"/>
        </w:tabs>
        <w:ind w:left="2880" w:hanging="360"/>
      </w:pPr>
      <w:rPr>
        <w:rFonts w:hint="default" w:ascii="Symbol" w:hAnsi="Symbol"/>
      </w:rPr>
    </w:lvl>
    <w:lvl w:ilvl="4" w:tplc="E594E536" w:tentative="1">
      <w:start w:val="1"/>
      <w:numFmt w:val="bullet"/>
      <w:lvlText w:val="o"/>
      <w:lvlJc w:val="left"/>
      <w:pPr>
        <w:tabs>
          <w:tab w:val="num" w:pos="3600"/>
        </w:tabs>
        <w:ind w:left="3600" w:hanging="360"/>
      </w:pPr>
      <w:rPr>
        <w:rFonts w:hint="default" w:ascii="Courier New" w:hAnsi="Courier New"/>
      </w:rPr>
    </w:lvl>
    <w:lvl w:ilvl="5" w:tplc="0D04C41A" w:tentative="1">
      <w:start w:val="1"/>
      <w:numFmt w:val="bullet"/>
      <w:lvlText w:val="§"/>
      <w:lvlJc w:val="left"/>
      <w:pPr>
        <w:tabs>
          <w:tab w:val="num" w:pos="4320"/>
        </w:tabs>
        <w:ind w:left="4320" w:hanging="360"/>
      </w:pPr>
      <w:rPr>
        <w:rFonts w:hint="default" w:ascii="Wingdings" w:hAnsi="Wingdings"/>
      </w:rPr>
    </w:lvl>
    <w:lvl w:ilvl="6" w:tplc="9BDE0BB2" w:tentative="1">
      <w:start w:val="1"/>
      <w:numFmt w:val="bullet"/>
      <w:lvlText w:val="·"/>
      <w:lvlJc w:val="left"/>
      <w:pPr>
        <w:tabs>
          <w:tab w:val="num" w:pos="5040"/>
        </w:tabs>
        <w:ind w:left="5040" w:hanging="360"/>
      </w:pPr>
      <w:rPr>
        <w:rFonts w:hint="default" w:ascii="Symbol" w:hAnsi="Symbol"/>
      </w:rPr>
    </w:lvl>
    <w:lvl w:ilvl="7" w:tplc="2EF27CBE" w:tentative="1">
      <w:start w:val="1"/>
      <w:numFmt w:val="bullet"/>
      <w:lvlText w:val="o"/>
      <w:lvlJc w:val="left"/>
      <w:pPr>
        <w:tabs>
          <w:tab w:val="num" w:pos="5760"/>
        </w:tabs>
        <w:ind w:left="5760" w:hanging="360"/>
      </w:pPr>
      <w:rPr>
        <w:rFonts w:hint="default" w:ascii="Courier New" w:hAnsi="Courier New"/>
      </w:rPr>
    </w:lvl>
    <w:lvl w:ilvl="8" w:tplc="ED4C2492"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tplc="CE9EF8D4">
      <w:start w:val="1"/>
      <w:numFmt w:val="bullet"/>
      <w:pStyle w:val="BulletList3"/>
      <w:lvlText w:val=""/>
      <w:lvlJc w:val="left"/>
      <w:pPr>
        <w:tabs>
          <w:tab w:val="num" w:pos="1945"/>
        </w:tabs>
        <w:ind w:left="1945" w:hanging="357"/>
      </w:pPr>
      <w:rPr>
        <w:rFonts w:hint="default" w:ascii="Symbol" w:hAnsi="Symbol"/>
        <w:color w:val="000000"/>
      </w:rPr>
    </w:lvl>
    <w:lvl w:ilvl="1" w:tplc="810AFA10" w:tentative="1">
      <w:start w:val="1"/>
      <w:numFmt w:val="bullet"/>
      <w:lvlText w:val="o"/>
      <w:lvlJc w:val="left"/>
      <w:pPr>
        <w:tabs>
          <w:tab w:val="num" w:pos="1440"/>
        </w:tabs>
        <w:ind w:left="1440" w:hanging="360"/>
      </w:pPr>
      <w:rPr>
        <w:rFonts w:hint="default" w:ascii="Courier New" w:hAnsi="Courier New" w:cs="Courier New"/>
      </w:rPr>
    </w:lvl>
    <w:lvl w:ilvl="2" w:tplc="F6D02108" w:tentative="1">
      <w:start w:val="1"/>
      <w:numFmt w:val="bullet"/>
      <w:lvlText w:val=""/>
      <w:lvlJc w:val="left"/>
      <w:pPr>
        <w:tabs>
          <w:tab w:val="num" w:pos="2160"/>
        </w:tabs>
        <w:ind w:left="2160" w:hanging="360"/>
      </w:pPr>
      <w:rPr>
        <w:rFonts w:hint="default" w:ascii="Wingdings" w:hAnsi="Wingdings"/>
      </w:rPr>
    </w:lvl>
    <w:lvl w:ilvl="3" w:tplc="73F02B88" w:tentative="1">
      <w:start w:val="1"/>
      <w:numFmt w:val="bullet"/>
      <w:lvlText w:val=""/>
      <w:lvlJc w:val="left"/>
      <w:pPr>
        <w:tabs>
          <w:tab w:val="num" w:pos="2880"/>
        </w:tabs>
        <w:ind w:left="2880" w:hanging="360"/>
      </w:pPr>
      <w:rPr>
        <w:rFonts w:hint="default" w:ascii="Symbol" w:hAnsi="Symbol"/>
      </w:rPr>
    </w:lvl>
    <w:lvl w:ilvl="4" w:tplc="7D1E7530" w:tentative="1">
      <w:start w:val="1"/>
      <w:numFmt w:val="bullet"/>
      <w:lvlText w:val="o"/>
      <w:lvlJc w:val="left"/>
      <w:pPr>
        <w:tabs>
          <w:tab w:val="num" w:pos="3600"/>
        </w:tabs>
        <w:ind w:left="3600" w:hanging="360"/>
      </w:pPr>
      <w:rPr>
        <w:rFonts w:hint="default" w:ascii="Courier New" w:hAnsi="Courier New" w:cs="Courier New"/>
      </w:rPr>
    </w:lvl>
    <w:lvl w:ilvl="5" w:tplc="2A321532" w:tentative="1">
      <w:start w:val="1"/>
      <w:numFmt w:val="bullet"/>
      <w:lvlText w:val=""/>
      <w:lvlJc w:val="left"/>
      <w:pPr>
        <w:tabs>
          <w:tab w:val="num" w:pos="4320"/>
        </w:tabs>
        <w:ind w:left="4320" w:hanging="360"/>
      </w:pPr>
      <w:rPr>
        <w:rFonts w:hint="default" w:ascii="Wingdings" w:hAnsi="Wingdings"/>
      </w:rPr>
    </w:lvl>
    <w:lvl w:ilvl="6" w:tplc="60F4075C" w:tentative="1">
      <w:start w:val="1"/>
      <w:numFmt w:val="bullet"/>
      <w:lvlText w:val=""/>
      <w:lvlJc w:val="left"/>
      <w:pPr>
        <w:tabs>
          <w:tab w:val="num" w:pos="5040"/>
        </w:tabs>
        <w:ind w:left="5040" w:hanging="360"/>
      </w:pPr>
      <w:rPr>
        <w:rFonts w:hint="default" w:ascii="Symbol" w:hAnsi="Symbol"/>
      </w:rPr>
    </w:lvl>
    <w:lvl w:ilvl="7" w:tplc="B8948DC6" w:tentative="1">
      <w:start w:val="1"/>
      <w:numFmt w:val="bullet"/>
      <w:lvlText w:val="o"/>
      <w:lvlJc w:val="left"/>
      <w:pPr>
        <w:tabs>
          <w:tab w:val="num" w:pos="5760"/>
        </w:tabs>
        <w:ind w:left="5760" w:hanging="360"/>
      </w:pPr>
      <w:rPr>
        <w:rFonts w:hint="default" w:ascii="Courier New" w:hAnsi="Courier New" w:cs="Courier New"/>
      </w:rPr>
    </w:lvl>
    <w:lvl w:ilvl="8" w:tplc="69E28FD2"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4"/>
    <w:multiLevelType w:val="multilevel"/>
    <w:tmpl w:val="7DB56451"/>
    <w:numStyleLink w:val="ScheduleListStyle"/>
  </w:abstractNum>
  <w:abstractNum w:abstractNumId="28"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6"/>
    <w:multiLevelType w:val="multilevel"/>
    <w:tmpl w:val="7DB56455"/>
    <w:numStyleLink w:val="PartListStyle"/>
  </w:abstractNum>
  <w:abstractNum w:abstractNumId="30" w15:restartNumberingAfterBreak="0">
    <w:nsid w:val="7DB56457"/>
    <w:multiLevelType w:val="multilevel"/>
    <w:tmpl w:val="7DB56455"/>
    <w:numStyleLink w:val="PartListStyle"/>
  </w:abstractNum>
  <w:abstractNum w:abstractNumId="31" w15:restartNumberingAfterBreak="0">
    <w:nsid w:val="7DB56458"/>
    <w:multiLevelType w:val="multilevel"/>
    <w:tmpl w:val="7DB56459"/>
    <w:numStyleLink w:val="ClauseListStyle"/>
  </w:abstractNum>
  <w:abstractNum w:abstractNumId="3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3" w15:restartNumberingAfterBreak="0">
    <w:nsid w:val="7DB5645A"/>
    <w:multiLevelType w:val="multilevel"/>
    <w:tmpl w:val="7DB56459"/>
    <w:numStyleLink w:val="ClauseListStyle"/>
  </w:abstractNum>
  <w:abstractNum w:abstractNumId="34" w15:restartNumberingAfterBreak="0">
    <w:nsid w:val="7DB5645B"/>
    <w:multiLevelType w:val="multilevel"/>
    <w:tmpl w:val="7DB56459"/>
    <w:numStyleLink w:val="ClauseListStyle"/>
  </w:abstractNum>
  <w:num w:numId="1" w16cid:durableId="1573197080">
    <w:abstractNumId w:val="19"/>
  </w:num>
  <w:num w:numId="2" w16cid:durableId="328756621">
    <w:abstractNumId w:val="20"/>
  </w:num>
  <w:num w:numId="3" w16cid:durableId="310795519">
    <w:abstractNumId w:val="7"/>
  </w:num>
  <w:num w:numId="4" w16cid:durableId="1900827346">
    <w:abstractNumId w:val="23"/>
  </w:num>
  <w:num w:numId="5" w16cid:durableId="1021081758">
    <w:abstractNumId w:val="22"/>
  </w:num>
  <w:num w:numId="6" w16cid:durableId="1067414592">
    <w:abstractNumId w:val="3"/>
  </w:num>
  <w:num w:numId="7" w16cid:durableId="2123726069">
    <w:abstractNumId w:val="9"/>
  </w:num>
  <w:num w:numId="8" w16cid:durableId="2020737043">
    <w:abstractNumId w:val="8"/>
  </w:num>
  <w:num w:numId="9" w16cid:durableId="1859276040">
    <w:abstractNumId w:val="5"/>
  </w:num>
  <w:num w:numId="10" w16cid:durableId="841050923">
    <w:abstractNumId w:val="16"/>
  </w:num>
  <w:num w:numId="11" w16cid:durableId="2073579053">
    <w:abstractNumId w:val="4"/>
  </w:num>
  <w:num w:numId="12" w16cid:durableId="1746490337">
    <w:abstractNumId w:val="15"/>
  </w:num>
  <w:num w:numId="13" w16cid:durableId="220362207">
    <w:abstractNumId w:val="17"/>
  </w:num>
  <w:num w:numId="14" w16cid:durableId="493452546">
    <w:abstractNumId w:val="10"/>
  </w:num>
  <w:num w:numId="15" w16cid:durableId="2032220972">
    <w:abstractNumId w:val="14"/>
  </w:num>
  <w:num w:numId="16" w16cid:durableId="580024526">
    <w:abstractNumId w:val="12"/>
  </w:num>
  <w:num w:numId="17" w16cid:durableId="1901281785">
    <w:abstractNumId w:val="13"/>
  </w:num>
  <w:num w:numId="18" w16cid:durableId="291861050">
    <w:abstractNumId w:val="11"/>
  </w:num>
  <w:num w:numId="19" w16cid:durableId="666984668">
    <w:abstractNumId w:val="6"/>
  </w:num>
  <w:num w:numId="20" w16cid:durableId="1675258126">
    <w:abstractNumId w:val="18"/>
  </w:num>
  <w:num w:numId="21" w16cid:durableId="692728107">
    <w:abstractNumId w:val="1"/>
  </w:num>
  <w:num w:numId="22" w16cid:durableId="1996061490">
    <w:abstractNumId w:val="21"/>
  </w:num>
  <w:num w:numId="23" w16cid:durableId="25955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7614456">
    <w:abstractNumId w:val="24"/>
  </w:num>
  <w:num w:numId="25" w16cid:durableId="364793068">
    <w:abstractNumId w:val="25"/>
  </w:num>
  <w:num w:numId="26" w16cid:durableId="427888845">
    <w:abstractNumId w:val="26"/>
  </w:num>
  <w:num w:numId="27" w16cid:durableId="58290268">
    <w:abstractNumId w:val="28"/>
  </w:num>
  <w:num w:numId="28" w16cid:durableId="162625880">
    <w:abstractNumId w:val="29"/>
  </w:num>
  <w:num w:numId="29" w16cid:durableId="1997607148">
    <w:abstractNumId w:val="30"/>
  </w:num>
  <w:num w:numId="30" w16cid:durableId="297997262">
    <w:abstractNumId w:val="32"/>
  </w:num>
  <w:num w:numId="31" w16cid:durableId="93326108">
    <w:abstractNumId w:val="33"/>
  </w:num>
  <w:num w:numId="32" w16cid:durableId="824013117">
    <w:abstractNumId w:val="34"/>
  </w:num>
  <w:num w:numId="33" w16cid:durableId="1711101529">
    <w:abstractNumId w:val="2"/>
  </w:num>
  <w:num w:numId="34" w16cid:durableId="1894807861">
    <w:abstractNumId w:val="27"/>
  </w:num>
  <w:num w:numId="35" w16cid:durableId="1192839069">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3A0CB45E-DBAD-43AD-939C-4BF101530D58}"/>
  </w:docVars>
  <w:rsids>
    <w:rsidRoot w:val="00247DBA"/>
    <w:rsid w:val="000A794A"/>
    <w:rsid w:val="00150AF0"/>
    <w:rsid w:val="00160D64"/>
    <w:rsid w:val="001764DF"/>
    <w:rsid w:val="00185E4B"/>
    <w:rsid w:val="00247DBA"/>
    <w:rsid w:val="00265A8A"/>
    <w:rsid w:val="002D5DCD"/>
    <w:rsid w:val="003412F6"/>
    <w:rsid w:val="0037380D"/>
    <w:rsid w:val="00391A81"/>
    <w:rsid w:val="003E7781"/>
    <w:rsid w:val="0044517C"/>
    <w:rsid w:val="00531B41"/>
    <w:rsid w:val="005D31CE"/>
    <w:rsid w:val="0066705C"/>
    <w:rsid w:val="00667B40"/>
    <w:rsid w:val="006E3525"/>
    <w:rsid w:val="008062E3"/>
    <w:rsid w:val="008E6B1E"/>
    <w:rsid w:val="009447C0"/>
    <w:rsid w:val="00962B01"/>
    <w:rsid w:val="00A17621"/>
    <w:rsid w:val="00AD0829"/>
    <w:rsid w:val="00B85807"/>
    <w:rsid w:val="00CC1ABE"/>
    <w:rsid w:val="00D4528E"/>
    <w:rsid w:val="00D60AD8"/>
    <w:rsid w:val="00D66D65"/>
    <w:rsid w:val="00D82E44"/>
    <w:rsid w:val="00DD5E84"/>
    <w:rsid w:val="00DE65ED"/>
    <w:rsid w:val="00E779E2"/>
    <w:rsid w:val="00E94A54"/>
    <w:rsid w:val="00F02386"/>
    <w:rsid w:val="00FB5668"/>
    <w:rsid w:val="00FE5290"/>
    <w:rsid w:val="0E402AFB"/>
    <w:rsid w:val="404C22F2"/>
    <w:rsid w:val="677AFE5F"/>
    <w:rsid w:val="7655A5C0"/>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6A24F"/>
  <w15:chartTrackingRefBased/>
  <w15:docId w15:val="{1F5C9B79-48DD-465B-9300-43296B1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0A0C"/>
    <w:pPr>
      <w:spacing w:after="200" w:line="240" w:lineRule="atLeast"/>
    </w:pPr>
    <w:rPr>
      <w:rFonts w:ascii="Arial" w:hAnsi="Arial" w:eastAsia="Arial" w:cs="Arial"/>
      <w:color w:val="000000"/>
      <w:sz w:val="22"/>
      <w:szCs w:val="22"/>
    </w:rPr>
  </w:style>
  <w:style w:type="paragraph" w:styleId="Heading1">
    <w:name w:val="heading 1"/>
    <w:basedOn w:val="Normal"/>
    <w:next w:val="Normal"/>
    <w:link w:val="Heading1Char"/>
    <w:uiPriority w:val="9"/>
    <w:qFormat/>
    <w:rsid w:val="00850A0C"/>
    <w:pPr>
      <w:keepNext/>
      <w:keepLines/>
      <w:numPr>
        <w:numId w:val="10"/>
      </w:numPr>
      <w:spacing w:before="480" w:after="0"/>
      <w:outlineLvl w:val="0"/>
    </w:pPr>
    <w:rPr>
      <w:rFonts w:ascii="Cambria" w:hAnsi="Cambria" w:eastAsia="Times New Roman" w:cs="Times New Roman"/>
      <w:b/>
      <w:bCs/>
      <w:sz w:val="28"/>
      <w:szCs w:val="28"/>
    </w:rPr>
  </w:style>
  <w:style w:type="paragraph" w:styleId="Heading2">
    <w:name w:val="heading 2"/>
    <w:basedOn w:val="Normal"/>
    <w:next w:val="Normal"/>
    <w:link w:val="Heading2Char"/>
    <w:uiPriority w:val="9"/>
    <w:qFormat/>
    <w:rsid w:val="00850A0C"/>
    <w:pPr>
      <w:keepNext/>
      <w:keepLines/>
      <w:numPr>
        <w:ilvl w:val="1"/>
        <w:numId w:val="10"/>
      </w:numPr>
      <w:spacing w:before="200" w:after="0"/>
      <w:outlineLvl w:val="1"/>
    </w:pPr>
    <w:rPr>
      <w:rFonts w:ascii="Cambria" w:hAnsi="Cambria" w:eastAsia="Times New Roman" w:cs="Times New Roman"/>
      <w:b/>
      <w:bCs/>
      <w:sz w:val="26"/>
      <w:szCs w:val="26"/>
    </w:rPr>
  </w:style>
  <w:style w:type="paragraph" w:styleId="Heading3">
    <w:name w:val="heading 3"/>
    <w:basedOn w:val="Normal"/>
    <w:next w:val="Normal"/>
    <w:link w:val="Heading3Char"/>
    <w:uiPriority w:val="9"/>
    <w:qFormat/>
    <w:rsid w:val="00850A0C"/>
    <w:pPr>
      <w:keepNext/>
      <w:keepLines/>
      <w:numPr>
        <w:ilvl w:val="2"/>
        <w:numId w:val="10"/>
      </w:numPr>
      <w:spacing w:before="200" w:after="0"/>
      <w:outlineLvl w:val="2"/>
    </w:pPr>
    <w:rPr>
      <w:rFonts w:ascii="Cambria" w:hAnsi="Cambria" w:eastAsia="Times New Roman" w:cs="Times New Roman"/>
      <w:b/>
      <w:bCs/>
    </w:rPr>
  </w:style>
  <w:style w:type="paragraph" w:styleId="Heading4">
    <w:name w:val="heading 4"/>
    <w:basedOn w:val="Normal"/>
    <w:next w:val="Normal"/>
    <w:link w:val="Heading4Char"/>
    <w:uiPriority w:val="9"/>
    <w:qFormat/>
    <w:rsid w:val="00850A0C"/>
    <w:pPr>
      <w:keepNext/>
      <w:keepLines/>
      <w:numPr>
        <w:ilvl w:val="3"/>
        <w:numId w:val="10"/>
      </w:numPr>
      <w:spacing w:before="200" w:after="0"/>
      <w:outlineLvl w:val="3"/>
    </w:pPr>
    <w:rPr>
      <w:rFonts w:ascii="Cambria" w:hAnsi="Cambria" w:eastAsia="Times New Roman" w:cs="Times New Roman"/>
      <w:b/>
      <w:bCs/>
      <w:i/>
      <w:iCs/>
    </w:rPr>
  </w:style>
  <w:style w:type="paragraph" w:styleId="Heading5">
    <w:name w:val="heading 5"/>
    <w:basedOn w:val="Normal"/>
    <w:next w:val="Normal"/>
    <w:link w:val="Heading5Char"/>
    <w:uiPriority w:val="9"/>
    <w:qFormat/>
    <w:rsid w:val="00850A0C"/>
    <w:pPr>
      <w:keepNext/>
      <w:keepLines/>
      <w:numPr>
        <w:ilvl w:val="4"/>
        <w:numId w:val="10"/>
      </w:numPr>
      <w:spacing w:before="200" w:after="0"/>
      <w:outlineLvl w:val="4"/>
    </w:pPr>
    <w:rPr>
      <w:rFonts w:ascii="Cambria" w:hAnsi="Cambria" w:eastAsia="Times New Roman" w:cs="Times New Roman"/>
    </w:rPr>
  </w:style>
  <w:style w:type="paragraph" w:styleId="Heading6">
    <w:name w:val="heading 6"/>
    <w:basedOn w:val="Normal"/>
    <w:next w:val="Normal"/>
    <w:link w:val="Heading6Char"/>
    <w:uiPriority w:val="9"/>
    <w:qFormat/>
    <w:rsid w:val="00850A0C"/>
    <w:pPr>
      <w:keepNext/>
      <w:keepLines/>
      <w:numPr>
        <w:ilvl w:val="5"/>
        <w:numId w:val="10"/>
      </w:numPr>
      <w:spacing w:before="200" w:after="0"/>
      <w:outlineLvl w:val="5"/>
    </w:pPr>
    <w:rPr>
      <w:rFonts w:ascii="Cambria" w:hAnsi="Cambria" w:eastAsia="Times New Roman" w:cs="Times New Roman"/>
      <w:i/>
      <w:iCs/>
    </w:rPr>
  </w:style>
  <w:style w:type="paragraph" w:styleId="Heading7">
    <w:name w:val="heading 7"/>
    <w:basedOn w:val="Normal"/>
    <w:next w:val="Normal"/>
    <w:link w:val="Heading7Char"/>
    <w:uiPriority w:val="9"/>
    <w:qFormat/>
    <w:rsid w:val="00850A0C"/>
    <w:pPr>
      <w:keepNext/>
      <w:keepLines/>
      <w:numPr>
        <w:ilvl w:val="6"/>
        <w:numId w:val="10"/>
      </w:numPr>
      <w:spacing w:before="200" w:after="0"/>
      <w:outlineLvl w:val="6"/>
    </w:pPr>
    <w:rPr>
      <w:rFonts w:ascii="Cambria" w:hAnsi="Cambria" w:eastAsia="Times New Roman" w:cs="Times New Roman"/>
      <w:i/>
      <w:iCs/>
    </w:rPr>
  </w:style>
  <w:style w:type="paragraph" w:styleId="Heading8">
    <w:name w:val="heading 8"/>
    <w:basedOn w:val="Normal"/>
    <w:next w:val="Normal"/>
    <w:link w:val="Heading8Char"/>
    <w:uiPriority w:val="9"/>
    <w:qFormat/>
    <w:rsid w:val="00850A0C"/>
    <w:pPr>
      <w:keepNext/>
      <w:keepLines/>
      <w:numPr>
        <w:ilvl w:val="7"/>
        <w:numId w:val="10"/>
      </w:numPr>
      <w:spacing w:before="200" w:after="0"/>
      <w:outlineLvl w:val="7"/>
    </w:pPr>
    <w:rPr>
      <w:rFonts w:ascii="Cambria" w:hAnsi="Cambria" w:eastAsia="Times New Roman" w:cs="Times New Roman"/>
      <w:sz w:val="20"/>
      <w:szCs w:val="20"/>
    </w:rPr>
  </w:style>
  <w:style w:type="paragraph" w:styleId="Heading9">
    <w:name w:val="heading 9"/>
    <w:basedOn w:val="Normal"/>
    <w:next w:val="Normal"/>
    <w:link w:val="Heading9Char"/>
    <w:uiPriority w:val="9"/>
    <w:qFormat/>
    <w:rsid w:val="00850A0C"/>
    <w:pPr>
      <w:keepNext/>
      <w:keepLines/>
      <w:numPr>
        <w:ilvl w:val="8"/>
        <w:numId w:val="10"/>
      </w:numPr>
      <w:spacing w:before="200" w:after="0"/>
      <w:outlineLvl w:val="8"/>
    </w:pPr>
    <w:rPr>
      <w:rFonts w:ascii="Cambria" w:hAnsi="Cambria" w:eastAsia="Times New Roman" w:cs="Times New Roman"/>
      <w:i/>
      <w:i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50A0C"/>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850A0C"/>
    <w:rPr>
      <w:rFonts w:ascii="Tahoma" w:hAnsi="Tahoma" w:eastAsia="Arial" w:cs="Tahoma"/>
      <w:color w:val="000000"/>
      <w:sz w:val="16"/>
      <w:szCs w:val="16"/>
    </w:rPr>
  </w:style>
  <w:style w:type="paragraph" w:styleId="Header">
    <w:name w:val="header"/>
    <w:basedOn w:val="Normal"/>
    <w:link w:val="HeaderChar"/>
    <w:uiPriority w:val="99"/>
    <w:unhideWhenUsed/>
    <w:rsid w:val="00850A0C"/>
    <w:pPr>
      <w:tabs>
        <w:tab w:val="center" w:pos="4513"/>
        <w:tab w:val="right" w:pos="9026"/>
      </w:tabs>
      <w:spacing w:after="0" w:line="240" w:lineRule="auto"/>
    </w:pPr>
  </w:style>
  <w:style w:type="character" w:styleId="HeaderChar" w:customStyle="1">
    <w:name w:val="Header Char"/>
    <w:link w:val="Header"/>
    <w:uiPriority w:val="99"/>
    <w:rsid w:val="00850A0C"/>
    <w:rPr>
      <w:rFonts w:ascii="Arial" w:hAnsi="Arial" w:eastAsia="Arial" w:cs="Arial"/>
      <w:color w:val="000000"/>
    </w:rPr>
  </w:style>
  <w:style w:type="paragraph" w:styleId="Footer">
    <w:name w:val="footer"/>
    <w:basedOn w:val="Normal"/>
    <w:link w:val="FooterChar"/>
    <w:rsid w:val="00850A0C"/>
    <w:pPr>
      <w:tabs>
        <w:tab w:val="center" w:pos="4153"/>
        <w:tab w:val="right" w:pos="8306"/>
      </w:tabs>
      <w:spacing w:after="240" w:line="300" w:lineRule="atLeast"/>
      <w:jc w:val="both"/>
    </w:pPr>
    <w:rPr>
      <w:rFonts w:ascii="Times New Roman" w:hAnsi="Times New Roman" w:eastAsia="Times New Roman" w:cs="Times New Roman"/>
      <w:szCs w:val="20"/>
      <w:lang w:eastAsia="en-US"/>
    </w:rPr>
  </w:style>
  <w:style w:type="character" w:styleId="FooterChar" w:customStyle="1">
    <w:name w:val="Footer Char"/>
    <w:link w:val="Footer"/>
    <w:rsid w:val="00850A0C"/>
    <w:rPr>
      <w:rFonts w:ascii="Times New Roman" w:hAnsi="Times New Roman" w:eastAsia="Times New Roman" w:cs="Times New Roman"/>
      <w:color w:val="000000"/>
      <w:szCs w:val="20"/>
      <w:lang w:eastAsia="en-US"/>
    </w:rPr>
  </w:style>
  <w:style w:type="character" w:styleId="Heading1Char" w:customStyle="1">
    <w:name w:val="Heading 1 Char"/>
    <w:link w:val="Heading1"/>
    <w:uiPriority w:val="9"/>
    <w:rsid w:val="00850A0C"/>
    <w:rPr>
      <w:rFonts w:ascii="Cambria" w:hAnsi="Cambria"/>
      <w:b/>
      <w:bCs/>
      <w:color w:val="000000"/>
      <w:sz w:val="28"/>
      <w:szCs w:val="28"/>
    </w:rPr>
  </w:style>
  <w:style w:type="character" w:styleId="Heading2Char" w:customStyle="1">
    <w:name w:val="Heading 2 Char"/>
    <w:link w:val="Heading2"/>
    <w:uiPriority w:val="9"/>
    <w:rsid w:val="00850A0C"/>
    <w:rPr>
      <w:rFonts w:ascii="Cambria" w:hAnsi="Cambria"/>
      <w:b/>
      <w:bCs/>
      <w:color w:val="000000"/>
      <w:sz w:val="26"/>
      <w:szCs w:val="26"/>
    </w:rPr>
  </w:style>
  <w:style w:type="character" w:styleId="Heading3Char" w:customStyle="1">
    <w:name w:val="Heading 3 Char"/>
    <w:link w:val="Heading3"/>
    <w:uiPriority w:val="9"/>
    <w:rsid w:val="00850A0C"/>
    <w:rPr>
      <w:rFonts w:ascii="Cambria" w:hAnsi="Cambria"/>
      <w:b/>
      <w:bCs/>
      <w:color w:val="000000"/>
      <w:sz w:val="22"/>
      <w:szCs w:val="22"/>
    </w:rPr>
  </w:style>
  <w:style w:type="character" w:styleId="Heading4Char" w:customStyle="1">
    <w:name w:val="Heading 4 Char"/>
    <w:link w:val="Heading4"/>
    <w:uiPriority w:val="9"/>
    <w:rsid w:val="00850A0C"/>
    <w:rPr>
      <w:rFonts w:ascii="Cambria" w:hAnsi="Cambria"/>
      <w:b/>
      <w:bCs/>
      <w:i/>
      <w:iCs/>
      <w:color w:val="000000"/>
      <w:sz w:val="22"/>
      <w:szCs w:val="22"/>
    </w:rPr>
  </w:style>
  <w:style w:type="character" w:styleId="Heading5Char" w:customStyle="1">
    <w:name w:val="Heading 5 Char"/>
    <w:link w:val="Heading5"/>
    <w:uiPriority w:val="9"/>
    <w:rsid w:val="00850A0C"/>
    <w:rPr>
      <w:rFonts w:ascii="Cambria" w:hAnsi="Cambria"/>
      <w:color w:val="000000"/>
      <w:sz w:val="22"/>
      <w:szCs w:val="22"/>
    </w:rPr>
  </w:style>
  <w:style w:type="character" w:styleId="Heading6Char" w:customStyle="1">
    <w:name w:val="Heading 6 Char"/>
    <w:link w:val="Heading6"/>
    <w:uiPriority w:val="9"/>
    <w:rsid w:val="00850A0C"/>
    <w:rPr>
      <w:rFonts w:ascii="Cambria" w:hAnsi="Cambria"/>
      <w:i/>
      <w:iCs/>
      <w:color w:val="000000"/>
      <w:sz w:val="22"/>
      <w:szCs w:val="22"/>
    </w:rPr>
  </w:style>
  <w:style w:type="character" w:styleId="Heading7Char" w:customStyle="1">
    <w:name w:val="Heading 7 Char"/>
    <w:link w:val="Heading7"/>
    <w:uiPriority w:val="9"/>
    <w:rsid w:val="00850A0C"/>
    <w:rPr>
      <w:rFonts w:ascii="Cambria" w:hAnsi="Cambria"/>
      <w:i/>
      <w:iCs/>
      <w:color w:val="000000"/>
      <w:sz w:val="22"/>
      <w:szCs w:val="22"/>
    </w:rPr>
  </w:style>
  <w:style w:type="character" w:styleId="Heading8Char" w:customStyle="1">
    <w:name w:val="Heading 8 Char"/>
    <w:link w:val="Heading8"/>
    <w:uiPriority w:val="9"/>
    <w:rsid w:val="00850A0C"/>
    <w:rPr>
      <w:rFonts w:ascii="Cambria" w:hAnsi="Cambria"/>
      <w:color w:val="000000"/>
    </w:rPr>
  </w:style>
  <w:style w:type="character" w:styleId="Heading9Char" w:customStyle="1">
    <w:name w:val="Heading 9 Char"/>
    <w:link w:val="Heading9"/>
    <w:uiPriority w:val="9"/>
    <w:rsid w:val="00850A0C"/>
    <w:rPr>
      <w:rFonts w:ascii="Cambria" w:hAnsi="Cambria"/>
      <w:i/>
      <w:iCs/>
      <w:color w:val="000000"/>
    </w:rPr>
  </w:style>
  <w:style w:type="character" w:styleId="PlaceholderText">
    <w:name w:val="Placeholder Text"/>
    <w:uiPriority w:val="99"/>
    <w:rsid w:val="00850A0C"/>
    <w:rPr>
      <w:rFonts w:ascii="Arial" w:hAnsi="Arial" w:eastAsia="Arial" w:cs="Arial"/>
      <w:color w:val="000000"/>
    </w:rPr>
  </w:style>
  <w:style w:type="paragraph" w:styleId="DescriptiveHeading" w:customStyle="1">
    <w:name w:val="DescriptiveHeading"/>
    <w:next w:val="Paragraph"/>
    <w:link w:val="DescriptiveHeadingChar"/>
    <w:rsid w:val="00850A0C"/>
    <w:pPr>
      <w:spacing w:before="360" w:after="360"/>
      <w:outlineLvl w:val="0"/>
    </w:pPr>
    <w:rPr>
      <w:rFonts w:ascii="Arial" w:hAnsi="Arial" w:eastAsia="Arial Unicode MS" w:cs="Arial"/>
      <w:b/>
      <w:color w:val="000000"/>
      <w:sz w:val="22"/>
      <w:szCs w:val="22"/>
      <w:lang w:val="en-US" w:eastAsia="en-US"/>
    </w:rPr>
  </w:style>
  <w:style w:type="character" w:styleId="DescriptiveHeadingChar" w:customStyle="1">
    <w:name w:val="DescriptiveHeading Char"/>
    <w:link w:val="DescriptiveHeading"/>
    <w:rsid w:val="00850A0C"/>
    <w:rPr>
      <w:rFonts w:ascii="Arial" w:hAnsi="Arial" w:eastAsia="Arial Unicode MS" w:cs="Arial"/>
      <w:b/>
      <w:color w:val="000000"/>
      <w:lang w:val="en-US" w:eastAsia="en-US"/>
    </w:rPr>
  </w:style>
  <w:style w:type="paragraph" w:styleId="Paragraph" w:customStyle="1">
    <w:name w:val="Paragraph"/>
    <w:basedOn w:val="Normal"/>
    <w:link w:val="ParagraphChar"/>
    <w:qFormat/>
    <w:rsid w:val="00850A0C"/>
    <w:pPr>
      <w:spacing w:after="120" w:line="300" w:lineRule="atLeast"/>
      <w:jc w:val="both"/>
    </w:pPr>
    <w:rPr>
      <w:rFonts w:eastAsia="Arial Unicode MS"/>
      <w:szCs w:val="20"/>
      <w:lang w:eastAsia="en-US"/>
    </w:rPr>
  </w:style>
  <w:style w:type="table" w:styleId="TableGrid">
    <w:name w:val="Table Grid"/>
    <w:basedOn w:val="TableNormal"/>
    <w:rsid w:val="00850A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troDefault" w:customStyle="1">
    <w:name w:val="Intro Default"/>
    <w:basedOn w:val="Paragraph"/>
    <w:qFormat/>
    <w:rsid w:val="00850A0C"/>
  </w:style>
  <w:style w:type="paragraph" w:styleId="DraftingnoteTitle" w:customStyle="1">
    <w:name w:val="Draftingnote Title"/>
    <w:basedOn w:val="Normal"/>
    <w:rsid w:val="00850A0C"/>
    <w:pPr>
      <w:spacing w:after="120" w:line="300" w:lineRule="atLeast"/>
      <w:jc w:val="both"/>
    </w:pPr>
    <w:rPr>
      <w:rFonts w:eastAsia="Arial Unicode MS"/>
      <w:b/>
      <w:sz w:val="28"/>
      <w:szCs w:val="20"/>
      <w:lang w:eastAsia="en-US"/>
    </w:rPr>
  </w:style>
  <w:style w:type="paragraph" w:styleId="DefinedTermPara" w:customStyle="1">
    <w:name w:val="Defined Term Para"/>
    <w:basedOn w:val="Paragraph"/>
    <w:qFormat/>
    <w:rsid w:val="00850A0C"/>
    <w:pPr>
      <w:numPr>
        <w:numId w:val="22"/>
      </w:numPr>
    </w:pPr>
  </w:style>
  <w:style w:type="paragraph" w:styleId="Schedule" w:customStyle="1">
    <w:name w:val="Schedule"/>
    <w:qFormat/>
    <w:rsid w:val="00850A0C"/>
    <w:pPr>
      <w:numPr>
        <w:numId w:val="25"/>
      </w:numPr>
      <w:spacing w:before="240" w:after="240" w:line="240" w:lineRule="atLeast"/>
    </w:pPr>
    <w:rPr>
      <w:rFonts w:ascii="Arial" w:hAnsi="Arial" w:eastAsia="Arial Unicode MS" w:cs="Arial"/>
      <w:b/>
      <w:color w:val="000000"/>
      <w:sz w:val="22"/>
      <w:szCs w:val="22"/>
      <w:lang w:val="en-US" w:eastAsia="en-US"/>
    </w:rPr>
  </w:style>
  <w:style w:type="paragraph" w:styleId="ScheduleTitle" w:customStyle="1">
    <w:name w:val="Schedule Title"/>
    <w:basedOn w:val="Paragraph"/>
    <w:qFormat/>
    <w:rsid w:val="00850A0C"/>
    <w:rPr>
      <w:b/>
    </w:rPr>
  </w:style>
  <w:style w:type="paragraph" w:styleId="IgnoredSpacing" w:customStyle="1">
    <w:name w:val="Ignored Spacing"/>
    <w:link w:val="IgnoredSpacingChar"/>
    <w:rsid w:val="00850A0C"/>
    <w:pPr>
      <w:spacing w:after="120"/>
    </w:pPr>
    <w:rPr>
      <w:rFonts w:ascii="Arial" w:hAnsi="Arial" w:eastAsia="Arial Unicode MS" w:cs="Arial"/>
      <w:color w:val="000000"/>
      <w:sz w:val="24"/>
      <w:szCs w:val="24"/>
      <w:lang w:val="en-US" w:eastAsia="en-US"/>
    </w:rPr>
  </w:style>
  <w:style w:type="character" w:styleId="IgnoredSpacingChar" w:customStyle="1">
    <w:name w:val="Ignored Spacing Char"/>
    <w:link w:val="IgnoredSpacing"/>
    <w:rsid w:val="00850A0C"/>
    <w:rPr>
      <w:rFonts w:ascii="Arial" w:hAnsi="Arial" w:eastAsia="Arial Unicode MS" w:cs="Arial"/>
      <w:color w:val="000000"/>
      <w:sz w:val="24"/>
      <w:szCs w:val="24"/>
      <w:lang w:val="en-US" w:eastAsia="en-US"/>
    </w:rPr>
  </w:style>
  <w:style w:type="paragraph" w:styleId="Background" w:customStyle="1">
    <w:name w:val="Background"/>
    <w:aliases w:val="(A) Background"/>
    <w:basedOn w:val="Normal"/>
    <w:rsid w:val="00850A0C"/>
    <w:pPr>
      <w:numPr>
        <w:numId w:val="1"/>
      </w:numPr>
      <w:spacing w:before="120" w:after="120" w:line="300" w:lineRule="atLeast"/>
      <w:jc w:val="both"/>
    </w:pPr>
    <w:rPr>
      <w:rFonts w:eastAsia="Arial Unicode MS"/>
      <w:szCs w:val="20"/>
      <w:lang w:eastAsia="en-US"/>
    </w:rPr>
  </w:style>
  <w:style w:type="paragraph" w:styleId="Part" w:customStyle="1">
    <w:name w:val="Part"/>
    <w:basedOn w:val="Paragraph"/>
    <w:qFormat/>
    <w:rsid w:val="00850A0C"/>
    <w:pPr>
      <w:numPr>
        <w:numId w:val="28"/>
      </w:numPr>
      <w:spacing w:before="240" w:after="240"/>
      <w:jc w:val="left"/>
    </w:pPr>
    <w:rPr>
      <w:b/>
    </w:rPr>
  </w:style>
  <w:style w:type="paragraph" w:styleId="Testimonium" w:customStyle="1">
    <w:name w:val="Testimonium"/>
    <w:basedOn w:val="Paragraph"/>
    <w:qFormat/>
    <w:rsid w:val="00850A0C"/>
  </w:style>
  <w:style w:type="character" w:styleId="DefTerm" w:customStyle="1">
    <w:name w:val="DefTerm"/>
    <w:uiPriority w:val="1"/>
    <w:qFormat/>
    <w:rsid w:val="00850A0C"/>
    <w:rPr>
      <w:rFonts w:ascii="Arial" w:hAnsi="Arial" w:eastAsia="Arial" w:cs="Arial"/>
      <w:b/>
      <w:color w:val="000000"/>
    </w:rPr>
  </w:style>
  <w:style w:type="paragraph" w:styleId="TitleClause" w:customStyle="1">
    <w:name w:val="Title Clause"/>
    <w:basedOn w:val="Normal"/>
    <w:rsid w:val="00850A0C"/>
    <w:pPr>
      <w:keepNext/>
      <w:numPr>
        <w:numId w:val="23"/>
      </w:numPr>
      <w:spacing w:before="240" w:after="240" w:line="300" w:lineRule="atLeast"/>
      <w:jc w:val="both"/>
      <w:outlineLvl w:val="0"/>
    </w:pPr>
    <w:rPr>
      <w:rFonts w:eastAsia="Arial Unicode MS"/>
      <w:b/>
      <w:kern w:val="28"/>
      <w:szCs w:val="20"/>
      <w:lang w:eastAsia="en-US"/>
    </w:rPr>
  </w:style>
  <w:style w:type="character" w:styleId="ParagraphChar" w:customStyle="1">
    <w:name w:val="Paragraph Char"/>
    <w:link w:val="Paragraph"/>
    <w:rsid w:val="00850A0C"/>
    <w:rPr>
      <w:rFonts w:ascii="Arial" w:hAnsi="Arial" w:eastAsia="Arial Unicode MS" w:cs="Arial"/>
      <w:color w:val="000000"/>
      <w:szCs w:val="20"/>
      <w:lang w:eastAsia="en-US"/>
    </w:rPr>
  </w:style>
  <w:style w:type="paragraph" w:styleId="ParaClause" w:customStyle="1">
    <w:name w:val="Para Clause"/>
    <w:basedOn w:val="Normal"/>
    <w:rsid w:val="00850A0C"/>
    <w:pPr>
      <w:spacing w:before="120" w:after="120" w:line="300" w:lineRule="atLeast"/>
      <w:ind w:left="720"/>
      <w:jc w:val="both"/>
    </w:pPr>
    <w:rPr>
      <w:rFonts w:eastAsia="Arial Unicode MS"/>
      <w:szCs w:val="20"/>
      <w:lang w:eastAsia="en-US"/>
    </w:rPr>
  </w:style>
  <w:style w:type="paragraph" w:styleId="Untitledsubclause1" w:customStyle="1">
    <w:name w:val="Untitled subclause 1"/>
    <w:basedOn w:val="Normal"/>
    <w:rsid w:val="00850A0C"/>
    <w:pPr>
      <w:numPr>
        <w:ilvl w:val="1"/>
        <w:numId w:val="23"/>
      </w:numPr>
      <w:spacing w:before="280" w:after="120" w:line="300" w:lineRule="atLeast"/>
      <w:jc w:val="both"/>
      <w:outlineLvl w:val="1"/>
    </w:pPr>
    <w:rPr>
      <w:rFonts w:eastAsia="Arial Unicode MS"/>
      <w:szCs w:val="20"/>
      <w:lang w:eastAsia="en-US"/>
    </w:rPr>
  </w:style>
  <w:style w:type="paragraph" w:styleId="Untitledsubclause2" w:customStyle="1">
    <w:name w:val="Untitled subclause 2"/>
    <w:basedOn w:val="Normal"/>
    <w:rsid w:val="00850A0C"/>
    <w:pPr>
      <w:numPr>
        <w:ilvl w:val="2"/>
        <w:numId w:val="23"/>
      </w:numPr>
      <w:spacing w:after="120" w:line="300" w:lineRule="atLeast"/>
      <w:jc w:val="both"/>
      <w:outlineLvl w:val="2"/>
    </w:pPr>
    <w:rPr>
      <w:rFonts w:eastAsia="Arial Unicode MS"/>
      <w:szCs w:val="20"/>
      <w:lang w:eastAsia="en-US"/>
    </w:rPr>
  </w:style>
  <w:style w:type="paragraph" w:styleId="Untitledsubclause3" w:customStyle="1">
    <w:name w:val="Untitled subclause 3"/>
    <w:basedOn w:val="Normal"/>
    <w:rsid w:val="00850A0C"/>
    <w:pPr>
      <w:numPr>
        <w:ilvl w:val="3"/>
        <w:numId w:val="23"/>
      </w:numPr>
      <w:tabs>
        <w:tab w:val="left" w:pos="2261"/>
      </w:tabs>
      <w:spacing w:after="120" w:line="300" w:lineRule="atLeast"/>
      <w:jc w:val="both"/>
      <w:outlineLvl w:val="3"/>
    </w:pPr>
    <w:rPr>
      <w:rFonts w:eastAsia="Arial Unicode MS"/>
      <w:szCs w:val="20"/>
      <w:lang w:eastAsia="en-US"/>
    </w:rPr>
  </w:style>
  <w:style w:type="paragraph" w:styleId="Untitledsubclause4" w:customStyle="1">
    <w:name w:val="Untitled subclause 4"/>
    <w:basedOn w:val="Normal"/>
    <w:rsid w:val="00850A0C"/>
    <w:pPr>
      <w:numPr>
        <w:ilvl w:val="4"/>
        <w:numId w:val="23"/>
      </w:numPr>
      <w:spacing w:after="120" w:line="300" w:lineRule="atLeast"/>
      <w:jc w:val="both"/>
      <w:outlineLvl w:val="4"/>
    </w:pPr>
    <w:rPr>
      <w:rFonts w:eastAsia="Arial Unicode MS"/>
      <w:szCs w:val="20"/>
      <w:lang w:eastAsia="en-US"/>
    </w:rPr>
  </w:style>
  <w:style w:type="paragraph" w:styleId="BackgroundSubclause1" w:customStyle="1">
    <w:name w:val="Background Subclause1"/>
    <w:basedOn w:val="Background"/>
    <w:qFormat/>
    <w:rsid w:val="00850A0C"/>
    <w:pPr>
      <w:numPr>
        <w:ilvl w:val="1"/>
      </w:numPr>
    </w:pPr>
  </w:style>
  <w:style w:type="paragraph" w:styleId="BackgroundSubclause2" w:customStyle="1">
    <w:name w:val="Background Subclause2"/>
    <w:basedOn w:val="Background"/>
    <w:qFormat/>
    <w:rsid w:val="00850A0C"/>
    <w:pPr>
      <w:numPr>
        <w:ilvl w:val="3"/>
      </w:numPr>
    </w:pPr>
  </w:style>
  <w:style w:type="paragraph" w:styleId="Abstract" w:customStyle="1">
    <w:name w:val="Abstract"/>
    <w:link w:val="AbstractChar"/>
    <w:rsid w:val="00850A0C"/>
    <w:pPr>
      <w:spacing w:after="120"/>
    </w:pPr>
    <w:rPr>
      <w:rFonts w:ascii="Arial" w:hAnsi="Arial" w:eastAsia="Arial Unicode MS" w:cs="Arial"/>
      <w:color w:val="000000"/>
      <w:sz w:val="24"/>
      <w:szCs w:val="24"/>
      <w:lang w:val="en-US" w:eastAsia="en-US"/>
    </w:rPr>
  </w:style>
  <w:style w:type="character" w:styleId="AbstractChar" w:customStyle="1">
    <w:name w:val="Abstract Char"/>
    <w:link w:val="Abstract"/>
    <w:rsid w:val="00850A0C"/>
    <w:rPr>
      <w:rFonts w:ascii="Arial" w:hAnsi="Arial" w:eastAsia="Arial Unicode MS" w:cs="Arial"/>
      <w:color w:val="000000"/>
      <w:sz w:val="24"/>
      <w:szCs w:val="24"/>
      <w:lang w:val="en-US" w:eastAsia="en-US"/>
    </w:rPr>
  </w:style>
  <w:style w:type="paragraph" w:styleId="AuthoringGroup" w:customStyle="1">
    <w:name w:val="Authoring Group"/>
    <w:link w:val="AuthoringGroupChar"/>
    <w:rsid w:val="00850A0C"/>
    <w:pPr>
      <w:spacing w:after="120"/>
    </w:pPr>
    <w:rPr>
      <w:rFonts w:ascii="Arial" w:hAnsi="Arial" w:eastAsia="Arial Unicode MS" w:cs="Arial"/>
      <w:color w:val="000000"/>
      <w:sz w:val="24"/>
      <w:szCs w:val="22"/>
      <w:lang w:val="en-US" w:eastAsia="en-US"/>
    </w:rPr>
  </w:style>
  <w:style w:type="character" w:styleId="AuthoringGroupChar" w:customStyle="1">
    <w:name w:val="Authoring Group Char"/>
    <w:link w:val="AuthoringGroup"/>
    <w:rsid w:val="00850A0C"/>
    <w:rPr>
      <w:rFonts w:ascii="Arial" w:hAnsi="Arial" w:eastAsia="Arial Unicode MS" w:cs="Arial"/>
      <w:color w:val="000000"/>
      <w:sz w:val="24"/>
      <w:lang w:val="en-US" w:eastAsia="en-US"/>
    </w:rPr>
  </w:style>
  <w:style w:type="paragraph" w:styleId="Title">
    <w:name w:val="Title"/>
    <w:link w:val="TitleChar"/>
    <w:qFormat/>
    <w:rsid w:val="00850A0C"/>
    <w:pPr>
      <w:spacing w:after="120"/>
    </w:pPr>
    <w:rPr>
      <w:rFonts w:ascii="Arial" w:hAnsi="Arial" w:eastAsia="Arial Unicode MS" w:cs="Arial"/>
      <w:color w:val="000000"/>
      <w:sz w:val="24"/>
      <w:szCs w:val="22"/>
      <w:lang w:val="en-US" w:eastAsia="en-US"/>
    </w:rPr>
  </w:style>
  <w:style w:type="character" w:styleId="TitleChar" w:customStyle="1">
    <w:name w:val="Title Char"/>
    <w:link w:val="Title"/>
    <w:rsid w:val="00850A0C"/>
    <w:rPr>
      <w:rFonts w:ascii="Arial" w:hAnsi="Arial" w:eastAsia="Arial Unicode MS" w:cs="Arial"/>
      <w:color w:val="000000"/>
      <w:sz w:val="24"/>
      <w:lang w:val="en-US" w:eastAsia="en-US"/>
    </w:rPr>
  </w:style>
  <w:style w:type="paragraph" w:styleId="InternalTOC" w:customStyle="1">
    <w:name w:val="Internal TOC"/>
    <w:rsid w:val="00850A0C"/>
    <w:pPr>
      <w:spacing w:after="120"/>
    </w:pPr>
    <w:rPr>
      <w:rFonts w:ascii="Arial" w:hAnsi="Arial" w:eastAsia="Arial Unicode MS" w:cs="Arial"/>
      <w:color w:val="000000"/>
      <w:sz w:val="22"/>
      <w:szCs w:val="22"/>
      <w:lang w:val="en-US" w:eastAsia="en-US"/>
    </w:rPr>
  </w:style>
  <w:style w:type="paragraph" w:styleId="ScheduleTitleClause" w:customStyle="1">
    <w:name w:val="Schedule Title Clause"/>
    <w:basedOn w:val="Normal"/>
    <w:rsid w:val="00850A0C"/>
    <w:pPr>
      <w:keepNext/>
      <w:numPr>
        <w:numId w:val="31"/>
      </w:numPr>
      <w:spacing w:before="240" w:after="240" w:line="300" w:lineRule="atLeast"/>
      <w:jc w:val="both"/>
      <w:outlineLvl w:val="0"/>
    </w:pPr>
    <w:rPr>
      <w:rFonts w:eastAsia="Arial Unicode MS"/>
      <w:b/>
      <w:kern w:val="28"/>
      <w:szCs w:val="20"/>
      <w:lang w:eastAsia="en-US"/>
    </w:rPr>
  </w:style>
  <w:style w:type="paragraph" w:styleId="ScheduleUntitledsubclause1" w:customStyle="1">
    <w:name w:val="Schedule Untitled subclause 1"/>
    <w:basedOn w:val="Normal"/>
    <w:rsid w:val="00850A0C"/>
    <w:pPr>
      <w:numPr>
        <w:ilvl w:val="1"/>
        <w:numId w:val="31"/>
      </w:numPr>
      <w:spacing w:before="280" w:after="120" w:line="300" w:lineRule="atLeast"/>
      <w:jc w:val="both"/>
      <w:outlineLvl w:val="1"/>
    </w:pPr>
    <w:rPr>
      <w:rFonts w:eastAsia="Arial Unicode MS"/>
      <w:szCs w:val="20"/>
      <w:lang w:eastAsia="en-US"/>
    </w:rPr>
  </w:style>
  <w:style w:type="paragraph" w:styleId="ScheduleUntitledsubclause2" w:customStyle="1">
    <w:name w:val="Schedule Untitled subclause 2"/>
    <w:basedOn w:val="Normal"/>
    <w:rsid w:val="00850A0C"/>
    <w:pPr>
      <w:numPr>
        <w:ilvl w:val="2"/>
        <w:numId w:val="31"/>
      </w:numPr>
      <w:spacing w:after="120" w:line="300" w:lineRule="atLeast"/>
      <w:jc w:val="both"/>
      <w:outlineLvl w:val="2"/>
    </w:pPr>
    <w:rPr>
      <w:rFonts w:eastAsia="Arial Unicode MS"/>
      <w:szCs w:val="20"/>
      <w:lang w:eastAsia="en-US"/>
    </w:rPr>
  </w:style>
  <w:style w:type="paragraph" w:styleId="ScheduleUntitledsubclause3" w:customStyle="1">
    <w:name w:val="Schedule Untitled subclause 3"/>
    <w:basedOn w:val="Normal"/>
    <w:rsid w:val="00850A0C"/>
    <w:pPr>
      <w:numPr>
        <w:ilvl w:val="3"/>
        <w:numId w:val="31"/>
      </w:numPr>
      <w:tabs>
        <w:tab w:val="left" w:pos="2261"/>
      </w:tabs>
      <w:spacing w:after="120" w:line="300" w:lineRule="atLeast"/>
      <w:jc w:val="both"/>
      <w:outlineLvl w:val="3"/>
    </w:pPr>
    <w:rPr>
      <w:rFonts w:eastAsia="Arial Unicode MS"/>
      <w:szCs w:val="20"/>
      <w:lang w:eastAsia="en-US"/>
    </w:rPr>
  </w:style>
  <w:style w:type="paragraph" w:styleId="ScheduleUntitledsubclause4" w:customStyle="1">
    <w:name w:val="Schedule Untitled subclause 4"/>
    <w:basedOn w:val="Normal"/>
    <w:rsid w:val="00850A0C"/>
    <w:pPr>
      <w:spacing w:after="120" w:line="300" w:lineRule="atLeast"/>
      <w:jc w:val="both"/>
      <w:outlineLvl w:val="4"/>
    </w:pPr>
    <w:rPr>
      <w:rFonts w:eastAsia="Arial Unicode MS"/>
      <w:szCs w:val="20"/>
      <w:lang w:eastAsia="en-US"/>
    </w:rPr>
  </w:style>
  <w:style w:type="paragraph" w:styleId="DefinedTermNumber" w:customStyle="1">
    <w:name w:val="Defined Term Number"/>
    <w:basedOn w:val="DefinedTermPara"/>
    <w:qFormat/>
    <w:rsid w:val="00850A0C"/>
    <w:pPr>
      <w:numPr>
        <w:ilvl w:val="1"/>
      </w:numPr>
    </w:pPr>
  </w:style>
  <w:style w:type="paragraph" w:styleId="6D83DCFF8BDF479DB88C9CA683CF81C7" w:customStyle="1">
    <w:name w:val="6D83DCFF8BDF479DB88C9CA683CF81C7"/>
    <w:rsid w:val="00797B21"/>
    <w:pPr>
      <w:spacing w:after="120"/>
    </w:pPr>
    <w:rPr>
      <w:rFonts w:ascii="Arial" w:hAnsi="Arial"/>
      <w:color w:val="000000"/>
      <w:sz w:val="24"/>
      <w:szCs w:val="24"/>
      <w:lang w:val="en-US" w:eastAsia="en-US"/>
    </w:rPr>
  </w:style>
  <w:style w:type="paragraph" w:styleId="Annex" w:customStyle="1">
    <w:name w:val="Annex"/>
    <w:basedOn w:val="Paragraph"/>
    <w:next w:val="Paragraph"/>
    <w:qFormat/>
    <w:rsid w:val="00850A0C"/>
    <w:pPr>
      <w:numPr>
        <w:numId w:val="11"/>
      </w:numPr>
      <w:spacing w:before="240" w:after="240"/>
    </w:pPr>
    <w:rPr>
      <w:b/>
    </w:rPr>
  </w:style>
  <w:style w:type="paragraph" w:styleId="BulletList1" w:customStyle="1">
    <w:name w:val="Bullet List 1"/>
    <w:aliases w:val="Bullet1"/>
    <w:basedOn w:val="Normal"/>
    <w:rsid w:val="00850A0C"/>
    <w:pPr>
      <w:numPr>
        <w:numId w:val="2"/>
      </w:numPr>
      <w:spacing w:after="240" w:line="300" w:lineRule="atLeast"/>
      <w:jc w:val="both"/>
    </w:pPr>
    <w:rPr>
      <w:rFonts w:eastAsia="Arial Unicode MS"/>
      <w:szCs w:val="20"/>
      <w:lang w:eastAsia="en-US"/>
    </w:rPr>
  </w:style>
  <w:style w:type="paragraph" w:styleId="BulletList2" w:customStyle="1">
    <w:name w:val="Bullet List 2"/>
    <w:aliases w:val="Bullet2"/>
    <w:basedOn w:val="Normal"/>
    <w:rsid w:val="00850A0C"/>
    <w:pPr>
      <w:numPr>
        <w:numId w:val="3"/>
      </w:numPr>
      <w:spacing w:after="120" w:line="240" w:lineRule="auto"/>
      <w:ind w:left="1080" w:hanging="720"/>
      <w:jc w:val="both"/>
    </w:pPr>
    <w:rPr>
      <w:rFonts w:eastAsia="Arial Unicode MS"/>
      <w:szCs w:val="20"/>
      <w:lang w:eastAsia="en-US"/>
    </w:rPr>
  </w:style>
  <w:style w:type="paragraph" w:styleId="BulletList3" w:customStyle="1">
    <w:name w:val="Bullet List 3"/>
    <w:aliases w:val="Bullet3"/>
    <w:basedOn w:val="Normal"/>
    <w:rsid w:val="00850A0C"/>
    <w:pPr>
      <w:numPr>
        <w:numId w:val="4"/>
      </w:numPr>
      <w:spacing w:after="240" w:line="240" w:lineRule="auto"/>
      <w:jc w:val="both"/>
    </w:pPr>
    <w:rPr>
      <w:rFonts w:eastAsia="Arial Unicode MS"/>
      <w:szCs w:val="20"/>
      <w:lang w:eastAsia="en-US"/>
    </w:rPr>
  </w:style>
  <w:style w:type="paragraph" w:styleId="ClauseNoTitle" w:customStyle="1">
    <w:name w:val="Clause No Title"/>
    <w:basedOn w:val="TitleClause"/>
    <w:rsid w:val="00850A0C"/>
    <w:rPr>
      <w:b w:val="0"/>
      <w:smallCaps/>
    </w:rPr>
  </w:style>
  <w:style w:type="paragraph" w:styleId="ClosingPara" w:customStyle="1">
    <w:name w:val="Closing Para"/>
    <w:basedOn w:val="Normal"/>
    <w:rsid w:val="00850A0C"/>
    <w:pPr>
      <w:spacing w:before="120" w:after="240" w:line="300" w:lineRule="atLeast"/>
      <w:jc w:val="both"/>
    </w:pPr>
    <w:rPr>
      <w:rFonts w:eastAsia="Arial Unicode MS"/>
      <w:szCs w:val="20"/>
      <w:lang w:eastAsia="en-US"/>
    </w:rPr>
  </w:style>
  <w:style w:type="paragraph" w:styleId="ClosingSignOff" w:customStyle="1">
    <w:name w:val="Closing SignOff"/>
    <w:basedOn w:val="Normal"/>
    <w:rsid w:val="00850A0C"/>
    <w:pPr>
      <w:spacing w:after="120" w:line="300" w:lineRule="atLeast"/>
      <w:jc w:val="both"/>
    </w:pPr>
    <w:rPr>
      <w:rFonts w:eastAsia="Arial Unicode MS"/>
      <w:szCs w:val="20"/>
      <w:lang w:eastAsia="en-US"/>
    </w:rPr>
  </w:style>
  <w:style w:type="paragraph" w:styleId="CoversheetTitle" w:customStyle="1">
    <w:name w:val="Coversheet Title"/>
    <w:basedOn w:val="Normal"/>
    <w:autoRedefine/>
    <w:rsid w:val="00850A0C"/>
    <w:pPr>
      <w:spacing w:before="480" w:after="480" w:line="300" w:lineRule="atLeast"/>
      <w:jc w:val="center"/>
    </w:pPr>
    <w:rPr>
      <w:rFonts w:eastAsia="Arial Unicode MS"/>
      <w:b/>
      <w:smallCaps/>
      <w:sz w:val="28"/>
      <w:szCs w:val="20"/>
      <w:lang w:eastAsia="en-US"/>
    </w:rPr>
  </w:style>
  <w:style w:type="paragraph" w:styleId="CoverSheetHeading" w:customStyle="1">
    <w:name w:val="Cover Sheet Heading"/>
    <w:aliases w:val="Coversheet Title2"/>
    <w:basedOn w:val="CoversheetTitle"/>
    <w:rsid w:val="00850A0C"/>
  </w:style>
  <w:style w:type="paragraph" w:styleId="CoverSheetSubjectText" w:customStyle="1">
    <w:name w:val="Cover Sheet Subject Text"/>
    <w:basedOn w:val="Normal"/>
    <w:rsid w:val="00850A0C"/>
    <w:pPr>
      <w:spacing w:after="0" w:line="300" w:lineRule="atLeast"/>
      <w:jc w:val="center"/>
    </w:pPr>
    <w:rPr>
      <w:rFonts w:eastAsia="Arial Unicode MS"/>
      <w:szCs w:val="20"/>
      <w:lang w:eastAsia="en-US"/>
    </w:rPr>
  </w:style>
  <w:style w:type="paragraph" w:styleId="CoverSheetSubjectTitle" w:customStyle="1">
    <w:name w:val="Cover Sheet Subject Title"/>
    <w:basedOn w:val="Normal"/>
    <w:rsid w:val="00850A0C"/>
    <w:pPr>
      <w:spacing w:after="0" w:line="300" w:lineRule="atLeast"/>
      <w:jc w:val="center"/>
    </w:pPr>
    <w:rPr>
      <w:rFonts w:eastAsia="Arial Unicode MS"/>
      <w:szCs w:val="20"/>
      <w:lang w:eastAsia="en-US"/>
    </w:rPr>
  </w:style>
  <w:style w:type="paragraph" w:styleId="DraftingnoteSection1Para" w:customStyle="1">
    <w:name w:val="Draftingnote Section1 Para"/>
    <w:basedOn w:val="Normal"/>
    <w:rsid w:val="00850A0C"/>
    <w:pPr>
      <w:spacing w:after="120" w:line="300" w:lineRule="atLeast"/>
      <w:jc w:val="both"/>
    </w:pPr>
    <w:rPr>
      <w:rFonts w:eastAsia="Arial Unicode MS"/>
      <w:szCs w:val="20"/>
      <w:lang w:eastAsia="en-US"/>
    </w:rPr>
  </w:style>
  <w:style w:type="paragraph" w:styleId="DraftingnoteSection1Title" w:customStyle="1">
    <w:name w:val="Draftingnote Section1 Title"/>
    <w:basedOn w:val="Normal"/>
    <w:rsid w:val="00850A0C"/>
    <w:pPr>
      <w:spacing w:after="120" w:line="300" w:lineRule="atLeast"/>
      <w:jc w:val="both"/>
    </w:pPr>
    <w:rPr>
      <w:rFonts w:eastAsia="Arial Unicode MS"/>
      <w:b/>
      <w:sz w:val="36"/>
      <w:szCs w:val="20"/>
      <w:lang w:eastAsia="en-US"/>
    </w:rPr>
  </w:style>
  <w:style w:type="paragraph" w:styleId="DraftingnoteSection2Para" w:customStyle="1">
    <w:name w:val="Draftingnote Section2 Para"/>
    <w:basedOn w:val="Normal"/>
    <w:rsid w:val="00850A0C"/>
    <w:pPr>
      <w:spacing w:after="120" w:line="300" w:lineRule="atLeast"/>
      <w:jc w:val="both"/>
    </w:pPr>
    <w:rPr>
      <w:rFonts w:eastAsia="Arial Unicode MS"/>
      <w:szCs w:val="20"/>
      <w:lang w:eastAsia="en-US"/>
    </w:rPr>
  </w:style>
  <w:style w:type="paragraph" w:styleId="DraftingnoteSection2Title" w:customStyle="1">
    <w:name w:val="Draftingnote Section2 Title"/>
    <w:basedOn w:val="Normal"/>
    <w:rsid w:val="00850A0C"/>
    <w:pPr>
      <w:spacing w:after="120" w:line="300" w:lineRule="atLeast"/>
      <w:jc w:val="both"/>
    </w:pPr>
    <w:rPr>
      <w:rFonts w:eastAsia="Arial Unicode MS"/>
      <w:b/>
      <w:sz w:val="28"/>
      <w:szCs w:val="20"/>
      <w:lang w:eastAsia="en-US"/>
    </w:rPr>
  </w:style>
  <w:style w:type="paragraph" w:styleId="DraftingnoteSection3Para" w:customStyle="1">
    <w:name w:val="Draftingnote Section3 Para"/>
    <w:basedOn w:val="Normal"/>
    <w:rsid w:val="00850A0C"/>
    <w:pPr>
      <w:spacing w:after="120" w:line="300" w:lineRule="atLeast"/>
      <w:jc w:val="both"/>
    </w:pPr>
    <w:rPr>
      <w:rFonts w:eastAsia="Arial Unicode MS"/>
      <w:szCs w:val="20"/>
      <w:lang w:eastAsia="en-US"/>
    </w:rPr>
  </w:style>
  <w:style w:type="paragraph" w:styleId="DraftingnoteSection3Title" w:customStyle="1">
    <w:name w:val="Draftingnote Section3 Title"/>
    <w:basedOn w:val="Normal"/>
    <w:rsid w:val="00850A0C"/>
    <w:pPr>
      <w:spacing w:after="120" w:line="300" w:lineRule="atLeast"/>
      <w:jc w:val="both"/>
    </w:pPr>
    <w:rPr>
      <w:rFonts w:eastAsia="Arial Unicode MS"/>
      <w:b/>
      <w:i/>
      <w:sz w:val="28"/>
      <w:szCs w:val="20"/>
      <w:lang w:eastAsia="en-US"/>
    </w:rPr>
  </w:style>
  <w:style w:type="paragraph" w:styleId="DraftingnoteSection4Para" w:customStyle="1">
    <w:name w:val="Draftingnote Section4 Para"/>
    <w:basedOn w:val="Normal"/>
    <w:rsid w:val="00850A0C"/>
    <w:pPr>
      <w:spacing w:after="120" w:line="300" w:lineRule="atLeast"/>
      <w:jc w:val="both"/>
    </w:pPr>
    <w:rPr>
      <w:rFonts w:eastAsia="Arial Unicode MS"/>
      <w:szCs w:val="20"/>
      <w:lang w:eastAsia="en-US"/>
    </w:rPr>
  </w:style>
  <w:style w:type="paragraph" w:styleId="DraftingnoteSection4Title" w:customStyle="1">
    <w:name w:val="Draftingnote Section4 Title"/>
    <w:basedOn w:val="Normal"/>
    <w:rsid w:val="00850A0C"/>
    <w:pPr>
      <w:spacing w:after="120" w:line="300" w:lineRule="atLeast"/>
      <w:jc w:val="both"/>
    </w:pPr>
    <w:rPr>
      <w:rFonts w:eastAsia="Arial Unicode MS"/>
      <w:b/>
      <w:i/>
      <w:sz w:val="28"/>
      <w:szCs w:val="20"/>
      <w:lang w:eastAsia="en-US"/>
    </w:rPr>
  </w:style>
  <w:style w:type="paragraph" w:styleId="FulltextBridgehead" w:customStyle="1">
    <w:name w:val="Fulltext Bridgehead"/>
    <w:basedOn w:val="Normal"/>
    <w:rsid w:val="00850A0C"/>
    <w:pPr>
      <w:spacing w:after="120" w:line="300" w:lineRule="atLeast"/>
      <w:jc w:val="both"/>
    </w:pPr>
    <w:rPr>
      <w:rFonts w:eastAsia="Arial Unicode MS"/>
      <w:b/>
      <w:sz w:val="48"/>
      <w:szCs w:val="20"/>
      <w:lang w:eastAsia="en-US"/>
    </w:rPr>
  </w:style>
  <w:style w:type="paragraph" w:styleId="FulltextSection1Para" w:customStyle="1">
    <w:name w:val="Fulltext Section1 Para"/>
    <w:basedOn w:val="Normal"/>
    <w:rsid w:val="00850A0C"/>
    <w:pPr>
      <w:spacing w:after="120" w:line="300" w:lineRule="atLeast"/>
      <w:jc w:val="both"/>
    </w:pPr>
    <w:rPr>
      <w:rFonts w:eastAsia="Arial Unicode MS"/>
      <w:szCs w:val="20"/>
      <w:lang w:eastAsia="en-US"/>
    </w:rPr>
  </w:style>
  <w:style w:type="paragraph" w:styleId="FulltextSection1Title" w:customStyle="1">
    <w:name w:val="Fulltext Section1 Title"/>
    <w:basedOn w:val="Normal"/>
    <w:rsid w:val="00850A0C"/>
    <w:pPr>
      <w:spacing w:after="120" w:line="300" w:lineRule="atLeast"/>
      <w:jc w:val="both"/>
    </w:pPr>
    <w:rPr>
      <w:rFonts w:eastAsia="Arial Unicode MS"/>
      <w:b/>
      <w:sz w:val="36"/>
      <w:szCs w:val="20"/>
      <w:lang w:eastAsia="en-US"/>
    </w:rPr>
  </w:style>
  <w:style w:type="paragraph" w:styleId="FulltextSection2Para" w:customStyle="1">
    <w:name w:val="Fulltext Section2 Para"/>
    <w:basedOn w:val="Normal"/>
    <w:rsid w:val="00850A0C"/>
    <w:pPr>
      <w:spacing w:after="120" w:line="300" w:lineRule="atLeast"/>
      <w:jc w:val="both"/>
    </w:pPr>
    <w:rPr>
      <w:rFonts w:eastAsia="Arial Unicode MS"/>
      <w:szCs w:val="20"/>
      <w:lang w:eastAsia="en-US"/>
    </w:rPr>
  </w:style>
  <w:style w:type="paragraph" w:styleId="FulltextSection2Title" w:customStyle="1">
    <w:name w:val="Fulltext Section2 Title"/>
    <w:basedOn w:val="Normal"/>
    <w:rsid w:val="00850A0C"/>
    <w:pPr>
      <w:spacing w:after="120" w:line="300" w:lineRule="atLeast"/>
      <w:jc w:val="both"/>
    </w:pPr>
    <w:rPr>
      <w:rFonts w:eastAsia="Arial Unicode MS"/>
      <w:b/>
      <w:sz w:val="28"/>
      <w:szCs w:val="20"/>
      <w:lang w:eastAsia="en-US"/>
    </w:rPr>
  </w:style>
  <w:style w:type="paragraph" w:styleId="FulltextSection3Para" w:customStyle="1">
    <w:name w:val="Fulltext Section3 Para"/>
    <w:basedOn w:val="Normal"/>
    <w:rsid w:val="00850A0C"/>
    <w:pPr>
      <w:spacing w:after="120" w:line="300" w:lineRule="atLeast"/>
      <w:jc w:val="both"/>
    </w:pPr>
    <w:rPr>
      <w:rFonts w:eastAsia="Arial Unicode MS"/>
      <w:szCs w:val="20"/>
      <w:lang w:eastAsia="en-US"/>
    </w:rPr>
  </w:style>
  <w:style w:type="paragraph" w:styleId="FulltextSection3Title" w:customStyle="1">
    <w:name w:val="Fulltext Section3 Title"/>
    <w:basedOn w:val="Normal"/>
    <w:rsid w:val="00850A0C"/>
    <w:pPr>
      <w:spacing w:after="120" w:line="300" w:lineRule="atLeast"/>
      <w:jc w:val="both"/>
    </w:pPr>
    <w:rPr>
      <w:rFonts w:eastAsia="Arial Unicode MS"/>
      <w:b/>
      <w:i/>
      <w:sz w:val="28"/>
      <w:szCs w:val="20"/>
      <w:lang w:eastAsia="en-US"/>
    </w:rPr>
  </w:style>
  <w:style w:type="paragraph" w:styleId="FulltextSection4Para" w:customStyle="1">
    <w:name w:val="Fulltext Section4 Para"/>
    <w:basedOn w:val="Normal"/>
    <w:rsid w:val="00850A0C"/>
    <w:pPr>
      <w:spacing w:after="120" w:line="300" w:lineRule="atLeast"/>
      <w:jc w:val="both"/>
    </w:pPr>
    <w:rPr>
      <w:rFonts w:eastAsia="Arial Unicode MS"/>
      <w:szCs w:val="20"/>
      <w:lang w:eastAsia="en-US"/>
    </w:rPr>
  </w:style>
  <w:style w:type="paragraph" w:styleId="FulltextSection4Title" w:customStyle="1">
    <w:name w:val="Fulltext Section4 Title"/>
    <w:basedOn w:val="Normal"/>
    <w:rsid w:val="00850A0C"/>
    <w:pPr>
      <w:spacing w:after="120" w:line="300" w:lineRule="atLeast"/>
      <w:jc w:val="both"/>
    </w:pPr>
    <w:rPr>
      <w:rFonts w:eastAsia="Arial Unicode MS"/>
      <w:b/>
      <w:i/>
      <w:sz w:val="28"/>
      <w:szCs w:val="20"/>
      <w:lang w:eastAsia="en-US"/>
    </w:rPr>
  </w:style>
  <w:style w:type="paragraph" w:styleId="GlossItemGlossdefPara" w:customStyle="1">
    <w:name w:val="GlossItem Glossdef Para"/>
    <w:basedOn w:val="Normal"/>
    <w:rsid w:val="00850A0C"/>
    <w:pPr>
      <w:spacing w:after="120" w:line="300" w:lineRule="atLeast"/>
      <w:jc w:val="both"/>
    </w:pPr>
    <w:rPr>
      <w:rFonts w:eastAsia="Arial Unicode MS"/>
      <w:szCs w:val="20"/>
      <w:lang w:eastAsia="en-US"/>
    </w:rPr>
  </w:style>
  <w:style w:type="paragraph" w:styleId="GlossItemGlossterm" w:customStyle="1">
    <w:name w:val="GlossItem Glossterm"/>
    <w:basedOn w:val="Normal"/>
    <w:rsid w:val="00850A0C"/>
    <w:pPr>
      <w:spacing w:after="120" w:line="300" w:lineRule="atLeast"/>
      <w:jc w:val="both"/>
    </w:pPr>
    <w:rPr>
      <w:rFonts w:eastAsia="Arial Unicode MS"/>
      <w:b/>
      <w:sz w:val="48"/>
      <w:szCs w:val="20"/>
      <w:lang w:eastAsia="en-US"/>
    </w:rPr>
  </w:style>
  <w:style w:type="paragraph" w:styleId="HeadingAddressLine" w:customStyle="1">
    <w:name w:val="Heading Address Line"/>
    <w:basedOn w:val="Normal"/>
    <w:rsid w:val="00850A0C"/>
    <w:pPr>
      <w:spacing w:after="120" w:line="300" w:lineRule="atLeast"/>
      <w:jc w:val="both"/>
    </w:pPr>
    <w:rPr>
      <w:rFonts w:eastAsia="Arial Unicode MS"/>
      <w:szCs w:val="20"/>
      <w:lang w:eastAsia="en-US"/>
    </w:rPr>
  </w:style>
  <w:style w:type="paragraph" w:styleId="HeadingDate" w:customStyle="1">
    <w:name w:val="Heading Date"/>
    <w:basedOn w:val="Normal"/>
    <w:rsid w:val="00850A0C"/>
    <w:pPr>
      <w:spacing w:after="120" w:line="300" w:lineRule="atLeast"/>
      <w:jc w:val="both"/>
    </w:pPr>
    <w:rPr>
      <w:rFonts w:eastAsia="Arial Unicode MS"/>
      <w:szCs w:val="20"/>
      <w:lang w:eastAsia="en-US"/>
    </w:rPr>
  </w:style>
  <w:style w:type="paragraph" w:styleId="HeadingLetterheadBasedOnAttribute" w:customStyle="1">
    <w:name w:val="Heading Letterhead Based On Attribute"/>
    <w:basedOn w:val="Normal"/>
    <w:rsid w:val="00850A0C"/>
    <w:pPr>
      <w:spacing w:after="120" w:line="300" w:lineRule="atLeast"/>
      <w:jc w:val="both"/>
    </w:pPr>
    <w:rPr>
      <w:rFonts w:eastAsia="Arial Unicode MS"/>
      <w:szCs w:val="20"/>
      <w:lang w:eastAsia="en-US"/>
    </w:rPr>
  </w:style>
  <w:style w:type="paragraph" w:styleId="HeadingSalutation" w:customStyle="1">
    <w:name w:val="Heading Salutation"/>
    <w:basedOn w:val="Normal"/>
    <w:rsid w:val="00850A0C"/>
    <w:pPr>
      <w:spacing w:after="120" w:line="300" w:lineRule="atLeast"/>
      <w:jc w:val="both"/>
    </w:pPr>
    <w:rPr>
      <w:rFonts w:eastAsia="Arial Unicode MS"/>
      <w:szCs w:val="20"/>
      <w:lang w:eastAsia="en-US"/>
    </w:rPr>
  </w:style>
  <w:style w:type="paragraph" w:styleId="InternalAuthor" w:customStyle="1">
    <w:name w:val="Internal Author"/>
    <w:link w:val="InternalAuthorChar"/>
    <w:rsid w:val="00850A0C"/>
    <w:pPr>
      <w:spacing w:after="120"/>
    </w:pPr>
    <w:rPr>
      <w:rFonts w:ascii="Arial" w:hAnsi="Arial" w:eastAsia="Arial Unicode MS" w:cs="Arial"/>
      <w:color w:val="000000"/>
      <w:sz w:val="24"/>
      <w:szCs w:val="22"/>
      <w:lang w:val="en-US" w:eastAsia="en-US"/>
    </w:rPr>
  </w:style>
  <w:style w:type="character" w:styleId="InternalAuthorChar" w:customStyle="1">
    <w:name w:val="Internal Author Char"/>
    <w:link w:val="InternalAuthor"/>
    <w:rsid w:val="00850A0C"/>
    <w:rPr>
      <w:rFonts w:ascii="Arial" w:hAnsi="Arial" w:eastAsia="Arial Unicode MS" w:cs="Arial"/>
      <w:color w:val="000000"/>
      <w:sz w:val="24"/>
      <w:lang w:val="en-US" w:eastAsia="en-US"/>
    </w:rPr>
  </w:style>
  <w:style w:type="paragraph" w:styleId="MaintenanceEditor" w:customStyle="1">
    <w:name w:val="Maintenance Editor"/>
    <w:link w:val="MaintenanceEditorChar"/>
    <w:rsid w:val="00850A0C"/>
    <w:pPr>
      <w:spacing w:after="120"/>
    </w:pPr>
    <w:rPr>
      <w:rFonts w:ascii="Arial" w:hAnsi="Arial" w:eastAsia="Arial Unicode MS" w:cs="Arial"/>
      <w:color w:val="000000"/>
      <w:sz w:val="24"/>
      <w:szCs w:val="22"/>
      <w:lang w:val="en-US" w:eastAsia="en-US"/>
    </w:rPr>
  </w:style>
  <w:style w:type="character" w:styleId="MaintenanceEditorChar" w:customStyle="1">
    <w:name w:val="Maintenance Editor Char"/>
    <w:link w:val="MaintenanceEditor"/>
    <w:rsid w:val="00850A0C"/>
    <w:rPr>
      <w:rFonts w:ascii="Arial" w:hAnsi="Arial" w:eastAsia="Arial Unicode MS" w:cs="Arial"/>
      <w:color w:val="000000"/>
      <w:sz w:val="24"/>
      <w:lang w:val="en-US" w:eastAsia="en-US"/>
    </w:rPr>
  </w:style>
  <w:style w:type="paragraph" w:styleId="Parasubclause1" w:customStyle="1">
    <w:name w:val="Para subclause 1"/>
    <w:aliases w:val="BIWS Heading 2"/>
    <w:basedOn w:val="Normal"/>
    <w:rsid w:val="00850A0C"/>
    <w:pPr>
      <w:spacing w:before="240" w:after="120" w:line="300" w:lineRule="atLeast"/>
      <w:ind w:left="720"/>
      <w:jc w:val="both"/>
    </w:pPr>
    <w:rPr>
      <w:rFonts w:eastAsia="Arial Unicode MS"/>
      <w:szCs w:val="20"/>
      <w:lang w:eastAsia="en-US"/>
    </w:rPr>
  </w:style>
  <w:style w:type="paragraph" w:styleId="Parasubclause2" w:customStyle="1">
    <w:name w:val="Para subclause 2"/>
    <w:aliases w:val="BIWS Heading 3"/>
    <w:basedOn w:val="Normal"/>
    <w:rsid w:val="00850A0C"/>
    <w:pPr>
      <w:spacing w:after="240" w:line="300" w:lineRule="atLeast"/>
      <w:ind w:left="1559"/>
      <w:jc w:val="both"/>
    </w:pPr>
    <w:rPr>
      <w:rFonts w:eastAsia="Arial Unicode MS"/>
      <w:szCs w:val="20"/>
      <w:lang w:eastAsia="en-US"/>
    </w:rPr>
  </w:style>
  <w:style w:type="paragraph" w:styleId="Parasubclause3" w:customStyle="1">
    <w:name w:val="Para subclause 3"/>
    <w:aliases w:val="BIWS Heading 4"/>
    <w:basedOn w:val="Normal"/>
    <w:next w:val="Untitledsubclause2"/>
    <w:rsid w:val="00850A0C"/>
    <w:pPr>
      <w:spacing w:after="120" w:line="300" w:lineRule="atLeast"/>
      <w:ind w:left="2268"/>
      <w:jc w:val="both"/>
    </w:pPr>
    <w:rPr>
      <w:rFonts w:eastAsia="Arial Unicode MS"/>
      <w:szCs w:val="20"/>
      <w:lang w:eastAsia="en-US"/>
    </w:rPr>
  </w:style>
  <w:style w:type="paragraph" w:styleId="Parasubclause4" w:customStyle="1">
    <w:name w:val="Para subclause 4"/>
    <w:aliases w:val="BIWS Heading 5"/>
    <w:basedOn w:val="Parasubclause3"/>
    <w:rsid w:val="00850A0C"/>
    <w:pPr>
      <w:spacing w:after="240"/>
      <w:ind w:left="3028"/>
    </w:pPr>
  </w:style>
  <w:style w:type="paragraph" w:styleId="Para" w:customStyle="1">
    <w:name w:val="Para"/>
    <w:aliases w:val="PLC Style - Normal"/>
    <w:basedOn w:val="Normal"/>
    <w:rsid w:val="00850A0C"/>
    <w:pPr>
      <w:spacing w:after="120" w:line="300" w:lineRule="atLeast"/>
      <w:jc w:val="both"/>
    </w:pPr>
    <w:rPr>
      <w:rFonts w:eastAsia="Arial Unicode MS"/>
      <w:szCs w:val="20"/>
      <w:lang w:eastAsia="en-US"/>
    </w:rPr>
  </w:style>
  <w:style w:type="paragraph" w:styleId="Parties" w:customStyle="1">
    <w:name w:val="Parties"/>
    <w:aliases w:val="(1) Parties"/>
    <w:basedOn w:val="Normal"/>
    <w:rsid w:val="00850A0C"/>
    <w:pPr>
      <w:numPr>
        <w:numId w:val="5"/>
      </w:numPr>
      <w:spacing w:before="120" w:after="120" w:line="300" w:lineRule="atLeast"/>
      <w:jc w:val="both"/>
    </w:pPr>
    <w:rPr>
      <w:rFonts w:eastAsia="Arial Unicode MS"/>
      <w:szCs w:val="20"/>
      <w:lang w:eastAsia="en-US"/>
    </w:rPr>
  </w:style>
  <w:style w:type="paragraph" w:styleId="ResourceHistoryAuthor" w:customStyle="1">
    <w:name w:val="Resource History Author"/>
    <w:link w:val="ResourceHistoryAuthorChar"/>
    <w:rsid w:val="00850A0C"/>
    <w:pPr>
      <w:spacing w:after="120"/>
    </w:pPr>
    <w:rPr>
      <w:rFonts w:ascii="Arial" w:hAnsi="Arial" w:eastAsia="Arial Unicode MS" w:cs="Arial"/>
      <w:color w:val="000000"/>
      <w:sz w:val="24"/>
      <w:szCs w:val="24"/>
      <w:lang w:val="en-US" w:eastAsia="en-US"/>
    </w:rPr>
  </w:style>
  <w:style w:type="character" w:styleId="ResourceHistoryAuthorChar" w:customStyle="1">
    <w:name w:val="Resource History Author Char"/>
    <w:link w:val="ResourceHistoryAuthor"/>
    <w:rsid w:val="00850A0C"/>
    <w:rPr>
      <w:rFonts w:ascii="Arial" w:hAnsi="Arial" w:eastAsia="Arial Unicode MS" w:cs="Arial"/>
      <w:color w:val="000000"/>
      <w:sz w:val="24"/>
      <w:szCs w:val="24"/>
      <w:lang w:val="en-US" w:eastAsia="en-US"/>
    </w:rPr>
  </w:style>
  <w:style w:type="paragraph" w:styleId="ResourceHistoryDate" w:customStyle="1">
    <w:name w:val="Resource History Date"/>
    <w:link w:val="ResourceHistoryDateChar"/>
    <w:rsid w:val="00850A0C"/>
    <w:pPr>
      <w:spacing w:after="120"/>
    </w:pPr>
    <w:rPr>
      <w:rFonts w:ascii="Arial" w:hAnsi="Arial" w:eastAsia="Arial Unicode MS" w:cs="Arial"/>
      <w:color w:val="000000"/>
      <w:sz w:val="24"/>
      <w:szCs w:val="24"/>
      <w:lang w:val="en-US" w:eastAsia="en-US"/>
    </w:rPr>
  </w:style>
  <w:style w:type="character" w:styleId="ResourceHistoryDateChar" w:customStyle="1">
    <w:name w:val="Resource History Date Char"/>
    <w:link w:val="ResourceHistoryDate"/>
    <w:rsid w:val="00850A0C"/>
    <w:rPr>
      <w:rFonts w:ascii="Arial" w:hAnsi="Arial" w:eastAsia="Arial Unicode MS" w:cs="Arial"/>
      <w:color w:val="000000"/>
      <w:sz w:val="24"/>
      <w:szCs w:val="24"/>
      <w:lang w:val="en-US" w:eastAsia="en-US"/>
    </w:rPr>
  </w:style>
  <w:style w:type="paragraph" w:styleId="ResourceHistoryDesc" w:customStyle="1">
    <w:name w:val="Resource History Desc"/>
    <w:link w:val="ResourceHistoryDescChar"/>
    <w:rsid w:val="00850A0C"/>
    <w:pPr>
      <w:spacing w:after="120"/>
    </w:pPr>
    <w:rPr>
      <w:rFonts w:ascii="Verdana" w:hAnsi="Verdana" w:cs="Verdana"/>
      <w:color w:val="000000"/>
      <w:sz w:val="18"/>
      <w:szCs w:val="24"/>
      <w:lang w:val="en-US" w:eastAsia="en-US"/>
    </w:rPr>
  </w:style>
  <w:style w:type="character" w:styleId="ResourceHistoryDescChar" w:customStyle="1">
    <w:name w:val="Resource History Desc Char"/>
    <w:link w:val="ResourceHistoryDesc"/>
    <w:rsid w:val="00850A0C"/>
    <w:rPr>
      <w:rFonts w:ascii="Verdana" w:hAnsi="Verdana" w:eastAsia="Times New Roman" w:cs="Verdana"/>
      <w:color w:val="000000"/>
      <w:sz w:val="18"/>
      <w:szCs w:val="24"/>
      <w:lang w:val="en-US" w:eastAsia="en-US"/>
    </w:rPr>
  </w:style>
  <w:style w:type="paragraph" w:styleId="ResourceHistoryTitle" w:customStyle="1">
    <w:name w:val="Resource History Title"/>
    <w:link w:val="ResourceHistoryTitleChar"/>
    <w:rsid w:val="00850A0C"/>
    <w:pPr>
      <w:spacing w:after="120"/>
    </w:pPr>
    <w:rPr>
      <w:rFonts w:ascii="Arial" w:hAnsi="Arial" w:eastAsia="Arial Unicode MS" w:cs="Arial"/>
      <w:b/>
      <w:bCs/>
      <w:color w:val="000000"/>
      <w:sz w:val="24"/>
      <w:szCs w:val="22"/>
      <w:lang w:val="en-US" w:eastAsia="en-US"/>
    </w:rPr>
  </w:style>
  <w:style w:type="character" w:styleId="ResourceHistoryTitleChar" w:customStyle="1">
    <w:name w:val="Resource History Title Char"/>
    <w:link w:val="ResourceHistoryTitle"/>
    <w:rsid w:val="00850A0C"/>
    <w:rPr>
      <w:rFonts w:ascii="Arial" w:hAnsi="Arial" w:eastAsia="Arial Unicode MS" w:cs="Arial"/>
      <w:b/>
      <w:bCs/>
      <w:color w:val="000000"/>
      <w:sz w:val="24"/>
      <w:lang w:val="en-US" w:eastAsia="en-US"/>
    </w:rPr>
  </w:style>
  <w:style w:type="paragraph" w:styleId="ResourceType" w:customStyle="1">
    <w:name w:val="Resource Type"/>
    <w:link w:val="ResourceTypeChar"/>
    <w:rsid w:val="00850A0C"/>
    <w:pPr>
      <w:spacing w:after="120"/>
    </w:pPr>
    <w:rPr>
      <w:rFonts w:ascii="Arial" w:hAnsi="Arial" w:eastAsia="Arial Unicode MS" w:cs="Arial"/>
      <w:color w:val="000000"/>
      <w:sz w:val="24"/>
      <w:szCs w:val="24"/>
      <w:lang w:val="en-US" w:eastAsia="en-US"/>
    </w:rPr>
  </w:style>
  <w:style w:type="character" w:styleId="ResourceTypeChar" w:customStyle="1">
    <w:name w:val="Resource Type Char"/>
    <w:link w:val="ResourceType"/>
    <w:rsid w:val="00850A0C"/>
    <w:rPr>
      <w:rFonts w:ascii="Arial" w:hAnsi="Arial" w:eastAsia="Arial Unicode MS" w:cs="Arial"/>
      <w:color w:val="000000"/>
      <w:sz w:val="24"/>
      <w:szCs w:val="24"/>
      <w:lang w:val="en-US" w:eastAsia="en-US"/>
    </w:rPr>
  </w:style>
  <w:style w:type="paragraph" w:styleId="ScheduleHeading-Single" w:customStyle="1">
    <w:name w:val="Schedule Heading - Single"/>
    <w:aliases w:val="Sch   main head inc single"/>
    <w:basedOn w:val="Normal"/>
    <w:next w:val="Normal"/>
    <w:rsid w:val="00850A0C"/>
    <w:pPr>
      <w:numPr>
        <w:numId w:val="6"/>
      </w:numPr>
      <w:spacing w:before="240" w:after="360" w:line="300" w:lineRule="atLeast"/>
      <w:jc w:val="both"/>
    </w:pPr>
    <w:rPr>
      <w:rFonts w:eastAsia="Arial Unicode MS"/>
      <w:b/>
      <w:kern w:val="28"/>
      <w:szCs w:val="20"/>
      <w:lang w:eastAsia="en-US"/>
    </w:rPr>
  </w:style>
  <w:style w:type="paragraph" w:styleId="ScheduleHeading" w:customStyle="1">
    <w:name w:val="Schedule Heading"/>
    <w:aliases w:val="Sch   main head"/>
    <w:basedOn w:val="Normal"/>
    <w:next w:val="Normal"/>
    <w:autoRedefine/>
    <w:rsid w:val="00850A0C"/>
    <w:pPr>
      <w:keepNext/>
      <w:pageBreakBefore/>
      <w:numPr>
        <w:numId w:val="7"/>
      </w:numPr>
      <w:spacing w:before="240" w:after="360" w:line="300" w:lineRule="atLeast"/>
      <w:jc w:val="center"/>
      <w:outlineLvl w:val="0"/>
    </w:pPr>
    <w:rPr>
      <w:rFonts w:eastAsia="Arial Unicode MS"/>
      <w:b/>
      <w:kern w:val="28"/>
      <w:szCs w:val="20"/>
      <w:lang w:eastAsia="en-US"/>
    </w:rPr>
  </w:style>
  <w:style w:type="paragraph" w:styleId="SectionHeading" w:customStyle="1">
    <w:name w:val="Section Heading"/>
    <w:aliases w:val="1stIntroHeadings"/>
    <w:basedOn w:val="Normal"/>
    <w:next w:val="Normal"/>
    <w:rsid w:val="00850A0C"/>
    <w:pPr>
      <w:tabs>
        <w:tab w:val="left" w:pos="709"/>
      </w:tabs>
      <w:spacing w:before="120" w:after="120" w:line="300" w:lineRule="atLeast"/>
      <w:jc w:val="both"/>
    </w:pPr>
    <w:rPr>
      <w:rFonts w:eastAsia="Arial Unicode MS"/>
      <w:b/>
      <w:smallCaps/>
      <w:sz w:val="24"/>
      <w:szCs w:val="20"/>
      <w:lang w:eastAsia="en-US"/>
    </w:rPr>
  </w:style>
  <w:style w:type="paragraph" w:styleId="Shortquestion" w:customStyle="1">
    <w:name w:val="Shortquestion"/>
    <w:basedOn w:val="Normal"/>
    <w:rsid w:val="00850A0C"/>
    <w:pPr>
      <w:spacing w:after="120" w:line="300" w:lineRule="atLeast"/>
      <w:jc w:val="both"/>
    </w:pPr>
    <w:rPr>
      <w:rFonts w:eastAsia="Arial Unicode MS"/>
      <w:szCs w:val="20"/>
      <w:lang w:eastAsia="en-US"/>
    </w:rPr>
  </w:style>
  <w:style w:type="paragraph" w:styleId="SpeedreadPara" w:customStyle="1">
    <w:name w:val="Speedread Para"/>
    <w:basedOn w:val="Normal"/>
    <w:rsid w:val="00850A0C"/>
    <w:pPr>
      <w:spacing w:after="120" w:line="300" w:lineRule="atLeast"/>
      <w:jc w:val="both"/>
    </w:pPr>
    <w:rPr>
      <w:rFonts w:eastAsia="Arial Unicode MS"/>
      <w:szCs w:val="20"/>
      <w:lang w:eastAsia="en-US"/>
    </w:rPr>
  </w:style>
  <w:style w:type="paragraph" w:styleId="SpeedreadSection1Para" w:customStyle="1">
    <w:name w:val="Speedread Section1 Para"/>
    <w:basedOn w:val="Normal"/>
    <w:rsid w:val="00850A0C"/>
    <w:pPr>
      <w:spacing w:after="120" w:line="300" w:lineRule="atLeast"/>
      <w:jc w:val="both"/>
    </w:pPr>
    <w:rPr>
      <w:rFonts w:eastAsia="Arial Unicode MS"/>
      <w:szCs w:val="20"/>
      <w:lang w:eastAsia="en-US"/>
    </w:rPr>
  </w:style>
  <w:style w:type="paragraph" w:styleId="SpeedreadSection1Text" w:customStyle="1">
    <w:name w:val="Speedread Section1 Text"/>
    <w:basedOn w:val="Normal"/>
    <w:rsid w:val="00850A0C"/>
    <w:pPr>
      <w:spacing w:after="120" w:line="300" w:lineRule="atLeast"/>
      <w:jc w:val="both"/>
    </w:pPr>
    <w:rPr>
      <w:rFonts w:eastAsia="Arial Unicode MS"/>
      <w:szCs w:val="20"/>
      <w:lang w:eastAsia="en-US"/>
    </w:rPr>
  </w:style>
  <w:style w:type="paragraph" w:styleId="SpeedreadText" w:customStyle="1">
    <w:name w:val="Speedread Text"/>
    <w:basedOn w:val="Normal"/>
    <w:rsid w:val="00850A0C"/>
    <w:pPr>
      <w:spacing w:after="120" w:line="300" w:lineRule="atLeast"/>
      <w:jc w:val="both"/>
    </w:pPr>
    <w:rPr>
      <w:rFonts w:eastAsia="Arial Unicode MS"/>
      <w:szCs w:val="20"/>
      <w:lang w:eastAsia="en-US"/>
    </w:rPr>
  </w:style>
  <w:style w:type="paragraph" w:styleId="SpeedreadTitle" w:customStyle="1">
    <w:name w:val="Speedread Title"/>
    <w:basedOn w:val="Normal"/>
    <w:rsid w:val="00850A0C"/>
    <w:pPr>
      <w:spacing w:after="120" w:line="300" w:lineRule="atLeast"/>
      <w:jc w:val="both"/>
    </w:pPr>
    <w:rPr>
      <w:rFonts w:eastAsia="Arial Unicode MS"/>
      <w:b/>
      <w:sz w:val="36"/>
      <w:szCs w:val="20"/>
      <w:lang w:eastAsia="en-US"/>
    </w:rPr>
  </w:style>
  <w:style w:type="paragraph" w:styleId="TemplateType" w:customStyle="1">
    <w:name w:val="Template Type"/>
    <w:link w:val="TemplateTypeChar"/>
    <w:rsid w:val="00850A0C"/>
    <w:pPr>
      <w:spacing w:after="120"/>
    </w:pPr>
    <w:rPr>
      <w:rFonts w:ascii="Arial" w:hAnsi="Arial" w:eastAsia="Arial Unicode MS" w:cs="Arial"/>
      <w:color w:val="000000"/>
      <w:sz w:val="24"/>
      <w:szCs w:val="24"/>
      <w:lang w:val="en-US" w:eastAsia="en-US"/>
    </w:rPr>
  </w:style>
  <w:style w:type="character" w:styleId="TemplateTypeChar" w:customStyle="1">
    <w:name w:val="Template Type Char"/>
    <w:link w:val="TemplateType"/>
    <w:rsid w:val="00850A0C"/>
    <w:rPr>
      <w:rFonts w:ascii="Arial" w:hAnsi="Arial" w:eastAsia="Arial Unicode MS" w:cs="Arial"/>
      <w:color w:val="000000"/>
      <w:sz w:val="24"/>
      <w:szCs w:val="24"/>
      <w:lang w:val="en-US" w:eastAsia="en-US"/>
    </w:rPr>
  </w:style>
  <w:style w:type="character" w:styleId="Hyperlink">
    <w:name w:val="Hyperlink"/>
    <w:uiPriority w:val="99"/>
    <w:rsid w:val="00850A0C"/>
    <w:rPr>
      <w:rFonts w:ascii="Arial" w:hAnsi="Arial" w:eastAsia="Arial" w:cs="Arial"/>
      <w:i/>
      <w:color w:val="000000"/>
      <w:u w:val="single"/>
    </w:rPr>
  </w:style>
  <w:style w:type="paragraph" w:styleId="Bullet4" w:customStyle="1">
    <w:name w:val="Bullet4"/>
    <w:basedOn w:val="Normal"/>
    <w:rsid w:val="00850A0C"/>
    <w:pPr>
      <w:numPr>
        <w:numId w:val="8"/>
      </w:numPr>
      <w:spacing w:after="240" w:line="240" w:lineRule="auto"/>
      <w:jc w:val="both"/>
    </w:pPr>
    <w:rPr>
      <w:rFonts w:ascii="Times New Roman" w:hAnsi="Times New Roman" w:eastAsia="Times New Roman" w:cs="Times New Roman"/>
      <w:szCs w:val="20"/>
      <w:lang w:eastAsia="en-US"/>
    </w:rPr>
  </w:style>
  <w:style w:type="paragraph" w:styleId="IgnoredTemplateText" w:customStyle="1">
    <w:name w:val="Ignored Template Text"/>
    <w:link w:val="IgnoredTemplateTextChar"/>
    <w:rsid w:val="00850A0C"/>
    <w:pPr>
      <w:pBdr>
        <w:top w:val="single" w:color="auto" w:sz="4" w:space="1"/>
        <w:left w:val="single" w:color="auto" w:sz="4" w:space="4"/>
        <w:bottom w:val="single" w:color="auto" w:sz="4" w:space="1"/>
        <w:right w:val="single" w:color="auto" w:sz="4" w:space="4"/>
      </w:pBdr>
      <w:shd w:val="pct15" w:color="auto" w:fill="FBD4B4"/>
      <w:spacing w:after="120"/>
    </w:pPr>
    <w:rPr>
      <w:rFonts w:ascii="Arial" w:hAnsi="Arial" w:eastAsia="Arial Unicode MS" w:cs="Arial"/>
      <w:b/>
      <w:i/>
      <w:color w:val="000000"/>
      <w:sz w:val="22"/>
      <w:szCs w:val="18"/>
      <w:lang w:val="en-US" w:eastAsia="en-US"/>
    </w:rPr>
  </w:style>
  <w:style w:type="character" w:styleId="IgnoredTemplateTextChar" w:customStyle="1">
    <w:name w:val="Ignored Template Text Char"/>
    <w:link w:val="IgnoredTemplateText"/>
    <w:rsid w:val="00850A0C"/>
    <w:rPr>
      <w:rFonts w:ascii="Arial" w:hAnsi="Arial" w:eastAsia="Arial Unicode MS" w:cs="Arial"/>
      <w:b/>
      <w:i/>
      <w:color w:val="000000"/>
      <w:szCs w:val="18"/>
      <w:shd w:val="pct15" w:color="auto" w:fill="FBD4B4"/>
      <w:lang w:val="en-US" w:eastAsia="en-US"/>
    </w:rPr>
  </w:style>
  <w:style w:type="paragraph" w:styleId="HeadingLevel1" w:customStyle="1">
    <w:name w:val="Heading Level 1"/>
    <w:basedOn w:val="Normal"/>
    <w:next w:val="Paragraph"/>
    <w:rsid w:val="00850A0C"/>
    <w:pPr>
      <w:keepNext/>
      <w:spacing w:after="120" w:line="300" w:lineRule="atLeast"/>
      <w:jc w:val="both"/>
      <w:outlineLvl w:val="1"/>
    </w:pPr>
    <w:rPr>
      <w:rFonts w:eastAsia="Arial Unicode MS"/>
      <w:b/>
      <w:sz w:val="36"/>
      <w:szCs w:val="20"/>
      <w:lang w:eastAsia="en-US"/>
    </w:rPr>
  </w:style>
  <w:style w:type="paragraph" w:styleId="HeadingLevel2" w:customStyle="1">
    <w:name w:val="Heading Level 2"/>
    <w:basedOn w:val="Normal"/>
    <w:next w:val="Paragraph"/>
    <w:rsid w:val="00850A0C"/>
    <w:pPr>
      <w:keepNext/>
      <w:spacing w:after="120" w:line="300" w:lineRule="atLeast"/>
      <w:jc w:val="both"/>
      <w:outlineLvl w:val="2"/>
    </w:pPr>
    <w:rPr>
      <w:rFonts w:eastAsia="Arial Unicode MS"/>
      <w:b/>
      <w:sz w:val="28"/>
      <w:szCs w:val="20"/>
      <w:lang w:eastAsia="en-US"/>
    </w:rPr>
  </w:style>
  <w:style w:type="paragraph" w:styleId="HeadingLevel3" w:customStyle="1">
    <w:name w:val="Heading Level 3"/>
    <w:basedOn w:val="Normal"/>
    <w:next w:val="Paragraph"/>
    <w:rsid w:val="00850A0C"/>
    <w:pPr>
      <w:keepNext/>
      <w:spacing w:after="120" w:line="300" w:lineRule="atLeast"/>
      <w:jc w:val="both"/>
      <w:outlineLvl w:val="3"/>
    </w:pPr>
    <w:rPr>
      <w:rFonts w:eastAsia="Arial Unicode MS"/>
      <w:b/>
      <w:i/>
      <w:sz w:val="28"/>
      <w:szCs w:val="20"/>
      <w:lang w:eastAsia="en-US"/>
    </w:rPr>
  </w:style>
  <w:style w:type="paragraph" w:styleId="PinPointRef" w:customStyle="1">
    <w:name w:val="PinPoint Ref"/>
    <w:link w:val="PinPointRefChar"/>
    <w:qFormat/>
    <w:rsid w:val="00850A0C"/>
    <w:rPr>
      <w:rFonts w:ascii="Times New Roman" w:hAnsi="Times New Roman"/>
      <w:b/>
      <w:vanish/>
      <w:color w:val="000000"/>
      <w:sz w:val="18"/>
      <w:lang w:eastAsia="en-US"/>
    </w:rPr>
  </w:style>
  <w:style w:type="character" w:styleId="PinPointRefChar" w:customStyle="1">
    <w:name w:val="PinPoint Ref Char"/>
    <w:link w:val="PinPointRef"/>
    <w:rsid w:val="00850A0C"/>
    <w:rPr>
      <w:rFonts w:ascii="Times New Roman" w:hAnsi="Times New Roman" w:eastAsia="Times New Roman" w:cs="Times New Roman"/>
      <w:b/>
      <w:vanish/>
      <w:color w:val="000000"/>
      <w:sz w:val="18"/>
      <w:szCs w:val="20"/>
      <w:lang w:eastAsia="en-US"/>
    </w:rPr>
  </w:style>
  <w:style w:type="paragraph" w:styleId="BlockQuote" w:customStyle="1">
    <w:name w:val="Block Quote"/>
    <w:link w:val="BlockQuoteChar"/>
    <w:qFormat/>
    <w:rsid w:val="00850A0C"/>
    <w:pPr>
      <w:spacing w:before="120"/>
      <w:ind w:left="720"/>
    </w:pPr>
    <w:rPr>
      <w:rFonts w:ascii="Arial" w:hAnsi="Arial" w:eastAsia="Arial Unicode MS" w:cs="Arial"/>
      <w:color w:val="000000"/>
      <w:sz w:val="18"/>
      <w:lang w:eastAsia="en-US"/>
    </w:rPr>
  </w:style>
  <w:style w:type="character" w:styleId="BlockQuoteChar" w:customStyle="1">
    <w:name w:val="Block Quote Char"/>
    <w:link w:val="BlockQuote"/>
    <w:rsid w:val="00850A0C"/>
    <w:rPr>
      <w:rFonts w:ascii="Arial" w:hAnsi="Arial" w:eastAsia="Arial Unicode MS" w:cs="Arial"/>
      <w:color w:val="000000"/>
      <w:sz w:val="18"/>
      <w:szCs w:val="20"/>
      <w:lang w:eastAsia="en-US"/>
    </w:rPr>
  </w:style>
  <w:style w:type="paragraph" w:styleId="ListParagraphLevel1" w:customStyle="1">
    <w:name w:val="List Paragraph Level 1"/>
    <w:link w:val="ListParagraphLevel1Char"/>
    <w:rsid w:val="00850A0C"/>
    <w:pPr>
      <w:spacing w:after="120"/>
      <w:ind w:left="357"/>
      <w:jc w:val="both"/>
    </w:pPr>
    <w:rPr>
      <w:rFonts w:ascii="Arial" w:hAnsi="Arial" w:eastAsia="Arial Unicode MS" w:cs="Arial"/>
      <w:color w:val="000000"/>
      <w:sz w:val="22"/>
      <w:szCs w:val="24"/>
      <w:lang w:val="en-US" w:eastAsia="en-US"/>
    </w:rPr>
  </w:style>
  <w:style w:type="paragraph" w:styleId="ListParagraphLevel2" w:customStyle="1">
    <w:name w:val="List Paragraph Level 2"/>
    <w:link w:val="ListParagraphLevel2Char"/>
    <w:qFormat/>
    <w:rsid w:val="00850A0C"/>
    <w:pPr>
      <w:spacing w:after="120"/>
      <w:ind w:left="1077"/>
      <w:jc w:val="both"/>
    </w:pPr>
    <w:rPr>
      <w:rFonts w:ascii="Arial" w:hAnsi="Arial" w:eastAsia="Arial Unicode MS" w:cs="Arial"/>
      <w:color w:val="000000"/>
      <w:sz w:val="22"/>
      <w:szCs w:val="24"/>
      <w:lang w:val="en-US" w:eastAsia="en-US"/>
    </w:rPr>
  </w:style>
  <w:style w:type="character" w:styleId="ListParagraphLevel1Char" w:customStyle="1">
    <w:name w:val="List Paragraph Level 1 Char"/>
    <w:link w:val="ListParagraphLevel1"/>
    <w:rsid w:val="00850A0C"/>
    <w:rPr>
      <w:rFonts w:ascii="Arial" w:hAnsi="Arial" w:eastAsia="Arial Unicode MS" w:cs="Arial"/>
      <w:color w:val="000000"/>
      <w:szCs w:val="24"/>
      <w:lang w:val="en-US" w:eastAsia="en-US"/>
    </w:rPr>
  </w:style>
  <w:style w:type="character" w:styleId="ListParagraphLevel2Char" w:customStyle="1">
    <w:name w:val="List Paragraph Level 2 Char"/>
    <w:link w:val="ListParagraphLevel2"/>
    <w:rsid w:val="00850A0C"/>
    <w:rPr>
      <w:rFonts w:ascii="Arial" w:hAnsi="Arial" w:eastAsia="Arial Unicode MS" w:cs="Arial"/>
      <w:color w:val="000000"/>
      <w:szCs w:val="24"/>
      <w:lang w:val="en-US" w:eastAsia="en-US"/>
    </w:rPr>
  </w:style>
  <w:style w:type="paragraph" w:styleId="IntroCustom" w:customStyle="1">
    <w:name w:val="Intro Custom"/>
    <w:basedOn w:val="Paragraph"/>
    <w:qFormat/>
    <w:rsid w:val="00850A0C"/>
  </w:style>
  <w:style w:type="paragraph" w:styleId="PrecedentType" w:customStyle="1">
    <w:name w:val="Precedent Type"/>
    <w:basedOn w:val="IgnoredSpacing"/>
    <w:qFormat/>
    <w:rsid w:val="00850A0C"/>
  </w:style>
  <w:style w:type="paragraph" w:styleId="Operative" w:customStyle="1">
    <w:name w:val="Operative"/>
    <w:basedOn w:val="IgnoredSpacing"/>
    <w:qFormat/>
    <w:rsid w:val="00850A0C"/>
    <w:rPr>
      <w:vanish/>
    </w:rPr>
  </w:style>
  <w:style w:type="paragraph" w:styleId="SpeedreadBulletList1" w:customStyle="1">
    <w:name w:val="Speedread Bullet List 1"/>
    <w:basedOn w:val="BulletList1"/>
    <w:qFormat/>
    <w:rsid w:val="00850A0C"/>
  </w:style>
  <w:style w:type="paragraph" w:styleId="PartiesTitle" w:customStyle="1">
    <w:name w:val="Parties Title"/>
    <w:basedOn w:val="Paragraph"/>
    <w:qFormat/>
    <w:rsid w:val="00850A0C"/>
    <w:rPr>
      <w:b/>
    </w:rPr>
  </w:style>
  <w:style w:type="paragraph" w:styleId="QuestionParagraph" w:customStyle="1">
    <w:name w:val="Question Paragraph"/>
    <w:link w:val="QuestionParagraphChar"/>
    <w:qFormat/>
    <w:rsid w:val="00850A0C"/>
    <w:pPr>
      <w:numPr>
        <w:numId w:val="9"/>
      </w:numPr>
      <w:shd w:val="clear" w:color="auto" w:fill="D9D9D9"/>
      <w:spacing w:after="120"/>
      <w:ind w:left="357" w:hanging="357"/>
      <w:outlineLvl w:val="0"/>
    </w:pPr>
    <w:rPr>
      <w:rFonts w:ascii="Arial" w:hAnsi="Arial" w:eastAsia="Arial Unicode MS" w:cs="Arial"/>
      <w:color w:val="000000"/>
      <w:sz w:val="22"/>
      <w:szCs w:val="22"/>
      <w:lang w:val="en-US" w:eastAsia="en-US"/>
    </w:rPr>
  </w:style>
  <w:style w:type="paragraph" w:styleId="BulletListPattern1" w:customStyle="1">
    <w:name w:val="Bullet List Pattern 1"/>
    <w:basedOn w:val="BulletList1"/>
    <w:qFormat/>
    <w:rsid w:val="00850A0C"/>
    <w:pPr>
      <w:shd w:val="clear" w:color="auto" w:fill="D9D9D9"/>
      <w:spacing w:after="120" w:line="240" w:lineRule="auto"/>
      <w:ind w:left="714" w:hanging="357"/>
    </w:pPr>
  </w:style>
  <w:style w:type="character" w:styleId="QuestionParagraphChar" w:customStyle="1">
    <w:name w:val="Question Paragraph Char"/>
    <w:link w:val="QuestionParagraph"/>
    <w:rsid w:val="00850A0C"/>
    <w:rPr>
      <w:rFonts w:ascii="Arial" w:hAnsi="Arial" w:eastAsia="Arial Unicode MS" w:cs="Arial"/>
      <w:color w:val="000000"/>
      <w:sz w:val="22"/>
      <w:szCs w:val="22"/>
      <w:shd w:val="clear" w:color="auto" w:fill="D9D9D9"/>
      <w:lang w:val="en-US" w:eastAsia="en-US"/>
    </w:rPr>
  </w:style>
  <w:style w:type="paragraph" w:styleId="BulletListPattern2" w:customStyle="1">
    <w:name w:val="Bullet List Pattern 2"/>
    <w:basedOn w:val="BulletList2"/>
    <w:qFormat/>
    <w:rsid w:val="00850A0C"/>
    <w:pPr>
      <w:shd w:val="clear" w:color="auto" w:fill="D9D9D9"/>
      <w:ind w:left="1077"/>
    </w:pPr>
  </w:style>
  <w:style w:type="paragraph" w:styleId="TestimoniumContract" w:customStyle="1">
    <w:name w:val="Testimonium Contract"/>
    <w:basedOn w:val="Paragraph"/>
    <w:qFormat/>
    <w:rsid w:val="00850A0C"/>
  </w:style>
  <w:style w:type="paragraph" w:styleId="TestimoniumDeed" w:customStyle="1">
    <w:name w:val="Testimonium Deed"/>
    <w:basedOn w:val="Paragraph"/>
    <w:qFormat/>
    <w:rsid w:val="00850A0C"/>
  </w:style>
  <w:style w:type="paragraph" w:styleId="Titlesubclause2" w:customStyle="1">
    <w:name w:val="Title subclause2"/>
    <w:basedOn w:val="Untitledsubclause2"/>
    <w:qFormat/>
    <w:rsid w:val="00850A0C"/>
    <w:rPr>
      <w:b/>
    </w:rPr>
  </w:style>
  <w:style w:type="paragraph" w:styleId="Titlesubclause3" w:customStyle="1">
    <w:name w:val="Title subclause3"/>
    <w:basedOn w:val="Untitledsubclause3"/>
    <w:qFormat/>
    <w:rsid w:val="00850A0C"/>
    <w:rPr>
      <w:b/>
    </w:rPr>
  </w:style>
  <w:style w:type="paragraph" w:styleId="Titlesubclause4" w:customStyle="1">
    <w:name w:val="Title subclause4"/>
    <w:basedOn w:val="Untitledsubclause4"/>
    <w:qFormat/>
    <w:rsid w:val="00850A0C"/>
    <w:rPr>
      <w:b/>
    </w:rPr>
  </w:style>
  <w:style w:type="paragraph" w:styleId="UntitledClause" w:customStyle="1">
    <w:name w:val="Untitled Clause"/>
    <w:basedOn w:val="TitleClause"/>
    <w:qFormat/>
    <w:rsid w:val="00850A0C"/>
    <w:pPr>
      <w:spacing w:before="120"/>
    </w:pPr>
    <w:rPr>
      <w:b w:val="0"/>
    </w:rPr>
  </w:style>
  <w:style w:type="paragraph" w:styleId="ScheduleUntitledClause" w:customStyle="1">
    <w:name w:val="Schedule Untitled Clause"/>
    <w:basedOn w:val="ScheduleTitleClause"/>
    <w:qFormat/>
    <w:rsid w:val="00850A0C"/>
    <w:pPr>
      <w:spacing w:before="120"/>
    </w:pPr>
    <w:rPr>
      <w:b w:val="0"/>
    </w:rPr>
  </w:style>
  <w:style w:type="paragraph" w:styleId="Titlesubclause1" w:customStyle="1">
    <w:name w:val="Title subclause1"/>
    <w:basedOn w:val="Untitledsubclause1"/>
    <w:qFormat/>
    <w:rsid w:val="00850A0C"/>
    <w:pPr>
      <w:spacing w:before="120"/>
    </w:pPr>
    <w:rPr>
      <w:b/>
    </w:rPr>
  </w:style>
  <w:style w:type="paragraph" w:styleId="AnnexTitle" w:customStyle="1">
    <w:name w:val="Annex Title"/>
    <w:basedOn w:val="Paragraph"/>
    <w:next w:val="Paragraph"/>
    <w:qFormat/>
    <w:rsid w:val="00850A0C"/>
    <w:pPr>
      <w:spacing w:before="240" w:after="240"/>
    </w:pPr>
    <w:rPr>
      <w:b/>
    </w:rPr>
  </w:style>
  <w:style w:type="paragraph" w:styleId="PartTitle" w:customStyle="1">
    <w:name w:val="Part Title"/>
    <w:basedOn w:val="Paragraph"/>
    <w:qFormat/>
    <w:rsid w:val="00850A0C"/>
    <w:rPr>
      <w:b/>
    </w:rPr>
  </w:style>
  <w:style w:type="character" w:styleId="apple-converted-space" w:customStyle="1">
    <w:name w:val="apple-converted-space"/>
    <w:rsid w:val="00850A0C"/>
    <w:rPr>
      <w:rFonts w:ascii="Arial" w:hAnsi="Arial" w:eastAsia="Arial" w:cs="Arial"/>
      <w:color w:val="000000"/>
    </w:rPr>
  </w:style>
  <w:style w:type="character" w:styleId="Emphasis">
    <w:name w:val="Emphasis"/>
    <w:uiPriority w:val="20"/>
    <w:qFormat/>
    <w:rsid w:val="00850A0C"/>
    <w:rPr>
      <w:rFonts w:ascii="Arial" w:hAnsi="Arial" w:eastAsia="Arial" w:cs="Arial"/>
      <w:i/>
      <w:iCs/>
      <w:color w:val="000000"/>
    </w:rPr>
  </w:style>
  <w:style w:type="paragraph" w:styleId="NoNumTitle-Clause" w:customStyle="1">
    <w:name w:val="No Num Title - Clause"/>
    <w:basedOn w:val="TitleClause"/>
    <w:qFormat/>
    <w:rsid w:val="00850A0C"/>
    <w:pPr>
      <w:numPr>
        <w:numId w:val="0"/>
      </w:numPr>
      <w:ind w:left="720"/>
    </w:pPr>
  </w:style>
  <w:style w:type="paragraph" w:styleId="NoNumTitlesubclause1" w:customStyle="1">
    <w:name w:val="No Num Title subclause1"/>
    <w:basedOn w:val="Titlesubclause1"/>
    <w:qFormat/>
    <w:rsid w:val="00850A0C"/>
    <w:pPr>
      <w:numPr>
        <w:ilvl w:val="0"/>
        <w:numId w:val="0"/>
      </w:numPr>
      <w:ind w:left="720"/>
    </w:pPr>
  </w:style>
  <w:style w:type="paragraph" w:styleId="AddressLine" w:customStyle="1">
    <w:name w:val="Address Line"/>
    <w:basedOn w:val="Paragraph"/>
    <w:qFormat/>
    <w:rsid w:val="00850A0C"/>
  </w:style>
  <w:style w:type="paragraph" w:styleId="Date">
    <w:name w:val="Date"/>
    <w:basedOn w:val="Paragraph"/>
    <w:qFormat/>
    <w:rsid w:val="00850A0C"/>
  </w:style>
  <w:style w:type="paragraph" w:styleId="SalutationPara" w:customStyle="1">
    <w:name w:val="Salutation Para"/>
    <w:basedOn w:val="Paragraph"/>
    <w:next w:val="Paragraph"/>
    <w:qFormat/>
    <w:rsid w:val="00850A0C"/>
    <w:pPr>
      <w:spacing w:before="240"/>
    </w:pPr>
  </w:style>
  <w:style w:type="character" w:styleId="FollowedHyperlink">
    <w:name w:val="FollowedHyperlink"/>
    <w:uiPriority w:val="99"/>
    <w:semiHidden/>
    <w:unhideWhenUsed/>
    <w:rsid w:val="00850A0C"/>
    <w:rPr>
      <w:rFonts w:ascii="Arial" w:hAnsi="Arial" w:eastAsia="Arial" w:cs="Arial"/>
      <w:i/>
      <w:color w:val="000000"/>
      <w:u w:val="single"/>
    </w:rPr>
  </w:style>
  <w:style w:type="table" w:styleId="ShadedTable" w:customStyle="1">
    <w:name w:val="Shaded Table"/>
    <w:basedOn w:val="TableNormal"/>
    <w:uiPriority w:val="99"/>
    <w:rsid w:val="00850A0C"/>
    <w:tblPr>
      <w:tblBorders>
        <w:top w:val="single" w:color="auto" w:sz="4" w:space="0"/>
        <w:left w:val="single" w:color="auto" w:sz="4" w:space="0"/>
        <w:bottom w:val="single" w:color="auto" w:sz="4" w:space="0"/>
        <w:right w:val="single" w:color="auto" w:sz="4" w:space="0"/>
        <w:insideH w:val="nil"/>
        <w:insideV w:val="nil"/>
      </w:tblBorders>
    </w:tblPr>
    <w:tcPr>
      <w:shd w:val="clear" w:color="auto" w:fill="EEECE1"/>
    </w:tcPr>
  </w:style>
  <w:style w:type="paragraph" w:styleId="Letterhead" w:customStyle="1">
    <w:name w:val="Letterhead"/>
    <w:basedOn w:val="Paragraph"/>
    <w:qFormat/>
    <w:rsid w:val="00850A0C"/>
    <w:rPr>
      <w:i/>
    </w:rPr>
  </w:style>
  <w:style w:type="paragraph" w:styleId="LetterTitle" w:customStyle="1">
    <w:name w:val="Letter Title"/>
    <w:basedOn w:val="Paragraph"/>
    <w:qFormat/>
    <w:rsid w:val="00850A0C"/>
    <w:rPr>
      <w:b/>
    </w:rPr>
  </w:style>
  <w:style w:type="paragraph" w:styleId="LongQuestionPara" w:customStyle="1">
    <w:name w:val="Long Question Para"/>
    <w:basedOn w:val="Paragraph"/>
    <w:link w:val="LongQuestionParaChar"/>
    <w:rsid w:val="00850A0C"/>
    <w:pPr>
      <w:numPr>
        <w:numId w:val="12"/>
      </w:numPr>
      <w:spacing w:before="240" w:after="240" w:line="240" w:lineRule="auto"/>
      <w:outlineLvl w:val="1"/>
    </w:pPr>
    <w:rPr>
      <w:sz w:val="20"/>
      <w:lang w:val="en-US"/>
    </w:rPr>
  </w:style>
  <w:style w:type="character" w:styleId="LongQuestionParaChar" w:customStyle="1">
    <w:name w:val="Long Question Para Char"/>
    <w:link w:val="LongQuestionPara"/>
    <w:rsid w:val="00850A0C"/>
    <w:rPr>
      <w:rFonts w:ascii="Arial" w:hAnsi="Arial" w:eastAsia="Arial Unicode MS" w:cs="Arial"/>
      <w:color w:val="000000"/>
      <w:lang w:val="en-US" w:eastAsia="en-US"/>
    </w:rPr>
  </w:style>
  <w:style w:type="paragraph" w:styleId="ShortQuestionPara" w:customStyle="1">
    <w:name w:val="Short Question Para"/>
    <w:basedOn w:val="Paragraph"/>
    <w:link w:val="ShortQuestionParaChar"/>
    <w:rsid w:val="00850A0C"/>
    <w:pPr>
      <w:shd w:val="clear" w:color="auto" w:fill="D9D9D9"/>
      <w:tabs>
        <w:tab w:val="left" w:pos="270"/>
      </w:tabs>
      <w:spacing w:after="40" w:line="240" w:lineRule="auto"/>
      <w:outlineLvl w:val="1"/>
    </w:pPr>
    <w:rPr>
      <w:bCs/>
      <w:sz w:val="20"/>
      <w:lang w:val="en-US"/>
    </w:rPr>
  </w:style>
  <w:style w:type="character" w:styleId="ShortQuestionParaChar" w:customStyle="1">
    <w:name w:val="Short Question Para Char"/>
    <w:link w:val="ShortQuestionPara"/>
    <w:rsid w:val="00850A0C"/>
    <w:rPr>
      <w:rFonts w:ascii="Arial" w:hAnsi="Arial" w:eastAsia="Arial Unicode MS" w:cs="Arial"/>
      <w:bCs/>
      <w:color w:val="000000"/>
      <w:sz w:val="20"/>
      <w:szCs w:val="20"/>
      <w:shd w:val="clear" w:color="auto" w:fill="D9D9D9"/>
      <w:lang w:val="en-US" w:eastAsia="en-US"/>
    </w:rPr>
  </w:style>
  <w:style w:type="paragraph" w:styleId="811D3A974D454A258B71E3C4DE24C4F210" w:customStyle="1">
    <w:name w:val="811D3A974D454A258B71E3C4DE24C4F210"/>
    <w:rsid w:val="008D79BB"/>
    <w:pPr>
      <w:spacing w:after="120"/>
    </w:pPr>
    <w:rPr>
      <w:rFonts w:ascii="Arial" w:hAnsi="Arial" w:eastAsia="Arial Unicode MS" w:cs="Arial"/>
      <w:color w:val="000000"/>
      <w:sz w:val="24"/>
      <w:szCs w:val="22"/>
      <w:lang w:val="en-US" w:eastAsia="en-US"/>
    </w:rPr>
  </w:style>
  <w:style w:type="paragraph" w:styleId="ListParagraphLevel3" w:customStyle="1">
    <w:name w:val="List Paragraph Level 3"/>
    <w:qFormat/>
    <w:rsid w:val="00850A0C"/>
    <w:pPr>
      <w:spacing w:after="120"/>
      <w:ind w:left="2160"/>
    </w:pPr>
    <w:rPr>
      <w:rFonts w:ascii="Times New Roman" w:hAnsi="Times New Roman"/>
      <w:color w:val="000000"/>
      <w:sz w:val="24"/>
      <w:lang w:eastAsia="en-US"/>
    </w:rPr>
  </w:style>
  <w:style w:type="paragraph" w:styleId="DocumentTitle" w:customStyle="1">
    <w:name w:val="Document Title"/>
    <w:basedOn w:val="Paragraph"/>
    <w:qFormat/>
    <w:rsid w:val="00850A0C"/>
    <w:pPr>
      <w:jc w:val="center"/>
    </w:pPr>
    <w:rPr>
      <w:sz w:val="28"/>
    </w:rPr>
  </w:style>
  <w:style w:type="paragraph" w:styleId="Title-Clause" w:customStyle="1">
    <w:name w:val="Title - Clause"/>
    <w:aliases w:val="BIWS Heading 1"/>
    <w:basedOn w:val="Normal"/>
    <w:rsid w:val="00850A0C"/>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styleId="Para-Clause-nonum" w:customStyle="1">
    <w:name w:val="Para - Clause - no num"/>
    <w:aliases w:val="Body  clause"/>
    <w:basedOn w:val="Normal"/>
    <w:next w:val="Title-Clause"/>
    <w:rsid w:val="00850A0C"/>
    <w:pPr>
      <w:spacing w:before="120" w:after="120" w:line="300" w:lineRule="atLeast"/>
      <w:ind w:left="720"/>
      <w:jc w:val="both"/>
    </w:pPr>
    <w:rPr>
      <w:rFonts w:eastAsia="Arial Unicode MS"/>
      <w:szCs w:val="20"/>
      <w:lang w:eastAsia="en-US"/>
    </w:rPr>
  </w:style>
  <w:style w:type="paragraph" w:styleId="Para-Clause" w:customStyle="1">
    <w:name w:val="Para - Clause"/>
    <w:basedOn w:val="Title-Clause"/>
    <w:qFormat/>
    <w:rsid w:val="00850A0C"/>
    <w:pPr>
      <w:spacing w:before="120"/>
    </w:pPr>
    <w:rPr>
      <w:b w:val="0"/>
    </w:rPr>
  </w:style>
  <w:style w:type="paragraph" w:styleId="CoversheetParagraph" w:customStyle="1">
    <w:name w:val="Coversheet Paragraph"/>
    <w:basedOn w:val="Normal"/>
    <w:autoRedefine/>
    <w:rsid w:val="00850A0C"/>
    <w:pPr>
      <w:spacing w:after="0" w:line="300" w:lineRule="atLeast"/>
      <w:jc w:val="center"/>
    </w:pPr>
    <w:rPr>
      <w:rFonts w:ascii="Times New Roman" w:hAnsi="Times New Roman" w:eastAsia="Times New Roman" w:cs="Times New Roman"/>
      <w:szCs w:val="20"/>
      <w:lang w:eastAsia="en-US"/>
    </w:rPr>
  </w:style>
  <w:style w:type="paragraph" w:styleId="CoversheetIntro" w:customStyle="1">
    <w:name w:val="Coversheet Intro"/>
    <w:basedOn w:val="CoversheetTitle"/>
    <w:qFormat/>
    <w:rsid w:val="00850A0C"/>
    <w:rPr>
      <w:smallCaps w:val="0"/>
      <w:sz w:val="22"/>
    </w:rPr>
  </w:style>
  <w:style w:type="paragraph" w:styleId="CoversheetStaticText" w:customStyle="1">
    <w:name w:val="Coversheet Static Text"/>
    <w:basedOn w:val="CoversheetIntro"/>
    <w:qFormat/>
    <w:rsid w:val="00850A0C"/>
    <w:rPr>
      <w:b w:val="0"/>
    </w:rPr>
  </w:style>
  <w:style w:type="paragraph" w:styleId="CoversheetParty" w:customStyle="1">
    <w:name w:val="Coversheet Party"/>
    <w:basedOn w:val="CoversheetIntro"/>
    <w:qFormat/>
    <w:rsid w:val="00850A0C"/>
  </w:style>
  <w:style w:type="paragraph" w:styleId="NoNumUntitledClause" w:customStyle="1">
    <w:name w:val="No Num Untitled Clause"/>
    <w:basedOn w:val="UntitledClause"/>
    <w:qFormat/>
    <w:rsid w:val="00850A0C"/>
    <w:pPr>
      <w:numPr>
        <w:numId w:val="0"/>
      </w:numPr>
      <w:ind w:left="720"/>
    </w:pPr>
  </w:style>
  <w:style w:type="paragraph" w:styleId="HeadingLevel2CQA" w:customStyle="1">
    <w:name w:val="Heading Level 2 CQA"/>
    <w:basedOn w:val="HeadingLevel2"/>
    <w:qFormat/>
    <w:rsid w:val="00850A0C"/>
  </w:style>
  <w:style w:type="paragraph" w:styleId="ClauseBullet1" w:customStyle="1">
    <w:name w:val="Clause Bullet 1"/>
    <w:basedOn w:val="ParaClause"/>
    <w:qFormat/>
    <w:rsid w:val="00850A0C"/>
    <w:pPr>
      <w:numPr>
        <w:numId w:val="13"/>
      </w:numPr>
      <w:ind w:left="1077" w:hanging="357"/>
      <w:outlineLvl w:val="0"/>
    </w:pPr>
  </w:style>
  <w:style w:type="paragraph" w:styleId="ClauseBullet2" w:customStyle="1">
    <w:name w:val="Clause Bullet 2"/>
    <w:basedOn w:val="ParaClause"/>
    <w:qFormat/>
    <w:rsid w:val="00850A0C"/>
    <w:pPr>
      <w:numPr>
        <w:numId w:val="14"/>
      </w:numPr>
      <w:ind w:left="1434" w:hanging="357"/>
      <w:outlineLvl w:val="1"/>
    </w:pPr>
  </w:style>
  <w:style w:type="paragraph" w:styleId="subclause1Bullet1" w:customStyle="1">
    <w:name w:val="subclause 1 Bullet 1"/>
    <w:basedOn w:val="Parasubclause1"/>
    <w:qFormat/>
    <w:rsid w:val="00850A0C"/>
    <w:pPr>
      <w:numPr>
        <w:numId w:val="15"/>
      </w:numPr>
      <w:ind w:left="1077" w:hanging="357"/>
    </w:pPr>
  </w:style>
  <w:style w:type="paragraph" w:styleId="subclause2Bullet1" w:customStyle="1">
    <w:name w:val="subclause 2 Bullet 1"/>
    <w:basedOn w:val="Parasubclause2"/>
    <w:qFormat/>
    <w:rsid w:val="00850A0C"/>
    <w:pPr>
      <w:numPr>
        <w:numId w:val="17"/>
      </w:numPr>
      <w:ind w:left="1434" w:hanging="357"/>
    </w:pPr>
  </w:style>
  <w:style w:type="paragraph" w:styleId="subclause3Bullet1" w:customStyle="1">
    <w:name w:val="subclause 3 Bullet 1"/>
    <w:basedOn w:val="Parasubclause3"/>
    <w:qFormat/>
    <w:rsid w:val="00850A0C"/>
    <w:pPr>
      <w:numPr>
        <w:numId w:val="16"/>
      </w:numPr>
      <w:ind w:left="2273" w:hanging="357"/>
    </w:pPr>
  </w:style>
  <w:style w:type="paragraph" w:styleId="subclause1Bullet2" w:customStyle="1">
    <w:name w:val="subclause 1 Bullet 2"/>
    <w:basedOn w:val="Parasubclause1"/>
    <w:qFormat/>
    <w:rsid w:val="00850A0C"/>
    <w:pPr>
      <w:numPr>
        <w:numId w:val="18"/>
      </w:numPr>
      <w:ind w:left="1434" w:hanging="357"/>
    </w:pPr>
  </w:style>
  <w:style w:type="paragraph" w:styleId="subclause2Bullet2" w:customStyle="1">
    <w:name w:val="subclause 2 Bullet 2"/>
    <w:basedOn w:val="Parasubclause2"/>
    <w:qFormat/>
    <w:rsid w:val="00850A0C"/>
    <w:pPr>
      <w:numPr>
        <w:numId w:val="19"/>
      </w:numPr>
      <w:ind w:left="2273" w:hanging="357"/>
    </w:pPr>
  </w:style>
  <w:style w:type="paragraph" w:styleId="subclause3Bullet2" w:customStyle="1">
    <w:name w:val="subclause 3 Bullet 2"/>
    <w:basedOn w:val="Parasubclause3"/>
    <w:qFormat/>
    <w:rsid w:val="00850A0C"/>
    <w:pPr>
      <w:numPr>
        <w:numId w:val="20"/>
      </w:numPr>
      <w:ind w:left="2982" w:hanging="357"/>
    </w:pPr>
  </w:style>
  <w:style w:type="paragraph" w:styleId="DefinedTermBullet" w:customStyle="1">
    <w:name w:val="Defined Term Bullet"/>
    <w:basedOn w:val="DefinedTermPara"/>
    <w:qFormat/>
    <w:rsid w:val="00850A0C"/>
    <w:pPr>
      <w:numPr>
        <w:numId w:val="21"/>
      </w:numPr>
    </w:pPr>
  </w:style>
  <w:style w:type="paragraph" w:styleId="AdditionalTitle" w:customStyle="1">
    <w:name w:val="Additional Title"/>
    <w:basedOn w:val="Paragraph"/>
    <w:qFormat/>
    <w:rsid w:val="00850A0C"/>
    <w:pPr>
      <w:jc w:val="left"/>
    </w:pPr>
    <w:rPr>
      <w:b/>
      <w:sz w:val="24"/>
    </w:rPr>
  </w:style>
  <w:style w:type="character" w:styleId="error" w:customStyle="1">
    <w:name w:val="error"/>
    <w:rsid w:val="00850A0C"/>
    <w:rPr>
      <w:rFonts w:ascii="Arial" w:hAnsi="Arial" w:eastAsia="Arial" w:cs="Arial"/>
      <w:color w:val="000000"/>
    </w:rPr>
  </w:style>
  <w:style w:type="paragraph" w:styleId="NoNumUntitledsubclause1" w:customStyle="1">
    <w:name w:val="No Num Untitled subclause 1"/>
    <w:basedOn w:val="Untitledsubclause1"/>
    <w:qFormat/>
    <w:rsid w:val="00850A0C"/>
    <w:pPr>
      <w:numPr>
        <w:ilvl w:val="0"/>
        <w:numId w:val="0"/>
      </w:numPr>
      <w:ind w:left="720"/>
    </w:pPr>
  </w:style>
  <w:style w:type="paragraph" w:styleId="BackgroundParaClause" w:customStyle="1">
    <w:name w:val="Background Para Clause"/>
    <w:basedOn w:val="Background"/>
    <w:qFormat/>
    <w:rsid w:val="00850A0C"/>
    <w:pPr>
      <w:numPr>
        <w:numId w:val="0"/>
      </w:numPr>
    </w:pPr>
  </w:style>
  <w:style w:type="paragraph" w:styleId="BackgroundParaSubclause1" w:customStyle="1">
    <w:name w:val="Background Para Subclause1"/>
    <w:basedOn w:val="BackgroundSubclause1"/>
    <w:qFormat/>
    <w:rsid w:val="00850A0C"/>
    <w:pPr>
      <w:numPr>
        <w:ilvl w:val="0"/>
        <w:numId w:val="0"/>
      </w:numPr>
      <w:ind w:left="994"/>
    </w:pPr>
    <w:rPr>
      <w:lang w:val="en-US"/>
    </w:rPr>
  </w:style>
  <w:style w:type="paragraph" w:styleId="BackgroundParaSubclause2" w:customStyle="1">
    <w:name w:val="Background Para Subclause2"/>
    <w:basedOn w:val="BackgroundSubclause2"/>
    <w:qFormat/>
    <w:rsid w:val="00850A0C"/>
    <w:pPr>
      <w:numPr>
        <w:ilvl w:val="0"/>
        <w:numId w:val="0"/>
      </w:numPr>
      <w:ind w:left="1701"/>
    </w:pPr>
    <w:rPr>
      <w:lang w:val="en-US"/>
    </w:rPr>
  </w:style>
  <w:style w:type="paragraph" w:styleId="ClauseBulletPara" w:customStyle="1">
    <w:name w:val="Clause Bullet Para"/>
    <w:basedOn w:val="ClauseBullet1"/>
    <w:qFormat/>
    <w:rsid w:val="00850A0C"/>
    <w:pPr>
      <w:numPr>
        <w:numId w:val="0"/>
      </w:numPr>
      <w:ind w:left="1080"/>
    </w:pPr>
    <w:rPr>
      <w:lang w:val="en-US"/>
    </w:rPr>
  </w:style>
  <w:style w:type="paragraph" w:styleId="ClauseBullet2Para" w:customStyle="1">
    <w:name w:val="Clause Bullet 2 Para"/>
    <w:basedOn w:val="ClauseBullet2"/>
    <w:qFormat/>
    <w:rsid w:val="00850A0C"/>
    <w:pPr>
      <w:numPr>
        <w:numId w:val="0"/>
      </w:numPr>
      <w:ind w:left="1440"/>
    </w:pPr>
    <w:rPr>
      <w:lang w:val="en-US"/>
    </w:rPr>
  </w:style>
  <w:style w:type="paragraph" w:styleId="ACTJurisdictionCheckList" w:customStyle="1">
    <w:name w:val="ACTJurisdictionCheckList"/>
    <w:basedOn w:val="Normal"/>
    <w:rsid w:val="00850A0C"/>
    <w:pPr>
      <w:spacing w:after="120" w:line="300" w:lineRule="atLeast"/>
    </w:pPr>
    <w:rPr>
      <w:rFonts w:eastAsia="Arial Unicode MS"/>
      <w:b/>
      <w:sz w:val="28"/>
    </w:rPr>
  </w:style>
  <w:style w:type="paragraph" w:styleId="JurisdictionDraftingnoteTitle" w:customStyle="1">
    <w:name w:val="Jurisdiction Draftingnote Title"/>
    <w:basedOn w:val="DraftingnoteTitle"/>
    <w:qFormat/>
    <w:rsid w:val="00850A0C"/>
  </w:style>
  <w:style w:type="paragraph" w:styleId="EmptyClausePara" w:customStyle="1">
    <w:name w:val="Empty Clause Para"/>
    <w:basedOn w:val="IgnoredSpacing"/>
    <w:qFormat/>
    <w:rsid w:val="00850A0C"/>
  </w:style>
  <w:style w:type="paragraph" w:styleId="ListParagraph">
    <w:name w:val="List Paragraph"/>
    <w:basedOn w:val="Normal"/>
    <w:uiPriority w:val="34"/>
    <w:qFormat/>
    <w:rsid w:val="00850A0C"/>
    <w:pPr>
      <w:ind w:left="720"/>
      <w:contextualSpacing/>
    </w:pPr>
  </w:style>
  <w:style w:type="paragraph" w:styleId="ScheduleTitlesubclause1" w:customStyle="1">
    <w:name w:val="Schedule Title subclause1"/>
    <w:basedOn w:val="ScheduleUntitledsubclause1"/>
    <w:qFormat/>
    <w:rsid w:val="00850A0C"/>
    <w:pPr>
      <w:spacing w:before="120"/>
    </w:pPr>
    <w:rPr>
      <w:b/>
    </w:rPr>
  </w:style>
  <w:style w:type="paragraph" w:styleId="BulletList1Pattern" w:customStyle="1">
    <w:name w:val="Bullet List 1 + Pattern"/>
    <w:basedOn w:val="BulletList1"/>
    <w:qFormat/>
    <w:rsid w:val="00850A0C"/>
    <w:pPr>
      <w:shd w:val="clear" w:color="auto" w:fill="D9D9D9"/>
      <w:spacing w:after="120" w:line="240" w:lineRule="auto"/>
      <w:ind w:left="714" w:hanging="357"/>
    </w:pPr>
  </w:style>
  <w:style w:type="paragraph" w:styleId="BulletList2Pattern" w:customStyle="1">
    <w:name w:val="Bullet List 2 + Pattern"/>
    <w:basedOn w:val="BulletList2"/>
    <w:qFormat/>
    <w:rsid w:val="00850A0C"/>
    <w:pPr>
      <w:shd w:val="clear" w:color="auto" w:fill="D9D9D9"/>
      <w:ind w:left="1077"/>
    </w:pPr>
  </w:style>
  <w:style w:type="paragraph" w:styleId="SectorSpecificNoteTitle" w:customStyle="1">
    <w:name w:val="Sector Specific Note Title"/>
    <w:basedOn w:val="JurisdictionDraftingnoteTitle"/>
    <w:qFormat/>
    <w:rsid w:val="00850A0C"/>
  </w:style>
  <w:style w:type="table" w:styleId="ShadedTable1" w:customStyle="1">
    <w:name w:val="Shaded Table1"/>
    <w:basedOn w:val="TableNormal"/>
    <w:uiPriority w:val="99"/>
    <w:rsid w:val="00850A0C"/>
    <w:tblPr>
      <w:tblBorders>
        <w:top w:val="single" w:color="auto" w:sz="4" w:space="0"/>
        <w:left w:val="single" w:color="auto" w:sz="4" w:space="0"/>
        <w:bottom w:val="single" w:color="auto" w:sz="4" w:space="0"/>
        <w:right w:val="single" w:color="auto" w:sz="4" w:space="0"/>
        <w:insideH w:val="nil"/>
        <w:insideV w:val="nil"/>
      </w:tblBorders>
    </w:tblPr>
    <w:tcPr>
      <w:shd w:val="clear" w:color="auto" w:fill="EEECE1"/>
    </w:tcPr>
  </w:style>
  <w:style w:type="paragraph" w:styleId="IgnoredEmptysubclause" w:customStyle="1">
    <w:name w:val="Ignored Empty subclause"/>
    <w:basedOn w:val="Normal"/>
    <w:link w:val="IgnoredEmptysubclauseChar"/>
    <w:qFormat/>
    <w:rsid w:val="00850A0C"/>
  </w:style>
  <w:style w:type="character" w:styleId="UnresolvedMention">
    <w:name w:val="Unresolved Mention"/>
    <w:uiPriority w:val="99"/>
    <w:semiHidden/>
    <w:unhideWhenUsed/>
    <w:rsid w:val="00797B21"/>
    <w:rPr>
      <w:rFonts w:ascii="Arial" w:hAnsi="Arial" w:eastAsia="Arial" w:cs="Arial"/>
      <w:color w:val="000000"/>
      <w:shd w:val="clear" w:color="auto" w:fill="E1DFDD"/>
    </w:rPr>
  </w:style>
  <w:style w:type="paragraph" w:styleId="835FF0B0D5344FE4A8EE41F54AA7E17C16" w:customStyle="1">
    <w:name w:val="835FF0B0D5344FE4A8EE41F54AA7E17C16"/>
    <w:rsid w:val="00797B21"/>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797B21"/>
    <w:rPr>
      <w:rFonts w:ascii="Arial" w:hAnsi="Arial" w:eastAsia="Arial" w:cs="Arial"/>
      <w:color w:val="000000"/>
      <w:sz w:val="16"/>
      <w:szCs w:val="16"/>
    </w:rPr>
  </w:style>
  <w:style w:type="paragraph" w:styleId="CommentText">
    <w:name w:val="annotation text"/>
    <w:basedOn w:val="Normal"/>
    <w:link w:val="CommentTextChar"/>
    <w:uiPriority w:val="99"/>
    <w:semiHidden/>
    <w:unhideWhenUsed/>
    <w:rsid w:val="00797B21"/>
    <w:pPr>
      <w:spacing w:line="240" w:lineRule="auto"/>
    </w:pPr>
    <w:rPr>
      <w:sz w:val="20"/>
      <w:szCs w:val="20"/>
    </w:rPr>
  </w:style>
  <w:style w:type="character" w:styleId="CommentTextChar" w:customStyle="1">
    <w:name w:val="Comment Text Char"/>
    <w:link w:val="CommentText"/>
    <w:uiPriority w:val="99"/>
    <w:semiHidden/>
    <w:rsid w:val="00797B21"/>
    <w:rPr>
      <w:rFonts w:ascii="Arial" w:hAnsi="Arial" w:eastAsia="Arial" w:cs="Arial"/>
      <w:color w:val="000000"/>
      <w:sz w:val="20"/>
      <w:szCs w:val="20"/>
    </w:rPr>
  </w:style>
  <w:style w:type="paragraph" w:styleId="CommentSubject">
    <w:name w:val="annotation subject"/>
    <w:basedOn w:val="CommentText"/>
    <w:next w:val="CommentText"/>
    <w:link w:val="CommentSubjectChar"/>
    <w:uiPriority w:val="99"/>
    <w:semiHidden/>
    <w:unhideWhenUsed/>
    <w:rsid w:val="00797B21"/>
    <w:rPr>
      <w:b/>
      <w:bCs/>
    </w:rPr>
  </w:style>
  <w:style w:type="character" w:styleId="CommentSubjectChar" w:customStyle="1">
    <w:name w:val="Comment Subject Char"/>
    <w:link w:val="CommentSubject"/>
    <w:uiPriority w:val="99"/>
    <w:semiHidden/>
    <w:rsid w:val="00797B21"/>
    <w:rPr>
      <w:rFonts w:ascii="Arial" w:hAnsi="Arial" w:eastAsia="Arial" w:cs="Arial"/>
      <w:b/>
      <w:bCs/>
      <w:color w:val="000000"/>
      <w:sz w:val="20"/>
      <w:szCs w:val="20"/>
    </w:rPr>
  </w:style>
  <w:style w:type="character" w:styleId="IgnoredEmptysubclauseChar" w:customStyle="1">
    <w:name w:val="Ignored Empty subclause Char"/>
    <w:link w:val="IgnoredEmptysubclause"/>
    <w:rsid w:val="00850A0C"/>
    <w:rPr>
      <w:rFonts w:ascii="Arial" w:hAnsi="Arial" w:eastAsia="Arial" w:cs="Arial"/>
      <w:color w:val="000000"/>
    </w:rPr>
  </w:style>
  <w:style w:type="numbering" w:styleId="ScheduleListStyle" w:customStyle="1">
    <w:name w:val="ScheduleListStyle"/>
    <w:pPr>
      <w:numPr>
        <w:numId w:val="24"/>
      </w:numPr>
    </w:pPr>
  </w:style>
  <w:style w:type="numbering" w:styleId="PartListStyle" w:customStyle="1">
    <w:name w:val="PartListStyle"/>
    <w:pPr>
      <w:numPr>
        <w:numId w:val="27"/>
      </w:numPr>
    </w:pPr>
  </w:style>
  <w:style w:type="numbering" w:styleId="ClauseListStyle" w:customStyle="1">
    <w:name w:val="ClauseListStyle"/>
    <w:pPr>
      <w:numPr>
        <w:numId w:val="30"/>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cdm:cachedDataManifest xmlns:cdm="http://schemas.microsoft.com/2004/VisualStudio/Tools/Applications/CachedDataManifest.xsd" cdm:revision="1"/>
</file>

<file path=customXml/item3.xml><?xml version="1.0" encoding="utf-8"?>
<n-document xmlns:xsd="http://www.w3.org/2001/XMLSchema" xmlns:xsi="http://www.w3.org/2001/XMLSchema-instance" guid="0" synced="true" validated="true">
  <n-docbody>
    <standard.doc precedenttype="agreement">
      <prelim>
        <product.name>product.name0</product.name>
        <title>Consultancy agreement (short-form)</title>
        <author>
          <link href="https://uk.practicallaw.thomsonreuters.com/Browse/Home/About/OurTeamEmployment?__lrTS=20200213140641660&amp;amp;transitionType=Default&amp;amp;contextData=%28sc.Default%29" style="ACTLinkURL">
            <ital>Practical Law Employment</ital>
          </link>
        </author>
        <resource.type>Standard documents</resource.type>
        <juris>juris0</juris>
        <juris>juris1</juris>
      </prelim>
      <abstract>
        <para>
          <paratext>A short-form contract for services between an independent contractor (a self-employed individual) and a client company for the provision of consultancy services. This contract is intended for use by clients when they are engaging a consultant to provide professional services and where the engagement will not be deemed employment for the purposes of the IR35 or off-payroll working rules because the consultant will not be providing their services via an intermediary.</paratext>
        </para>
        <para>
          <paratext>
            For a contract for services governed by Scots law, see 
            <link href="w-016-4747" style="ACTLinkPLCtoPLC">
              <ital>Standard document, Consultancy agreement (short form) (Scotland)</ital>
            </link>
            .
          </paratext>
        </para>
      </abstract>
      <toc.identifier hasToc="false"/>
      <body>
        <drafting.note id="a855276" jurisdiction="">
          <head align="left" preservecase="true">
            <headtext>General document notes</headtext>
          </head>
          <division id="a000007" level="1">
            <para>
              <paratext>
                This standard document is a short 
                <link href="2-200-3109" style="ACTLinkPLCtoPLC">
                  <bold>
                    <ital>contract for services</ital>
                  </bold>
                </link>
                 between an independent contractor and a client company for the provision of professional services. It is drafted in an informal letter format and may be appropriate to use for a junior consultant or a consultant appointed for a short-term engagement. For a long-form consultancy agreement, see 
                <link href="2-200-2143" style="ACTLinkPLCtoPLC">
                  <ital>Standard document, Consultancy agreement</ital>
                </link>
                . For a consultancy agreement via a service company, which takes into account deemed employment status for tax purposes under the IR35, off-payroll working and managed service companies regimes, see 
                <link href="7-200-2145" style="ACTLinkPLCtoPLC">
                  <ital>Standard document, Consultancy agreement via a service company</ital>
                </link>
                . This short-form consultancy agreement does not provide for the consultant to provide their services through an intermediary. As a result, we do not address these regimes in this document.
              </paratext>
            </para>
            <para>
              <paratext>If your client is the consultant rather than the company, keep in mind that this standard agreement is written in favour of the contracting company and amendment will therefore be required.</paratext>
            </para>
            <para>
              <paratext>
                These drafting notes are an overview providing links to the relevant drafting notes accompanying 
                <link href="2-200-2143" style="ACTLinkPLCtoPLC">
                  <ital>Standard document, Consultancy agreement</ital>
                </link>
                . It is intended that the drafting notes in the two documents be read together. If you are engaging a consultant to provide services in an ad hoc way, which may involve the consultant providing certain services for short periods of time as and when required, you may find it helpful to read 
                <link anchor="a146588" href="2-200-2143" style="ACTLinkPLCtoPLC">
                  <ital>Standard document, Consultancy agreement: Drafting note: Consultants engaged on an ad hoc basis</ital>
                </link>
                .
              </paratext>
            </para>
            <division id="a515376" level="2">
              <head align="left" preservecase="true">
                <headtext>Legal issues</headtext>
              </head>
              <para>
                <paratext>
                  The main legal issues relate to the status of the consultant (that is, whether they are employed, a 
                  <link href="6-200-3640" style="ACTLinkPLCtoPLC">
                    <ital>worker</ital>
                  </link>
                   or self-employed for employment law purposes), the impact on taxation arrangements (tax tribunals determine employment status in a similar, but not identical, way to employment tribunals; see 
                  <link href="w-022-7907" style="ACTLinkPLCtoPLC">
                    <ital>Practice note, Employment status for tax purposes</ital>
                  </link>
                  ) and whether the consultant falls within the definition of a "commercial agent" for the purposes of the 
                  <link href="7-506-9241" style="ACTLinkPLCtoPLC">
                    <ital>Commercial Agents (Council Directive) Regulations 1993 (SI 1993/3053)</ital>
                  </link>
                  . See comments on relevant legal issues in 
                  <link href="2-200-2143#a92994" style="ACTLinkPLCtoPLC">
                    <ital>Standard document, Consultancy agreement: Drafting note: Legal issues</ital>
                  </link>
                  .
                </paratext>
              </para>
            </division>
          </division>
        </drafting.note>
        <heading>
          <letterhead>
            <partyhead>company</partyhead>
          </letterhead>
          <addressees>
            <addressee>
              <address.line>[CONSULTANT'S NAME]</address.line>
              <address.line>[CONSULTANT'S ADDRESS]</address.line>
            </addressee>
          </addressees>
          <date>[DATE]</date>
          <salutation>Dear [CONSULTANT'S NAME]</salutation>
          <head align="left" preservecase="true">
            <headtext>Consultancy agreement</headtext>
          </head>
        </heading>
        <preamble>
          <para>
            <paratext>
              I am writing to confirm the terms of our agreement concerning the provision of your consultancy services to [NAME OF COMPANY] (
              <defn.term>Client</defn.term>
              ). In this letter, I refer to the Client as 'us', 'our' and 'we'.
            </paratext>
          </para>
        </preamble>
        <operative xrefname="clause">
          <clause id="a178779">
            <identifier>1.</identifier>
            <head align="left" preservecase="true">
              <headtext>Term</headtext>
            </head>
            <drafting.note id="a464834" jurisdiction="">
              <head align="left" preservecase="true">
                <headtext>Term</headtext>
              </head>
              <division id="a000008" level="1">
                <para>
                  <paratext>The engagement is drafted on the basis of an indefinite term.  The agreement can be terminated by either party giving the same period of notice to the other. However, the client company may structure the engagement on a different basis (for example, by providing for the consultancy services to end on a specific date).</paratext>
                </para>
                <para>
                  <paratext>
                    For more information, see 
                    <link href="2-200-2143#a295569" style="ACTLinkPLCtoPLC">
                      <ital>Standard document, Consultancy agreement: Drafting note: Term of engagement</ital>
                    </link>
                    .
                  </paratext>
                </para>
              </division>
            </drafting.note>
            <subclause1 id="a95920">
              <para>
                <paratext>You shall provide your services to us from [DATE] unless and until this agreement is terminated by either party giving to the other not less than [NUMBER] weeks' prior written notice or as otherwise provided in this letter.</paratext>
              </para>
            </subclause1>
          </clause>
          <clause id="a875656">
            <identifier>2.</identifier>
            <head align="left" preservecase="true">
              <headtext>Duties</headtext>
            </head>
            <subclause1 id="a270866">
              <identifier>2.1</identifier>
              <para>
                <paratext>
                  You shall use your best endeavours to promote our interests [and any other company in our group] and, unless prevented by ill health or accident, devote at least [NUMBER] [hours 
                  <bold>OR</bold>
                   days] in each calendar month to carrying out the following services for us:
                </paratext>
              </para>
              <subclause2 id="a85238">
                <identifier>(a)</identifier>
                <para>
                  <paratext>
                    [DETAILS OF SERVICES] (
                    <defn.term>Services</defn.term>
                    ).
                  </paratext>
                </para>
                <drafting.note id="a554330" jurisdiction="">
                  <head align="left" preservecase="true">
                    <headtext>Scope of services</headtext>
                  </head>
                  <division id="a000009" level="1">
                    <para>
                      <paratext>
                        The clause assumes that the Services will be carried out for a fixed number of hours or days each month. See 
                        <link href="2-200-2143#a921722" style="ACTLinkPLCtoPLC">
                          <ital>Standard document, Consultancy agreement: Drafting note: Duties</ital>
                        </link>
                         for examples of the types of provision that should be included to indicate that the consultant is in business on their own account.
                      </paratext>
                    </para>
                    <division id="a879012" level="2">
                      <head align="left" preservecase="true">
                        <headtext>Deliverables-based approach</headtext>
                      </head>
                      <para>
                        <paratext>In practice, in order to reduce the risk of the consultant having employment status for employment law or tax purposes, the client should consider adopting a deliverables-based approach rather than a time-based approach. The reason for adopting a deliverables-based approach is that it means that fees are not payable based on time spent but instead on the achievement of specific deliverables. This more commercial approach can be contrasted to an employment relationship, where an employee is typically paid a basic salary by reference to the number of days they work.</paratext>
                      </para>
                      <para>
                        <paratext>
                          Adopting a deliverables-based approach would involve the client specifying genuine deliverables, setting clear milestones and providing for staged payments linked to achievement of the deliverables. For an example schedule providing for the achievement of specific deliverables, which could be used as a basis for a schedule to this short-form consultancy agreement, see 
                          <link anchor="a220591" href="2-200-2143" style="ACTLinkPLCtoPLC">
                            <ital>Standard document, Consultancy agreement: Services</ital>
                          </link>
                          .
                        </paratext>
                      </para>
                      <para>
                        <paratext>
                          If a deliverables-based approach is taken, 
                          <internal.reference refid="a270866">clause 2.1</internal.reference>
                           should be amended to refer to the services being provided in accordance with the relevant schedule to the agreement (the schedule number should also be referred to). In addition, the wording requiring the consultant to devote a minimum number of hours or days each month to carrying out the services should be deleted as this indicates a time-based, rather than a deliverables-based, approach. Clients should keep in mind that simply adopting a deliverables-based approach will not in itself mean that a consultant is self-employed for employment law or tax purposes. In addition, if the engagement of the consultant will be for a short period of time only (as this short-form agreement envisages), a deliverables-based approach may not be appropriate in practice.
                        </paratext>
                      </para>
                    </division>
                    <division id="a303404" level="2">
                      <head align="left" preservecase="true">
                        <headtext>Policies and procedures</headtext>
                      </head>
                      <para>
                        <paratext>It will sometimes be appropriate for the consultant to comply with certain policies or procedures of the client, such as its social media, or anti-bullying and harassment policies, so these should be set out in the agreement.</paratext>
                      </para>
                    </division>
                  </division>
                </drafting.note>
              </subclause2>
            </subclause1>
            <subclause1 id="a907700">
              <identifier>2.2</identifier>
              <para>
                <paratext>If you are unable to provide the Services due to illness or injury, you shall notify [POSITION] as soon as reasonably practicable.</paratext>
              </para>
              <drafting.note id="a493228" jurisdiction="">
                <head align="left" preservecase="true">
                  <headtext>Notification of illness or injury</headtext>
                </head>
                <division id="a000010" level="1">
                  <para>
                    <paratext>
                      The client should consider removing 
                      <internal.reference refid="a907700">clause 2.2</internal.reference>
                       if there will be an unfettered right of substitution (see 
                      <internal.reference refid="a422109">Drafting note, Appointment of substitute</internal.reference>
                      ).
                    </paratext>
                  </para>
                </division>
              </drafting.note>
            </subclause1>
            <subclause1 id="a519472">
              <identifier>2.3</identifier>
              <para>
                <paratext>You must comply with our policies on [social media] [anti-harassment and bullying] [information and communication systems] [no smoking] [substance misuse] [equal opportunities] [OTHER RELEVANT POLICY].</paratext>
              </para>
            </subclause1>
            <subclause1 id="a174734">
              <identifier>2.4</identifier>
              <para>
                <paratext>
                  [With our prior written approval,] [You 
                  <bold>OR</bold>
                   you] may appoint a suitably qualified substitute to perform the Services on your behalf, provided that the substitute shall be required to enter into direct undertakings with us, including with regard to confidentiality. We will continue to pay you your fee as provided in 
                  <internal.reference refid="a727889">clause 3.1</internal.reference>
                   below and you shall be responsible for the remuneration of, and any expenses incurred by, the substitute. You will not be paid for any period during which neither you nor any substitute provide the Services. You will continue to be subject to all duties and obligations under this agreement for the duration of the appointment of the substitute.
                </paratext>
              </para>
            </subclause1>
            <subclause1 id="a939521">
              <identifier>2.5</identifier>
              <para>
                <paratext>
                  If a substitute is appointed, the provisions relating to sub-processor obligations under 
                  <internal.reference refid="a881664">clause 6</internal.reference>
                   will apply.
                </paratext>
              </para>
              <drafting.note id="a422109" jurisdiction="">
                <head align="left" preservecase="true">
                  <headtext>Appointment of substitute</headtext>
                </head>
                <division id="a000011" level="1">
                  <para>
                    <paratext>
                      Clause 2.4 provides for a substitute to be appointed (see 
                      <link href="2-200-2143#a921722" style="ACTLinkPLCtoPLC">
                        <ital>Standard document, Consultancy agreement: Drafting note: Appointment of substitute</ital>
                      </link>
                      ).
                    </paratext>
                  </para>
                </division>
              </drafting.note>
            </subclause1>
            <subclause1 id="a373634">
              <identifier>2.6</identifier>
              <para>
                <paratext>You shall ensure that you are available at all times on reasonable notice to provide such assistance or information as we may require.</paratext>
              </para>
              <drafting.note id="a169802" jurisdiction="">
                <head align="left" preservecase="true">
                  <headtext>Consultant's availability</headtext>
                </head>
                <division id="a000012" level="1">
                  <para>
                    <paratext>This clause requires the consultant to ensure they are available at all times on reasonable notice.</paratext>
                  </para>
                </division>
              </drafting.note>
            </subclause1>
            <subclause1 id="a1042512">
              <identifier>2.7</identifier>
              <para>
                <paratext>You have no authority (and shall not hold yourself out as having authority) to bind us, unless we have specifically permitted this in writing [in advance].</paratext>
              </para>
            </subclause1>
            <subclause1 condition="optional" id="a332794">
              <identifier>2.8</identifier>
              <para>
                <paratext>
                  You must comply with [our anti-corruption and bribery policy and procedures 
                  <bold>AND/OR</bold>
                   the Bribery Act 2010]. Failure to do so may result in the immediate termination of this agreement.
                </paratext>
              </para>
              <drafting.note id="a226765" jurisdiction="">
                <head align="left" preservecase="true">
                  <headtext>Compliance with anti-bribery policy</headtext>
                </head>
                <division id="a000013" level="1">
                  <para>
                    <paratext>
                      This clause provides that the consultant must comply with the client company's anti-corruption and bribery policy or, if it does not have a written policy, the requirements of the Bribery Act 2010. For a standard anti-corruption and bribery policy, see 
                      <link href="7-523-1412" style="ACTLinkPLCtoPLC">
                        <ital>Standard document, Anti-corruption and bribery policy (short form)</ital>
                      </link>
                      . For further information on the Bribery Act 2010, see 
                      <link href="9-503-9451" style="ACTLinkPLCtoPLC">
                        <ital>Bribery Act 2010: toolkit</ital>
                      </link>
                      .
                    </paratext>
                  </para>
                </division>
              </drafting.note>
            </subclause1>
            <subclause1 id="a128252">
              <identifier>2.9</identifier>
              <para>
                <paratext>
                  You must not engage in any activity, practice or conduct which would constitute either a UK tax evasion facilitation offence or a foreign tax evasion facilitation offence under the 
                  <ital>Criminal Finances Act 2017</ital>
                  . [You must comply with our [anti-facilitation of tax evasion policy 
                  <bold>OR</bold>
                   anti-corruption and bribery policy]]. Failure to do so may result in the immediate termination of this agreement.
                </paratext>
              </para>
              <drafting.note id="a508656" jurisdiction="">
                <head align="left" preservecase="true">
                  <headtext>Anti-facilitation of tax evasion</headtext>
                </head>
                <division id="a000014" level="1">
                  <para>
                    <paratext>
                      This clause provides that the consultant must not commit a UK or foreign tax evasion facilitation offence contrary to the 
                      <link href="w-008-5510" style="ACTLinkPLCtoPLC">
                        <ital>Criminal Finances Act 2017</ital>
                      </link>
                      . If the client has a tax evasion policy (which may be contained within a more general ethics or anti-corruption policy), the consultant is also required to comply with that. For a document which could form the basis of an anti-facilitation of tax evasion policy, as part of an employer's prevention procedures, see 
                      <link href="https://uk.practicallaw.thomsonreuters.com/w-010-5333" style="ACTLinkURL">
                        <ital>Standard document, Anti-facilitation of tax evasion policy</ital>
                      </link>
                      . For further information on the 
                      <link href="w-008-5510" style="ACTLinkPLCtoPLC">
                        <ital>Criminal Finances Act 2017</ital>
                      </link>
                      , see 
                      <link href="w-007-8822" style="ACTLinkPLCtoPLC">
                        <ital>Practice note, Tax offences: failure to prevent facilitation of tax evasion</ital>
                      </link>
                      .
                    </paratext>
                  </para>
                </division>
              </drafting.note>
            </subclause1>
          </clause>
          <clause id="a1035876">
            <identifier>3.</identifier>
            <head align="left" preservecase="true">
              <headtext>Fees and expenses</headtext>
            </head>
            <subclause1 id="a727889">
              <identifier>3.1</identifier>
              <para>
                <paratext>
                  We will pay you a fee of £[AMOUNT] per [hour 
                  <bold>OR</bold>
                   day] [exclusive 
                  <bold>OR</bold>
                   inclusive] of VAT. You shall submit invoices to us on a monthly basis setting out the hours that you have worked for us during the preceding month and any VAT payable (if applicable). We will pay such invoices [within [NUMBER] weeks of receipt 
                  <bold>OR</bold>
                   in accordance with our usual payment terms].
                </paratext>
              </para>
              <drafting.note id="a1020263" jurisdiction="">
                <head align="left" preservecase="true">
                  <headtext>Fees</headtext>
                </head>
                <division id="a000015" level="1">
                  <para>
                    <paratext>
                      This clause provides for the consultant to submit monthly invoices to the client company setting out the number of hours or days worked in the previous month. For general commentary in relation to consultancy fees, see 
                      <link href="2-200-2143#a421416" style="ACTLinkPLCtoPLC">
                        <ital>Standard document, Consultancy agreement: Drafting note: Fees</ital>
                      </link>
                      .
                    </paratext>
                  </para>
                  <division id="a161786" level="2">
                    <head align="left" preservecase="true">
                      <headtext>Staged payments</headtext>
                    </head>
                    <para>
                      <paratext>
                        If a deliverables-based approach is taken (see 
                        <internal.reference refid="a879012">Drafting note, Deliverables-based approach</internal.reference>
                        ), payments should be staged and linked to achievement of the specific deliverables. For an example clause providing for staged payments (which can be adapted for inclusion in this letter), see 
                        <link anchor="a675508" href="2-200-2143" style="ACTLinkPLCtoPLC">
                          <ital>Standard document, Consultancy agreement: clause 4.1</ital>
                        </link>
                        . If provision is made for staged payments, the wording of clause 3.1 should be deleted and replaced with the appropriate staged payments wording.
                      </paratext>
                    </para>
                  </division>
                </division>
              </drafting.note>
            </subclause1>
            <subclause1 id="a901119">
              <identifier>3.2</identifier>
              <para>
                <paratext>
                  [We shall reimburse [your reasonable expenses incurred in providing the Services 
                  <bold>OR</bold>
                   those expenses agreed with us in advance as necessary for the proper performance of the Services] within [NUMBER] weeks of receipt of your invoice and all relevant receipts, or other evidence as we may reasonably require, to support the expense in each case 
                  <bold>OR</bold>
                   You shall bear your own expenses].
                </paratext>
              </para>
              <drafting.note id="a84352" jurisdiction="">
                <head align="left" preservecase="true">
                  <headtext>Expenses</headtext>
                </head>
                <division id="a000016" level="1">
                  <para>
                    <paratext>The client company will need to decide whether or not it will reimburse the consultant's expenses.</paratext>
                  </para>
                </division>
              </drafting.note>
            </subclause1>
            <subclause1 id="a362187">
              <identifier>3.3</identifier>
              <para>
                <paratext>We are entitled to deduct from the fees (and any other sums) payable to you any sums that you may owe us [or any other company in our group] at any time.</paratext>
              </para>
              <drafting.note id="a661143" jurisdiction="">
                <head align="left" preservecase="true">
                  <headtext>Deductions</headtext>
                </head>
                <division id="a000017" level="1">
                  <para>
                    <paratext>
                      This clause deals with deductions from the consultant's fee (see 
                      <link href="2-200-2143#a421416" style="ACTLinkPLCtoPLC">
                        <ital>Standard document, Consultancy agreement: Drafting note: Deductions</ital>
                      </link>
                      ).
                    </paratext>
                  </para>
                </division>
              </drafting.note>
            </subclause1>
          </clause>
          <clause id="a792031">
            <identifier>4.</identifier>
            <head align="left" preservecase="true">
              <headtext>Other activities</headtext>
            </head>
            <drafting.note id="a383429" jurisdiction="">
              <head align="left" preservecase="true">
                <headtext>Other activities</headtext>
              </head>
              <division id="a000018" level="1">
                <para>
                  <paratext>
                    This clause sets out the extent to which the consultant will be permitted to carry out other activities during the course of the engagement (see 
                    <link href="2-200-2143#a558235" style="ACTLinkPLCtoPLC">
                      <ital>Standard document, Consultancy agreement: Drafting note: Other activities</ital>
                    </link>
                    ).The greater the number of restrictions placed on the consultant's activities, the more likely a finding of employment status for employment law and tax purposes.
                  </paratext>
                </para>
              </division>
            </drafting.note>
            <subclause1 id="a909023">
              <para>
                <paratext>You may be engaged, employed or concerned in any other business, trade, profession or other activity which does not place you in a conflict of interest with us. However, you may not be involved in any capacity with a business which does or could compete with our business without the prior written consent of [POSITION] [(such consent not to be unreasonably withheld)].</paratext>
              </para>
            </subclause1>
          </clause>
          <clause id="a614506">
            <identifier>5.</identifier>
            <head align="left" preservecase="true">
              <headtext>Confidential information and Client property</headtext>
            </head>
            <drafting.note id="a618418" jurisdiction="">
              <head align="left" preservecase="true">
                <headtext>Confidential information and Client property</headtext>
              </head>
              <division id="a000019" level="1">
                <para>
                  <paratext>
                    This clause prevents the consultant from disclosing confidential information. See 
                    <link href="2-200-2143#a176249" style="ACTLinkPLCtoPLC">
                      <ital>Standard document, Consultancy agreement: Drafting note: Confidential information</ital>
                    </link>
                    .
                  </paratext>
                </para>
                <para>
                  <paratext>
                    A client company may want to insert the optional wording included in square brackets at 
                    <internal.reference refid="a536210">clause 5.4</internal.reference>
                    . While this wording reflects common practice for employees, rather than self-employed independent contractors, in light of the increased scrutiny of the use of non-disclosure and confidentiality agreements, it could be included in a consultancy agreement where a client wants to make it clear what the confidentiality provisions do not prevent a consultant from doing.
                  </paratext>
                </para>
              </division>
            </drafting.note>
            <subclause1 id="a195660">
              <identifier>5.1</identifier>
              <para>
                <paratext>
                  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internal.reference refid="a614506">clause 5</internal.reference>
                  , 
                  <defn.term>confidential information</defn.term>
                   means any information or matter which is not in the public domain and which relates to our affairs [or any other company in our group] or any of our [or their] business contacts.
                </paratext>
              </para>
            </subclause1>
            <subclause1 id="a369800">
              <identifier>5.2</identifier>
              <para>
                <paratext>
                  The restriction in 
                  <internal.reference refid="a195660">clause 5.1</internal.reference>
                   does not apply to:
                </paratext>
              </para>
              <subclause2 id="a476820">
                <identifier>(a)</identifier>
                <para>
                  <paratext>any use or disclosure authorised by us or as required by law; or</paratext>
                </para>
              </subclause2>
              <subclause2 id="a256558">
                <identifier>(b)</identifier>
                <para>
                  <paratext>any information which is already in, or comes into, the public domain otherwise than through your unauthorised disclosure.</paratext>
                </para>
              </subclause2>
            </subclause1>
            <subclause1 id="a723111">
              <identifier>5.3</identifier>
              <para>
                <paratext>All documents, manuals, hardware and software provided for your use by us, and any data or documents (including copies) produced, maintained or stored on our computer systems or other electronic equipment (including mobile phones if provided by us), remain our property.</paratext>
              </para>
            </subclause1>
            <subclause1 id="a536210">
              <identifier>5.4</identifier>
              <para>
                <paratext>[Nothing in this clause 5 shall prevent you or us (or any of our officers, employees, workers or agents) from:</paratext>
              </para>
              <subclause2 id="a378469">
                <identifier>(a)</identifier>
                <para>
                  <paratext>reporting a suspected criminal offence to the police or any law enforcement agency or co-operating with the police or any law enforcement agency regarding a criminal investigation or prosecution; or</paratext>
                </para>
              </subclause2>
              <subclause2 id="a381612">
                <identifier>(b)</identifier>
                <para>
                  <paratext>doing or saying anything that is required by HMRC or a regulator, ombudsman or supervisory authority; or</paratext>
                </para>
              </subclause2>
              <subclause2 id="a472193">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 or</paratext>
                </para>
              </subclause2>
              <subclause2 id="a153280">
                <identifier>(d)</identifier>
                <para>
                  <paratext>complying with an order from a court or tribunal to disclose or give evidence; or</paratext>
                </para>
              </subclause2>
              <subclause2 id="a170840">
                <identifier>(e)</identifier>
                <para>
                  <paratext>making any other disclosure as required by law.]</paratext>
                </para>
              </subclause2>
            </subclause1>
          </clause>
          <clause id="a881664">
            <identifier>6.</identifier>
            <head align="left" preservecase="true">
              <headtext>Data protection</headtext>
            </head>
            <drafting.note id="a998900" jurisdiction="">
              <head align="left" preservecase="true">
                <headtext>Data protection</headtext>
              </head>
              <division id="a000020" level="1">
                <para>
                  <paratext>
                    The 
                    <link href="6-631-1875" style="ACTLinkPLCtoPLC">
                      <ital>GDPR</ital>
                    </link>
                     and the 
                    <link href="w-014-9417" style="ACTLinkPLCtoPLC">
                      <ital>DPA 2018</ital>
                    </link>
                     replaced the 
                    <link href="6-505-6022" style="ACTLinkPLCtoPLC">
                      <ital>DPA 1998</ital>
                    </link>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para>
                  <paratext>
                    The UK GDPR imposes direct obligations on a processor. A processor is defined as a natural or legal person, which alone or jointly with others, determines the purposes and means of personal data processing (
                    <ital>Article 4(8), UK GDPR</ital>
                    ).
                  </paratext>
                </para>
                <para>
                  <paratext>
                    <internal.reference refid="a135114">clause 6.1</internal.reference>
                     refers to the privacy notice, which the client must provide to the consultant under the UK GDPR, setting out details of how the client will use information about the consultant. For an example privacy notice, see 
                    <link href="w-011-4217" style="ACTLinkPLCtoPLC">
                      <ital>Standard document, UK GDPR Privacy notice for employees, workers and contractors</ital>
                    </link>
                    .
                  </paratext>
                </para>
                <para>
                  <paratext>
                    Depending on what the consultant's services are, they may be a processor.  If they are, they will be subject to certain obligations and there are certain terms which must be included in the consultancy agreement.  
                    <internal.reference refid="a676927">clause 6.2</internal.reference>
                     to 
                    <internal.reference refid="a438453">clause 6.8</internal.reference>
                     reflect the UK GDPR requirements for written provisions to be in place between a controller and a processor.
                  </paratext>
                </para>
                <para>
                  <paratext>
                    <internal.reference refid="a972075">clause 6.6</internal.reference>
                     reflects the requirement in the UK GDPR for a processor to implement appropriate technical and organisational measures to secure personal data (
                    <ital>Articles 28 and 32</ital>
                    ).
                  </paratext>
                </para>
                <para>
                  <paratext>
                    The first option in 
                    <internal.reference refid="a854999">clause 6.7</internal.reference>
                     is relevant if there is no ability for the consultant to appoint a substitute (see the optional wording at 
                    <internal.reference refid="a174734">clause 2.4</internal.reference>
                    ). If the consultant is a processor and will be able to appoint a substitute or any sub-processor, the second option is relevant. 
                    <link href="https://uk.westlaw.com/Document/ID9E16550149911E9A3ACBD4240CE8204/View/FullText.html" style="ACTLinkURL">
                      <ital>Article 28(2)</ital>
                    </link>
                     of the 
                    <link href="https://uk.practicallaw.thomsonreuters.com/w-027-1020?originationContext=document&amp;amp;transitionType=PLDocumentLink&amp;amp;contextData=(sc.Default)" style="ACTLinkURL">UK GDPR</link>
                     contains restrictions to prevent processors from engaging sub-processors without the prior specific or general written authorisation of the controller. We have assumed that the client is the controller and the consultant is a processor. The restrictions apply to any substitute who would be considered a sub-processor under the UK GDPR. In the case of a general written authorisation to engage sub-processors, the processor (consultant) must inform the controller (client) of any intended changes to existing sub-processors or new sub-processors (including, where relevant, any substitutes) and give it the right (and time) to object to these changes. The client may exercise its right for a specific written authorisation prior to the engagement of any sub-processor by the processor (including, where relevant, any substitutes). However, the requirements of Article 28(2) of the UK GDPR sit somewhat awkwardly alongside the benefits of having an unfettered right of substitution for employment law and tax purposes. For commentary on this point, see 
                    <link anchor="a245437" href="2-200-2143" style="ACTLinkPLCtoPLC">
                      <ital>Standard document, Consultancy agreement: Drafting note: Appointment of substitute (optional clause)</ital>
                    </link>
                    .
                  </paratext>
                </para>
                <para>
                  <paratext>
                    Depending on the risks identified under the UK GDPR owing to the nature of the personal data and/or data subjects, a client and consultant or the consultant (processor) and sub-processor may wish to execute a separate data processing agreement under this agreement (see, for example, 
                    <link href="w-013-2951" style="ACTLinkPLCtoPLC">
                      <ital>Standard document, Data processing agreement (controller-to-processor) (UK to non-EEA)</ital>
                    </link>
                    ).
                  </paratext>
                </para>
                <para>
                  <paratext>
                    Certain types of consultant may be a controller and the Information Commissioner's Office (ICO), in its guidance, sets out examples of when a consultant might be considered to be a controller (see 
                    <link href="https://ico.org.uk/media/for-organisations/documents/1546/data-controllers-and-data-processors-dp-guidance.pdf" style="ACTLinkURL">
                      <ital>Data controllers and data processors: what the difference is and what the governance implications are</ital>
                    </link>
                    , page 9). While this guidance was produced for the purposes of the DPA 1998, it is still relevant to the definitions contained in the UK GDPR and the DPA 2018. For the purposes of this agreement, however, we have assumed that the client is the controller and the consultant is a processor, if they are anything at all.
                  </paratext>
                </para>
                <para>
                  <paratext>
                    <internal.reference refid="a438453">clause 6.8</internal.reference>
                     is drafted widely in favour of the client. If acting for the consultant, consider whether liability should be limited (for example, by excluding liability where the consultant can prove it has not acted contrary to the client’s instruction or is in no way responsible for the event giving rise to the damage). Similarly, consider whether the liability provision at the end of 
                    <internal.reference refid="a854999">clause 6.7</internal.reference>
                     should be limited to where the sub-processor fails to fulfil its obligations under the written agreement with the consultant which contains terms substantially the same as those set out in this agreement (see 
                    <link anchor="a907170" href="w-013-2951" style="ACTLinkPLCtoPLC">
                      <ital>Standard document, Data processing agreement (controller-to-processor) (UK to non-EEA): Clause 8.4</ital>
                    </link>
                    ).
                  </paratext>
                </para>
                <division id="a000021" level="2">
                  <division id="a397347" level="3">
                    <head align="left" preservecase="true">
                      <headtext>Dual data protection regimes from 1 January 2021 and transfers of personal data outside the UK</headtext>
                    </head>
                    <para>
                      <paratext>
                        This consultancy agreement has been drafted on the basis that the consultant will be subject to the UK data protection regime only. However, the EU GDPR will continue to have extra-territorial effect, meaning that it may continue to apply to UK suppliers who act as 
                        <link href="https://uk.practicallaw.thomsonreuters.com/5-107-5723?originationContext=document&amp;amp;transitionType=DocumentItem&amp;amp;contextData=(sc.Default)" style="ACTLinkURL">
                          <ital>controllers</ital>
                        </link>
                         or 
                        <link href="https://uk.practicallaw.thomsonreuters.com/2-384-8947?originationContext=document&amp;amp;transitionType=DocumentItem&amp;amp;contextData=(sc.Default)" style="ACTLinkURL">
                          <ital>processors</ital>
                        </link>
                         and have an establishment in the EU, or who offer goods or services to data subjects in the EU. Some suppliers of consultancy services may, therefore, find themselves subject to parallel data protection regimes under the UK GDPR and the EU GDPR (see 
                        <link href="w-026-2740" style="ACTLinkPLCtoPLC">
                          <ital>Practice note, Brexit post-transition period: data protection (UK): Determining which regimes apply</ital>
                        </link>
                        ). If this is the case, the definition of Data Protection Legislation should be expanded to expressly refer to the EU GDPR and any other European Union legislation relating to personal data.
                      </paratext>
                    </para>
                    <para>
                      <paratext>
                        If the consultant may be transferring personal data outside of the UK, the second optional wording set out in 
                        <internal.reference refid="a750117">clause 6.5(d)</internal.reference>
                         should be used. However, in many cases, we anticipate that the client will not want data to be transferred outside of the UK.
                      </paratext>
                    </para>
                  </division>
                </division>
              </division>
            </drafting.note>
            <subclause1 id="a135114">
              <identifier>6.1</identifier>
              <para>
                <paratext>
                  We will collect and process information relating to you in accordance with the privacy notice which is [on the intranet 
                  <bold>OR</bold>
                   annexed to this agreement].
                </paratext>
              </para>
            </subclause1>
            <subclause1 id="a676927">
              <identifier>6.2</identifier>
              <para>
                <paratext>
                  For the purposes of this clause, Data Protection Legislation includes all applicable data protection and privacy legislation in force from time to time in the UK including the retained EU law version of the General Data Protection Regulation ((EU) 2016/679) (UK GDPR), the Data Protection Act 2018 (and regulations made thereunder)
                  <ital> </ital>
                  or any successor legislation, and all other legislation and regulatory requirements in force from time to time which apply to a party relating to the use of personal data (including, without limitation, the privacy of electronic communications).
                </paratext>
              </para>
            </subclause1>
            <subclause1 condition="optional" id="a186429">
              <identifier>6.3</identifier>
              <para>
                <paratext>You and we acknowledge that for the purposes of the Data Protection Legislation, we are the controller and you are the processor.</paratext>
              </para>
            </subclause1>
            <subclause1 condition="optional" id="a441191">
              <identifier>6.4</identifier>
              <para>
                <paratext>The schedule to this agreement sets out the scope, nature and purpose of the processing by you, the duration of the processing and the types of personal data (as defined in the Data Protection Legislation (Personal Data)) and categories of data subject.</paratext>
              </para>
            </subclause1>
            <subclause1 condition="optional" id="a582024">
              <identifier>6.5</identifier>
              <para>
                <paratext>You shall, in relation to any Personal Data processed:</paratext>
              </para>
              <subclause2 id="a923977">
                <identifier>(a)</identifier>
                <para>
                  <paratext>process that Personal Data only on our written instructions;</paratext>
                </para>
              </subclause2>
              <subclause2 id="a161716">
                <identifier>(b)</identifier>
                <para>
                  <paratext>keep the Personal Data confidential;</paratext>
                </para>
              </subclause2>
              <subclause2 id="a430313">
                <identifier>(c)</identifier>
                <para>
                  <paratext>comply with our reasonable instructions with respect to processing Personal Data and with our [privacy standard OR data protection policy] [data retention guidelines] [LIST OTHER POLICIES];</paratext>
                </para>
              </subclause2>
              <subclause2 id="a750117">
                <identifier>(d)</identifier>
                <para>
                  <paratext>[not transfer any Personal Data outside of the UK;</paratext>
                </para>
                <para>
                  <paratext>
                    <bold>OR</bold>
                  </paratext>
                </para>
                <para>
                  <paratext>not transfer any Personal Data outside of the UK unless, in accordance with the Data Protection Legislation, you ensure that (i) the transfer is to a country approved as providing an adequate level of protection for Personal Data; or (ii) there are appropriate safeguards in place for the transfer of Personal Data; or (iii) binding corporate rules are in place; or (iv) one of the derogations for specific situations applies to the transfer;]</paratext>
                </para>
              </subclause2>
              <subclause2 id="a516337">
                <identifier>(e)</identifier>
                <para>
                  <paratext>assist us [at our cost] in responding to any data subject access request and to ensure compliance with our obligations under the Data Protection Legislation with respect to security, breach notifications, privacy impact assessments and consultations with supervisory authorities or regulators;</paratext>
                </para>
              </subclause2>
              <subclause2 id="a226835">
                <identifier>(f)</identifier>
                <para>
                  <paratext>notify us without undue delay on becoming aware of a Personal Data breach or communication which relates to your or our compliance with the Data Protection Legislation;</paratext>
                </para>
              </subclause2>
              <subclause2 id="a753910">
                <identifier>(g)</identifier>
                <para>
                  <paratext>at our written request, delete or return Personal Data (and any copies of the same) to us on termination of this agreement unless required by the Data Protection Legislation to store the Personal Data; and</paratext>
                </para>
              </subclause2>
              <subclause2 id="a675151">
                <identifier>(h)</identifier>
                <para>
                  <paratext>maintain complete and accurate records and information to demonstrate compliance with this clause [6] [and allow for audits by us or our designated auditor.</paratext>
                </para>
              </subclause2>
            </subclause1>
            <subclause1 condition="optional" id="a972075">
              <identifier>6.6</identifier>
              <para>
                <paratext>You shall ensure that you have in place appropriate technical or organisational measures, reviewed and approved by us,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Such measures may include, where appropriate:</paratext>
              </para>
              <subclause2 id="a419158">
                <identifier>(a)</identifier>
                <para>
                  <paratext>pseudonymising and encrypting Personal Data;</paratext>
                </para>
              </subclause2>
              <subclause2 id="a516894">
                <identifier>(b)</identifier>
                <para>
                  <paratext>ensuring confidentiality, integrity, availability and resilience of its systems and services;</paratext>
                </para>
              </subclause2>
              <subclause2 id="a805561">
                <identifier>(c)</identifier>
                <para>
                  <paratext>ensuring that availability of and access to Personal Data can be restored in a timely manner after an incident; and</paratext>
                </para>
              </subclause2>
              <subclause2 id="a688816">
                <identifier>(d)</identifier>
                <para>
                  <paratext>regularly assessing and evaluating the effectiveness of the technical and organisational measures adopted by it.</paratext>
                </para>
              </subclause2>
            </subclause1>
            <subclause1 condition="optional" id="a854999">
              <identifier>6.7</identifier>
              <para>
                <paratext>We do not agree to you appointing any third-party processor of Personal Data under this agreement.</paratext>
              </para>
              <para>
                <paratext>
                  <bold>OR</bold>
                </paratext>
              </para>
              <para>
                <paratext>You may only authorise a sub-processor to process Personal Data if:</paratext>
              </para>
              <subclause2 id="a207010">
                <identifier>(a)</identifier>
                <para>
                  <paratext>
                    we [provide written consent prior to the appointment of each sub-processor] 
                    <bold>OR </bold>
                    [are provided with an opportunity to object to the appointment of each sub-processor within [NUMBER] working days after you supply us with full details in writing regarding such sub-processor];
                  </paratext>
                </para>
              </subclause2>
              <subclause2 id="a960552">
                <identifier>(b)</identifier>
                <para>
                  <paratext>you enter into a written contract with the sub-processor that contains terms substantially the same as those set out in this agreement, in particular in relation to requiring appropriate technical and organisational data security measures with regards to Article 32 of the UK GDPR and any relevant requirements under Article 28 of the UK GDPR, including but not limited to the sub-processor allowing for and contributing to audits by or on behalf of us and, where relevant, aiding us to respond to subject access requests, and, upon our written request, provide us with copies of the relevant excerpts from such contracts;</paratext>
                </para>
              </subclause2>
              <subclause2 id="a636764">
                <identifier>(c)</identifier>
                <para>
                  <paratext>you maintain control over all of the Personal Data you entrust to the sub-processor; and</paratext>
                </para>
              </subclause2>
              <subclause2 id="a980350">
                <identifier>(d)</identifier>
                <para>
                  <paratext>the sub-processor's contract terminates automatically on termination of this agreement for any reason.</paratext>
                </para>
              </subclause2>
              <para>
                <paratext>
                  You shall remain fully liable for all acts or omissions of any third-party processor appointed by you pursuant to this 
                  <internal.reference refid="a854999">clause 6.7</internal.reference>
                  .
                </paratext>
              </para>
            </subclause1>
            <subclause1 condition="optional" id="a438453">
              <identifier>6.8</identifier>
              <para>
                <paratext>You shall have personal liability for and shall indemnify us [and any other company in our group] for any loss, liability, costs (including legal costs), damages, or expenses resulting from any breach by you [or a sub-processor engaged by you] of the Data Protection Legislation, and shall maintain in force full and comprehensive insurance policies to cover such liability.</paratext>
              </para>
            </subclause1>
          </clause>
          <clause id="a791893">
            <identifier>7.</identifier>
            <head align="left" preservecase="true">
              <headtext>Intellectual property</headtext>
            </head>
            <drafting.note id="a228302" jurisdiction="">
              <head align="left" preservecase="true">
                <headtext>Intellectual property</headtext>
              </head>
              <division id="a000022" level="1">
                <para>
                  <paratext>
                    Some intellectual property rights (notably copyright and rights in designs) arising from the provision of the services will belong to the consultant. This clause is a simple assignment of these rights. For commentary on a more detailed intellectual property clause, see 
                    <link href="2-200-2143#a747224" style="ACTLinkPLCtoPLC">
                      <ital>Standard document, Consultancy agreement: Drafting note: Intellectual property</ital>
                    </link>
                    .
                  </paratext>
                </para>
                <para>
                  <paratext>
                    If the client requires the power of attorney provision set out in 
                    <internal.reference refid="a460358">clause 7.3</internal.reference>
                    , the agreement will need to be executed as a 
                    <bold>deed</bold>
                     (see 
                    <link href="2-200-2143#a717115" style="ACTLinkPLCtoPLC">
                      <ital>Standard document, Consultancy agreement: Drafting note: Execution</ital>
                    </link>
                    ).
                  </paratext>
                </para>
              </division>
            </drafting.note>
            <subclause1 id="a200217">
              <identifier>7.1</identifier>
              <para>
                <paratext>
                  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internal.reference refid="a791893">clause 7</internal.reference>
                  .
                </paratext>
              </para>
            </subclause1>
            <subclause1 id="a967387">
              <identifier>7.2</identifier>
              <para>
                <paratext>You hereby irrevocably waive all moral rights under the Copyright, Designs and Patents Act 1988 (and all similar rights in other jurisdictions) which you have or will have in any existing or future works.</paratext>
              </para>
            </subclause1>
            <subclause1 condition="optional" id="a460358">
              <identifier>7.3</identifier>
              <para>
                <paratext>You irrevocably appoint us to be your attorney in your name and on your behalf to execute documents, use your name and do all things which are necessary or desirable for us to obtain for ourselves or our nominee the full benefit of this clause.</paratext>
              </para>
            </subclause1>
          </clause>
          <clause id="a688709">
            <identifier>8.</identifier>
            <head align="left" preservecase="true">
              <headtext>Insurance and liability</headtext>
            </head>
            <drafting.note id="a643774" jurisdiction="">
              <head align="left" preservecase="true">
                <headtext>Insurance and liability</headtext>
              </head>
              <division id="a000023" level="1">
                <para>
                  <paratext>
                    This clause deals with the consultant's liability in relation to the provision of the services. See 
                    <link href="2-200-2143#a1015973" style="ACTLinkPLCtoPLC">
                      <ital>Standard document, Consultancy agreement: Drafting note: Insurance and liability</ital>
                    </link>
                    .
                  </paratext>
                </para>
              </division>
            </drafting.note>
            <subclause1 id="a732915">
              <para>
                <paratext>You shall have personal liability for and shall indemnify us [and any other company in our group] for any loss, liability, costs (including reasonable legal costs), damages or expenses arising from [any breach by you, or any substitute engaged under this agreement, of the terms of this agreement, including any negligent or reckless act, omission or default in] the provision of the Services and shall maintain in force during the period of this agreement adequate insurance cover with reputable insurers acceptable to us.</paratext>
              </para>
            </subclause1>
          </clause>
          <clause id="a569844">
            <identifier>9.</identifier>
            <head align="left" preservecase="true">
              <headtext>Termination</headtext>
            </head>
            <drafting.note id="a457518" jurisdiction="">
              <head align="left" preservecase="true">
                <headtext>Termination</headtext>
              </head>
              <division id="a000024" level="1">
                <para>
                  <paratext>
                    This clause sets out the circumstances in which the client company may terminate the consultant's engagement without notice. For a more detailed list of events of default, see 
                    <link href="2-200-2143#a801844" style="ACTLinkPLCtoPLC">
                      <ital>Standard document, Consultancy agreement: clause 11</ital>
                    </link>
                    .
                  </paratext>
                </para>
              </division>
            </drafting.note>
            <subclause1 id="a829649">
              <para>
                <paratext>We may at any time terminate your engagement with immediate effect with no liability to make any further payment to you (other than in respect of any accrued fees or expenses at the date of termination) if:</paratext>
              </para>
              <subclause2 id="a206584">
                <identifier>(a)</identifier>
                <para>
                  <paratext>you are in material breach of any of your obligations under this agreement; or</paratext>
                </para>
              </subclause2>
              <subclause2 id="a473760">
                <identifier>(b)</identifier>
                <para>
                  <paratext>other than as a result of illness or accident, after notice in writing, you wilfully neglect to provide or fail to remedy any default in providing the Services.</paratext>
                </para>
              </subclause2>
              <para>
                <paratext>Any delay by us in exercising our rights to terminate shall not constitute a waiver of those rights.</paratext>
              </para>
            </subclause1>
          </clause>
          <clause id="a607250">
            <identifier>10.</identifier>
            <head align="left" preservecase="true">
              <headtext>Obligations on termination</headtext>
            </head>
            <drafting.note id="a727482" jurisdiction="">
              <head align="left" preservecase="true">
                <headtext>Obligations on termination</headtext>
              </head>
              <division id="a000025" level="1">
                <para>
                  <paratext>This clause sets out the consultant's obligations to return documents and delete confidential information stored, for example, on their computer, when the engagement terminates.</paratext>
                </para>
              </division>
            </drafting.note>
            <subclause1 id="a908172">
              <para>
                <paratext>Any property belonging to us in your possession or under your control, and any original or copy documents obtained by you in the course of providing the Services, shall be returned to [POSITION] at any time on request and in any event on or before the termination of this agreement. Subject to our data retention guidelines, you also undertake to irretrievably delete any information relating to our business [or any other company in our group] stored on any magnetic or optical disk or memory, and all matter derived from such sources which is in your possession or under your control outside our premises. This obligation includes requiring any substitute to delete such data where applicable.</paratext>
              </para>
            </subclause1>
          </clause>
          <clause id="a958387">
            <identifier>11.</identifier>
            <head align="left" preservecase="true">
              <headtext>Status</headtext>
            </head>
            <drafting.note id="a591798" jurisdiction="">
              <head align="left" preservecase="true">
                <headtext>Status</headtext>
              </head>
              <division id="a000026" level="1">
                <para>
                  <paratext>
                    This clause relates to the consultant's status as an independent contractor and contains indemnities in favour of the client company (see 
                    <link anchor="a862104" href="http://www.practicallaw.com/2-200-2143" style="ACTLinkURL">
                      <ital>Standard document, Consultancy agreement: Drafting notes: Status of the consultant</ital>
                    </link>
                    , 
                    <link anchor="a533593" href="http://www.practicallaw.com/2-200-2143" style="ACTLinkURL">
                      <ital>Parties' intention </ital>
                    </link>
                      and 
                    <link anchor="a838143" href="https://www.practicallaw.com/2-200-2143" style="ACTLinkURL">
                      <ital>Indemnities</ital>
                    </link>
                    ).
                  </paratext>
                </para>
                <para>
                  <paratext>
                    In 
                    <internal.reference refid="a671433">clause 11.2(b)</internal.reference>
                     the words "...except where such claim is as a result of any act or omission of the Client" were previously optional.  We have now incorporated them into the clause fully following the decision in 
                    <link href="https://uk.practicallaw.thomsonreuters.com/D-101-5794?originationContext=document&amp;amp;transitionType=PLDocumentLink&amp;amp;contextData=(sc.Default)" style="ACTLinkURL">
                      <ital>Gascoigne v Addison Lee Ltd ET/2200436/2016</ital>
                    </link>
                    . In the tribunal's view, a clause whereby the consultant indemnifies the client for liability relating to claims based on worker status appears designed to "put people off challenging their employment status" (see 
                    <link href="https://uk.practicallaw.thomsonreuters.com/w-009-7597?originationContext=document&amp;amp;transitionType=DocumentItem&amp;amp;contextData=(sc.Default)" style="ACTLinkURL">
                      <ital>Legal update, Addison Lee cycle courier was a worker (ET)</ital>
                    </link>
                    ). Accordingly, clause 11.2(b) makes it clear that the consultant will not be required to indemnify the client where a claim is a result of an act or omission by the client and therefore seeks to address the tribunal's decision in 
                    <ital>Gascoigne</ital>
                    . This finding was, however, quite fact specific and should not necessarily deter clients from using such indemnities, particularly outside the gig economy and where there is greater equality of bargaining power between the client and the consultant.
                  </paratext>
                </para>
                <para>
                  <paratext>
                    In any event, the parties should note that any attempt to limit or exclude the rights of an employee or worker under ERA 1996 will be void under 
                    <link href="https://uk.practicallaw.thomsonreuters.com/0-506-3389?originationContext=document&amp;amp;transitionType=PLDocumentLink&amp;amp;contextData=(sc.Default)" style="ACTLinkURL">
                      <ital>section 203</ital>
                    </link>
                    , with the result that the clause would be void if the consultant, or any substitute, is found to be a worker or employee (see 
                    <link href="https://uk.practicallaw.thomsonreuters.com/0-380-9367?originationContext=document&amp;amp;transitionType=DocumentItem&amp;amp;contextData=(sc.Default)" style="ACTLinkURL">
                      <ital>Legal update, Application of section 203 ERA to clause denying intention to create legal relations</ital>
                    </link>
                    ).
                  </paratext>
                </para>
              </division>
            </drafting.note>
            <subclause1 id="a938575">
              <identifier>11.1</identifier>
              <para>
                <paratext>You will be an independent contractor and nothing in this agreement shall render you our employee, worker, agent or partner and you shall not hold yourself out as such.</paratext>
              </para>
            </subclause1>
            <subclause1 id="a785883">
              <identifier>11.2</identifier>
              <para>
                <paratext>You shall be fully responsible for and indemnify us [or any other company in our group] against any liability, assessment or claim for:</paratext>
              </para>
              <subclause2 id="a141647">
                <identifier>(a)</identifier>
                <para>
                  <paratext>taxation howsoever arising from or made in connection with the performance of the Services, where such recovery is not prohibited by law; and</paratext>
                </para>
              </subclause2>
              <subclause2 id="a671433">
                <identifier>(b)</identifier>
                <para>
                  <paratex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paratext>
                </para>
              </subclause2>
              <para>
                <paratext>We may satisfy such indemnity (in whole or in part) by way of deduction from any payment due to you.</paratext>
              </para>
            </subclause1>
          </clause>
          <clause id="a418705">
            <identifier>12.</identifier>
            <head align="left" preservecase="true">
              <headtext>Variation</headtext>
            </head>
            <drafting.note id="a636935" jurisdiction="">
              <head align="left" preservecase="true">
                <headtext>Variation</headtext>
              </head>
              <division id="a000027" level="1">
                <para>
                  <paratext>The agreement can only be varied by a document signed by both parties.</paratext>
                </para>
              </division>
            </drafting.note>
            <subclause1 id="a923640">
              <para>
                <paratext>This agreement may only be varied by a document signed by both you and us.</paratext>
              </para>
            </subclause1>
          </clause>
          <clause id="a590642">
            <identifier>13.</identifier>
            <head align="left" preservecase="true">
              <headtext>Third party rights</headtext>
            </head>
            <drafting.note id="a298183" jurisdiction="">
              <head align="left" preservecase="true">
                <headtext>Third party rights</headtext>
              </head>
              <division id="a000028" level="1">
                <para>
                  <paratext>
                    This clause excludes the 
                    <link href="9-505-5610" style="ACTLinkPLCtoPLC">
                      <ital>Contracts (Rights of Third Parties) Act 1999</ital>
                    </link>
                    . Amendment will be required if it is intended for any group company to have the right to enforce any part of the agreement (see 
                    <link href="2-200-2143#a331907" style="ACTLinkPLCtoPLC">
                      <ital>Standard document, Consultancy agreement: Drafting note: Third party rights</ital>
                    </link>
                    ).
                  </paratext>
                </para>
              </division>
            </drafting.note>
            <subclause1 id="a807516">
              <para>
                <paratext>The Contracts (Rights of Third Parties) Act 1999 shall not apply to this agreement and no person other than you and us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paratext>
              </para>
            </subclause1>
          </clause>
          <clause id="a544951">
            <identifier>14.</identifier>
            <head align="left" preservecase="true">
              <headtext>Governing law</headtext>
            </head>
            <drafting.note id="a850797" jurisdiction="">
              <head align="left" preservecase="true">
                <headtext>Governing law</headtext>
              </head>
              <division id="a000029" level="1">
                <para>
                  <paratext>
                    This clause provides that the agreement is governed by and should be construed in accordance with English law (see 
                    <link href="2-200-2143#a721300" style="ACTLinkPLCtoPLC">
                      <ital>Standard document, Consultancy agreement: Drafting note: Governing law</ital>
                    </link>
                    ).
                  </paratext>
                </para>
              </division>
            </drafting.note>
            <subclause1 id="a275868">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274455">
            <identifier>15.</identifier>
            <head align="left" preservecase="true">
              <headtext>Jurisdiction</headtext>
            </head>
            <drafting.note id="a250932" jurisdiction="">
              <head align="left" preservecase="true">
                <headtext>Jurisdiction</headtext>
              </head>
              <division id="a000030" level="1">
                <para>
                  <paratext>
                    This clause provides that any dispute should be dealt with in the courts of England and Wales (see 
                    <link href="2-200-2143#a191279" style="ACTLinkPLCtoPLC">
                      <ital>Standard document, Consultancy agreement: Drafting note: Jurisdiction</ital>
                    </link>
                    ).
                  </paratext>
                </para>
              </division>
            </drafting.note>
            <subclause1 id="a192877">
              <para>
                <paratext>The courts of England and Wales shall have exclusive jurisdiction to settle any dispute or claim arising out of or in connection with this agreement or its subject matter or formation (including non-contractual disputes or claims).</paratext>
              </para>
            </subclause1>
          </clause>
          <clause id="a826292" numbering="none">
            <para>
              <paratext>Please acknowledge receipt of this letter and acceptance of its terms by signing, dating and returning the enclosed copy.</paratext>
            </para>
          </clause>
        </operative>
        <closing>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[NAME]</paratext>
                        </para>
                      </entry>
                    </row>
                    <row>
                      <entry valign="top">
                        <para align="left">
                          <paratext>For and on behalf of</paratext>
                        </para>
                      </entry>
                    </row>
                    <row>
                      <entry valign="top">
                        <para align="left">
                          <paratext>[COMPANY]</paratext>
                        </para>
                      </entry>
                    </row>
                    <row>
                      <entry valign="top">
                        <para>
                          <paratext space="default"> </paratext>
                        </para>
                      </entry>
                    </row>
                    <row>
                      <entry valign="top">
                        <para align="left">
                          <paratext>I hereby acknowledge receipt and accept the contents of this letter.</paratext>
                        </para>
                      </entry>
                    </row>
                    <row>
                      <entry valign="top">
                        <para>
                          <paratext space="default"> </paratext>
                        </para>
                      </entry>
                    </row>
                    <row>
                      <entry valign="top">
                        <para align="left">
                          <paratext>Signed .....................................................</paratext>
                        </para>
                      </entry>
                    </row>
                    <row>
                      <entry valign="top">
                        <para align="left">
                          <paratext>[CONSULTANT]</paratext>
                        </para>
                      </entry>
                    </row>
                    <row>
                      <entry valign="top">
                        <para>
                          <paratext space="default"> </paratext>
                        </para>
                      </entry>
                    </row>
                    <row>
                      <entry valign="top">
                        <para align="left">
                          <paratext>Date ........................................................</paratext>
                        </para>
                      </entry>
                    </row>
                  </tbody>
                </tgroup>
              </table>
            </paratext>
          </para>
        </signature>
        <disclosure.schedule>
          <schedule id="a598255">
            <identifier>Schedule 1</identifier>
            <head align="left" preservecase="true">
              <headtext>PROCESSING, PERSONAL DATA AND DATA SUBJECTS</headtext>
            </head>
            <part id="a969013">
              <identifier>Part 1</identifier>
              <head align="left" preservecase="true">
                <headtext>PROCESSING BY THE CONSULTANT</headtext>
              </head>
              <clause id="a208377">
                <identifier>1.</identifier>
                <head align="left" preservecase="true">
                  <headtext>SCOPE</headtext>
                </head>
              </clause>
              <clause id="a163519">
                <identifier>2.</identifier>
                <head align="left" preservecase="true">
                  <headtext>NATURE</headtext>
                </head>
              </clause>
              <clause id="a405493">
                <identifier>3.</identifier>
                <head align="left" preservecase="true">
                  <headtext>PURPOSE OF PROCESSING</headtext>
                </head>
              </clause>
              <clause id="a104629">
                <identifier>4.</identifier>
                <head align="left" preservecase="true">
                  <headtext>DURATION OF THE PROCESSING</headtext>
                </head>
              </clause>
            </part>
            <part id="a419059">
              <identifier>Part 2</identifier>
              <head align="left" preservecase="true">
                <headtext>TYPES OF PERSONAL DATA</headtext>
              </head>
            </part>
            <part id="a431891">
              <identifier>Part 3</identifier>
              <head align="left" preservecase="true">
                <headtext>CATEGORIES OF DATA SUBJECT</headtext>
              </head>
            </part>
          </schedule>
        </disclosure.schedule>
      </body>
      <rev.history>
        <rev.item>
          <rev.title>Data protection clause (April 2021)</rev.title>
          <rev.date>20210428</rev.date>
          <rev.author>PL Employment</rev.author>
          <rev.body>
            <division id="a000001" level="1">
              <para>
                <paratext>
                  <internal.reference refid="a854999">clause 6.7</internal.reference>
                   has been updated to ensure compliance with 
                  <ital>Article 28(2) UK GDPR</ital>
                  . 
                  <internal.reference refid="a998900">Drafting note, Data protection</internal.reference>
                   has also been updated.
                </paratext>
              </para>
            </division>
          </rev.body>
        </rev.item>
        <rev.item>
          <rev.title>End of UK-EU transition period (December 2020)</rev.title>
          <rev.date>20201203</rev.date>
          <rev.author>PL Employment</rev.author>
          <rev.body>
            <division id="a000002" level="1">
              <para>
                <paratext/>
              </para>
            </division>
          </rev.body>
        </rev.item>
        <rev.item>
          <rev.title>General review (February 2020)</rev.title>
          <rev.date>20200206</rev.date>
          <rev.author>Pl Employment</rev.author>
          <rev.body>
            <division id="a000003" level="1">
              <para>
                <paratext>A general review of the document has been completed. As part of this review, and in keeping with the informal style of this short-form agreement, references to 'client' have been replaced with references to 'we', 'us' and 'our' where appropriate.</paratext>
              </para>
            </division>
          </rev.body>
        </rev.item>
        <rev.item>
          <rev.title>Appointment of substitute (January 2020)</rev.title>
          <rev.date>20200113</rev.date>
          <rev.author>PL Employment</rev.author>
          <rev.body>
            <division id="a000004" level="1">
              <para>
                <paratext>
                  <internal.reference refid="a174734">Clause 2.4</internal.reference>
                   has been updated to make the approval of any substitute optional.
                </paratext>
              </para>
            </division>
          </rev.body>
        </rev.item>
        <rev.item>
          <rev.title>Data processing clauses (March 2018)</rev.title>
          <rev.date>20180301</rev.date>
          <rev.author>PL Employment</rev.author>
          <rev.body>
            <division id="a000005" level="1">
              <para>
                <paratext>
                  We have updated this agreement in light of the EU's General Data Protection Regulation (EU) 2016/679 (GDPR) which will be directly applicable in all EU member states with effect from 25 May 2018. 
                  <internal.reference refid="a881664">Clause 6</internal.reference>
                   now reflects the new obligations imposed on consultants if they are data processors under the GDPR.
                </paratext>
              </para>
            </division>
          </rev.body>
        </rev.item>
        <rev.item>
          <rev.title>Employment status indemnity (October 2017)</rev.title>
          <rev.date>20171001</rev.date>
          <rev.author>PL Employment</rev.author>
          <rev.body>
            <division id="a000006" level="1">
              <para>
                <paratext>
                  We have amended 
                  <internal.reference refid="a671433">clause 11.2(b)</internal.reference>
                   (an indemnity by the consultant in favour of the client for liability arising out of an employment-related claim based on worker status) as a result of the employment tribunal's decision in 
                  <ital>Gascoigne v Addison Lee Ltd 2200436/2016</ital>
                </paratext>
              </para>
            </division>
          </rev.body>
        </rev.item>
      </rev.history>
    </standard.doc>
  </n-docbody>
</n-document>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C04A4740-467C-4621-8651-1FB691110B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D2F126EC-9B7A-4D5C-90E9-CDE6F76926B2}">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3A0CB45E-DBAD-43AD-939C-4BF101530D58}">
  <ds:schemaRefs>
    <ds:schemaRef ds:uri="http://www.w3.org/2001/XMLSchema"/>
  </ds:schemaRefs>
</ds:datastoreItem>
</file>

<file path=customXml/itemProps4.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Humphreys, Callum A. (TR Product)</dc:creator>
  <keywords/>
  <dc:description/>
  <lastModifiedBy>Ritesh Rana</lastModifiedBy>
  <revision>11</revision>
  <lastPrinted>2020-02-20T09:40:00.0000000Z</lastPrinted>
  <dcterms:created xsi:type="dcterms:W3CDTF">2022-04-27T11:42:00.0000000Z</dcterms:created>
  <dcterms:modified xsi:type="dcterms:W3CDTF">2022-05-06T05:54:02.9113223Z</dcterms:modified>
</coreProperties>
</file>