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E8359D">
      <w:pPr>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8"/>
          <w:szCs w:val="28"/>
          <w:u w:val="single"/>
        </w:rPr>
        <w:t>PRACTICAL 1</w:t>
      </w:r>
    </w:p>
    <w:p w14:paraId="20A8E916">
      <w:pPr>
        <w:jc w:val="right"/>
        <w:rPr>
          <w:rFonts w:ascii="Times New Roman" w:hAnsi="Times New Roman" w:eastAsia="Times New Roman" w:cs="Times New Roman"/>
          <w:b/>
          <w:bCs/>
          <w:sz w:val="32"/>
          <w:szCs w:val="32"/>
        </w:rPr>
      </w:pPr>
      <w:r>
        <w:rPr>
          <w:rFonts w:ascii="Times New Roman" w:hAnsi="Times New Roman" w:eastAsia="Times New Roman" w:cs="Times New Roman"/>
          <w:b/>
          <w:bCs/>
          <w:sz w:val="28"/>
          <w:szCs w:val="28"/>
        </w:rPr>
        <w:t>DATE: 23/01/2025</w:t>
      </w:r>
    </w:p>
    <w:p w14:paraId="0E2DEF09">
      <w:pPr>
        <w:jc w:val="both"/>
        <w:rPr>
          <w:rFonts w:ascii="Times New Roman" w:hAnsi="Times New Roman" w:eastAsia="Times New Roman"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bCs/>
          <w:sz w:val="28"/>
          <w:szCs w:val="28"/>
        </w:rPr>
        <w:t>AIM:</w:t>
      </w:r>
      <w:r>
        <w:rPr>
          <w:rFonts w:ascii="Times New Roman" w:hAnsi="Times New Roman" w:eastAsia="Times New Roman" w:cs="Times New Roman"/>
          <w:b/>
          <w:bCs/>
          <w:sz w:val="32"/>
          <w:szCs w:val="32"/>
        </w:rPr>
        <w:t xml:space="preserv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To Understand the concept and Importance of cyber threat Intelligence and hunting.</w:t>
      </w:r>
    </w:p>
    <w:p w14:paraId="24D6D4CF">
      <w:p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p>
    <w:p w14:paraId="3F09CC73">
      <w:pPr>
        <w:jc w:val="both"/>
        <w:rPr>
          <w:rFonts w:ascii="Times New Roman" w:hAnsi="Times New Roman" w:eastAsia="Times New Roman" w:cs="Times New Roman"/>
          <w:b w:val="0"/>
          <w:bCs w:val="0"/>
          <w:i w:val="0"/>
          <w:iCs w:val="0"/>
          <w:caps w:val="0"/>
          <w:smallCaps w:val="0"/>
          <w:color w:val="000000" w:themeColor="text1" w:themeTint="FF"/>
          <w:sz w:val="22"/>
          <w:szCs w:val="22"/>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Understanding Cyber Threat Intelligence (CTI)</w:t>
      </w:r>
    </w:p>
    <w:p w14:paraId="06CDBC99">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Cyber Threat Intelligence (CTI) refers to the collection, analysis, and dissemination of information about current or potential cyber threats. The goal is to provide actionable insights to organizations to protect their systems, networks, and data from cyberattacks.</w:t>
      </w:r>
    </w:p>
    <w:p w14:paraId="0C2F195B">
      <w:p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p>
    <w:p w14:paraId="2ECE1B7C">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What is CTI?</w:t>
      </w:r>
    </w:p>
    <w:p w14:paraId="2606E9CC">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Cyber threat intelligence (CTI) is a cybersecurity field that involves collecting, analyzing, and sharing information about cyber threats. CTI helps organizations understand and respond to cyber threats by identifying vulnerabilities and threat actors. </w:t>
      </w:r>
    </w:p>
    <w:p w14:paraId="447CBBC6">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80AA0C4">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Importance of CTI in Real Life?</w:t>
      </w:r>
    </w:p>
    <w:p w14:paraId="511BDAF9">
      <w:p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Cyber Threat Intelligence (CTI) plays a crucial role in modern cybersecurity by providing actionable insights to proactively identify, prevent, and respond to cyber threats. Here's how CTI is important in real-life scenarios:</w:t>
      </w:r>
    </w:p>
    <w:p w14:paraId="69D55897">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Proactive Threat Identification</w:t>
      </w:r>
    </w:p>
    <w:p w14:paraId="202B11C6">
      <w:pPr>
        <w:pStyle w:val="35"/>
        <w:numPr>
          <w:ilvl w:val="0"/>
          <w:numId w:val="1"/>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CTI helps organizations recognize indicators of compromise (IoCs) such as suspicious IP addresses or malware signatures. This allows them to patch vulnerabilities before an attack occurs.</w:t>
      </w:r>
    </w:p>
    <w:p w14:paraId="62695294">
      <w:pPr>
        <w:ind w:left="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Enhancing Incident Response</w:t>
      </w:r>
    </w:p>
    <w:p w14:paraId="191EAF0F">
      <w:pPr>
        <w:pStyle w:val="35"/>
        <w:numPr>
          <w:ilvl w:val="0"/>
          <w:numId w:val="2"/>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During a ransomware attack, CTI provides insights about the ransomware family, its attack vectors, and decryption methods.</w:t>
      </w:r>
    </w:p>
    <w:p w14:paraId="014C0E6E">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Reducing False Positives</w:t>
      </w:r>
    </w:p>
    <w:p w14:paraId="23838F93">
      <w:pPr>
        <w:pStyle w:val="35"/>
        <w:numPr>
          <w:ilvl w:val="0"/>
          <w:numId w:val="3"/>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Security tools often generate numerous alerts, many of which are false positives. CTI refines this data by prioritizing alerts based on verified intelligence.</w:t>
      </w:r>
    </w:p>
    <w:p w14:paraId="3E2D725D">
      <w:pPr>
        <w:ind w:left="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E7001A8">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Tailoring Security Defenses</w:t>
      </w:r>
    </w:p>
    <w:p w14:paraId="25301591">
      <w:pPr>
        <w:pStyle w:val="35"/>
        <w:numPr>
          <w:ilvl w:val="0"/>
          <w:numId w:val="4"/>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CTI identifies industry-specific threats (e.g., healthcare ransomware attacks) and helps organizations adapt their defenses accordingly.</w:t>
      </w:r>
    </w:p>
    <w:p w14:paraId="2B257F8D">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Enabling Threat Actor Profiling</w:t>
      </w:r>
    </w:p>
    <w:p w14:paraId="12A6AE73">
      <w:pPr>
        <w:pStyle w:val="35"/>
        <w:numPr>
          <w:ilvl w:val="0"/>
          <w:numId w:val="5"/>
        </w:num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By analyzing CTI, organizations can understand attacker motives, techniques, and tools.</w:t>
      </w:r>
    </w:p>
    <w:p w14:paraId="2234D1D8">
      <w:p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p>
    <w:p w14:paraId="4E1C1CED">
      <w:p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Understanding Cyber Threat Hunting</w:t>
      </w:r>
    </w:p>
    <w:p w14:paraId="0EAEBF99">
      <w:pPr>
        <w:spacing w:before="205" w:line="276" w:lineRule="auto"/>
        <w:ind w:left="23" w:right="26"/>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Cyber Threat Hunting is a proactive approach to identifying and mitigating threats within an organization's environment. Unlike reactive methods (e.g., responding to alerts), hunting involves actively searching for hidden threats that evade traditional security measures.</w:t>
      </w:r>
    </w:p>
    <w:p w14:paraId="108AEA7A">
      <w:pPr>
        <w:spacing w:before="205" w:line="276" w:lineRule="auto"/>
        <w:ind w:left="23" w:right="26"/>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p>
    <w:p w14:paraId="0EE49289">
      <w:pPr>
        <w:spacing w:before="205" w:line="276" w:lineRule="auto"/>
        <w:ind w:left="23" w:right="26"/>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Importance of Threat Hunting</w:t>
      </w:r>
    </w:p>
    <w:p w14:paraId="068CFD39">
      <w:pPr>
        <w:pStyle w:val="35"/>
        <w:numPr>
          <w:ilvl w:val="0"/>
          <w:numId w:val="6"/>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Identifying Advanced Threats: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Finds sophisticated threats like zero-day attacks and APTs that bypass traditional defenses.</w:t>
      </w:r>
    </w:p>
    <w:p w14:paraId="77FCBDEB">
      <w:pPr>
        <w:pStyle w:val="35"/>
        <w:numPr>
          <w:ilvl w:val="0"/>
          <w:numId w:val="6"/>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Reducing Dwell Time: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Shortens the time attackers spend undetected within a network.</w:t>
      </w:r>
    </w:p>
    <w:p w14:paraId="2CC40D6B">
      <w:pPr>
        <w:pStyle w:val="35"/>
        <w:numPr>
          <w:ilvl w:val="0"/>
          <w:numId w:val="6"/>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 xml:space="preserve">Improving Defenses: </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Insights gained during hunts are used to strengthen an organization's security posture.</w:t>
      </w:r>
    </w:p>
    <w:p w14:paraId="247BDB48">
      <w:pPr>
        <w:pStyle w:val="35"/>
        <w:numPr>
          <w:ilvl w:val="0"/>
          <w:numId w:val="6"/>
        </w:numPr>
        <w:spacing w:before="205" w:line="276" w:lineRule="auto"/>
        <w:ind w:right="26"/>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Complementing Automation</w:t>
      </w: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 While automation handles routine threats, hunting focuses on advanced adversaries.</w:t>
      </w:r>
    </w:p>
    <w:p w14:paraId="51582548">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2BA4BFC">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DD2217E">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6994CEE">
      <w:pPr>
        <w:jc w:val="both"/>
        <w:rPr>
          <w:rFonts w:ascii="Times New Roman" w:hAnsi="Times New Roman" w:eastAsia="Times New Roman" w:cs="Times New Roman"/>
          <w:b/>
          <w:bCs/>
          <w:sz w:val="28"/>
          <w:szCs w:val="28"/>
          <w:u w:val="single"/>
        </w:rPr>
      </w:pPr>
    </w:p>
    <w:p w14:paraId="14A1B8A7">
      <w:pPr>
        <w:jc w:val="both"/>
        <w:rPr>
          <w:rFonts w:ascii="Times New Roman" w:hAnsi="Times New Roman" w:eastAsia="Times New Roman" w:cs="Times New Roman"/>
          <w:b/>
          <w:bCs/>
          <w:sz w:val="28"/>
          <w:szCs w:val="28"/>
          <w:u w:val="single"/>
        </w:rPr>
      </w:pPr>
    </w:p>
    <w:p w14:paraId="3B528922">
      <w:pPr>
        <w:jc w:val="center"/>
        <w:rPr>
          <w:rFonts w:ascii="Times New Roman" w:hAnsi="Times New Roman" w:eastAsia="Times New Roman" w:cs="Times New Roman"/>
          <w:b/>
          <w:bCs/>
          <w:sz w:val="28"/>
          <w:szCs w:val="28"/>
          <w:u w:val="single"/>
        </w:rPr>
      </w:pPr>
    </w:p>
    <w:p w14:paraId="11D53423">
      <w:pPr>
        <w:jc w:val="center"/>
        <w:rPr>
          <w:rFonts w:ascii="Times New Roman" w:hAnsi="Times New Roman" w:eastAsia="Times New Roman" w:cs="Times New Roman"/>
          <w:b/>
          <w:bCs/>
          <w:sz w:val="28"/>
          <w:szCs w:val="28"/>
          <w:u w:val="single"/>
        </w:rPr>
      </w:pPr>
    </w:p>
    <w:p w14:paraId="595A1CA7">
      <w:pPr>
        <w:jc w:val="center"/>
        <w:rPr>
          <w:rFonts w:ascii="Times New Roman" w:hAnsi="Times New Roman" w:eastAsia="Times New Roman" w:cs="Times New Roman"/>
          <w:b/>
          <w:bCs/>
          <w:sz w:val="28"/>
          <w:szCs w:val="28"/>
          <w:u w:val="single"/>
        </w:rPr>
      </w:pPr>
    </w:p>
    <w:p w14:paraId="060BED71">
      <w:pPr>
        <w:jc w:val="center"/>
        <w:rPr>
          <w:rFonts w:ascii="Times New Roman" w:hAnsi="Times New Roman" w:eastAsia="Times New Roman" w:cs="Times New Roman"/>
          <w:b/>
          <w:bCs/>
          <w:sz w:val="28"/>
          <w:szCs w:val="28"/>
          <w:u w:val="single"/>
        </w:rPr>
      </w:pPr>
    </w:p>
    <w:p w14:paraId="04D97D34">
      <w:pPr>
        <w:jc w:val="center"/>
        <w:rPr>
          <w:rFonts w:ascii="Times New Roman" w:hAnsi="Times New Roman" w:eastAsia="Times New Roman" w:cs="Times New Roman"/>
          <w:b/>
          <w:bCs/>
          <w:sz w:val="24"/>
          <w:szCs w:val="24"/>
          <w:u w:val="single"/>
        </w:rPr>
      </w:pPr>
      <w:bookmarkStart w:id="0" w:name="_GoBack"/>
      <w:bookmarkEnd w:id="0"/>
      <w:r>
        <w:rPr>
          <w:rFonts w:ascii="Times New Roman" w:hAnsi="Times New Roman" w:eastAsia="Times New Roman" w:cs="Times New Roman"/>
          <w:b/>
          <w:bCs/>
          <w:sz w:val="28"/>
          <w:szCs w:val="28"/>
          <w:u w:val="single"/>
        </w:rPr>
        <w:t>PRACTICAL 2</w:t>
      </w:r>
    </w:p>
    <w:p w14:paraId="5B8CFB93">
      <w:pPr>
        <w:jc w:val="right"/>
        <w:rPr>
          <w:rFonts w:ascii="Times New Roman" w:hAnsi="Times New Roman" w:eastAsia="Times New Roman" w:cs="Times New Roman"/>
          <w:b/>
          <w:bCs/>
          <w:sz w:val="32"/>
          <w:szCs w:val="32"/>
        </w:rPr>
      </w:pPr>
      <w:r>
        <w:rPr>
          <w:rFonts w:ascii="Times New Roman" w:hAnsi="Times New Roman" w:eastAsia="Times New Roman" w:cs="Times New Roman"/>
          <w:b/>
          <w:bCs/>
          <w:sz w:val="28"/>
          <w:szCs w:val="28"/>
        </w:rPr>
        <w:t>DATE: 23/01/2025</w:t>
      </w:r>
    </w:p>
    <w:p w14:paraId="1EEBD8A3">
      <w:pPr>
        <w:jc w:val="right"/>
        <w:rPr>
          <w:rFonts w:ascii="Times New Roman" w:hAnsi="Times New Roman" w:eastAsia="Times New Roman" w:cs="Times New Roman"/>
          <w:b/>
          <w:bCs/>
          <w:sz w:val="28"/>
          <w:szCs w:val="28"/>
        </w:rPr>
      </w:pPr>
    </w:p>
    <w:p w14:paraId="24619739">
      <w:pPr>
        <w:jc w:val="both"/>
        <w:rPr>
          <w:rFonts w:ascii="Times New Roman" w:hAnsi="Times New Roman" w:eastAsia="Times New Roman" w:cs="Times New Roman"/>
          <w:b w:val="0"/>
          <w:bCs w:val="0"/>
          <w:sz w:val="28"/>
          <w:szCs w:val="28"/>
          <w:lang w:val="en-US"/>
        </w:rPr>
      </w:pPr>
      <w:r>
        <w:rPr>
          <w:rFonts w:ascii="Times New Roman" w:hAnsi="Times New Roman" w:eastAsia="Times New Roman" w:cs="Times New Roman"/>
          <w:b/>
          <w:bCs/>
          <w:sz w:val="28"/>
          <w:szCs w:val="28"/>
        </w:rPr>
        <w:t xml:space="preserve">AIM: </w:t>
      </w:r>
      <w:r>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lang w:val="en-US"/>
          <w14:textFill>
            <w14:solidFill>
              <w14:schemeClr w14:val="tx1">
                <w14:lumMod w14:val="100000"/>
                <w14:lumOff w14:val="0"/>
              </w14:schemeClr>
            </w14:solidFill>
          </w14:textFill>
        </w:rPr>
        <w:t>To gain Knowledge about framework, tools, and Technique for CTI and Threat- Hunting Operation.</w:t>
      </w:r>
    </w:p>
    <w:p w14:paraId="17E018BC">
      <w:pPr>
        <w:jc w:val="both"/>
        <w:rPr>
          <w:rFonts w:ascii="Times New Roman" w:hAnsi="Times New Roman" w:eastAsia="Times New Roman" w:cs="Times New Roman"/>
          <w:b w:val="0"/>
          <w:bCs w:val="0"/>
          <w:i w:val="0"/>
          <w:iCs w:val="0"/>
          <w:caps w:val="0"/>
          <w:smallCaps w:val="0"/>
          <w:strike w:val="0"/>
          <w:dstrike w:val="0"/>
          <w:color w:val="000000" w:themeColor="text1" w:themeTint="FF"/>
          <w:sz w:val="24"/>
          <w:szCs w:val="24"/>
          <w:u w:val="none"/>
          <w:lang w:val="en-US"/>
          <w14:textFill>
            <w14:solidFill>
              <w14:schemeClr w14:val="tx1">
                <w14:lumMod w14:val="100000"/>
                <w14:lumOff w14:val="0"/>
              </w14:schemeClr>
            </w14:solidFill>
          </w14:textFill>
        </w:rPr>
      </w:pPr>
    </w:p>
    <w:p w14:paraId="01D391DD">
      <w:pPr>
        <w:jc w:val="both"/>
        <w:rPr>
          <w:rFonts w:ascii="Times New Roman" w:hAnsi="Times New Roman" w:eastAsia="Times New Roman" w:cs="Times New Roman"/>
          <w:b/>
          <w:bCs/>
          <w:i w:val="0"/>
          <w:iCs w:val="0"/>
          <w:caps w:val="0"/>
          <w:smallCaps w:val="0"/>
          <w:strike w:val="0"/>
          <w:dstrike w:val="0"/>
          <w:color w:val="000000" w:themeColor="text1" w:themeTint="FF"/>
          <w:sz w:val="32"/>
          <w:szCs w:val="32"/>
          <w:u w:val="none"/>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strike w:val="0"/>
          <w:dstrike w:val="0"/>
          <w:color w:val="000000" w:themeColor="text1" w:themeTint="FF"/>
          <w:sz w:val="28"/>
          <w:szCs w:val="28"/>
          <w:u w:val="none"/>
          <w:lang w:val="en-US"/>
          <w14:textFill>
            <w14:solidFill>
              <w14:schemeClr w14:val="tx1">
                <w14:lumMod w14:val="100000"/>
                <w14:lumOff w14:val="0"/>
              </w14:schemeClr>
            </w14:solidFill>
          </w14:textFill>
        </w:rPr>
        <w:t>What is CTI?</w:t>
      </w:r>
    </w:p>
    <w:p w14:paraId="3D7DDA2D">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Cyber threat intelligence (CTI) is a cybersecurity field that involves collecting, analyzing, and sharing information about cyber threats. CTI helps organizations understand and respond to cyber threats by identifying vulnerabilities and threat actors.</w:t>
      </w:r>
    </w:p>
    <w:p w14:paraId="6F608FC6">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BEEF4CA">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Importance of CTI in Real Life?</w:t>
      </w:r>
    </w:p>
    <w:p w14:paraId="4556ADE7">
      <w:p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Cyber Threat Intelligence (CTI) plays a crucial role in modern cybersecurity by providing actionable insights to proactively identify, prevent, and respond to cyber threats. Here's how CTI is important in real-life scenarios:</w:t>
      </w:r>
    </w:p>
    <w:p w14:paraId="51A1BA43">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79E7591">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Proactive Threat Identification</w:t>
      </w:r>
    </w:p>
    <w:p w14:paraId="671032AA">
      <w:pPr>
        <w:pStyle w:val="35"/>
        <w:numPr>
          <w:ilvl w:val="0"/>
          <w:numId w:val="1"/>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CTI helps organizations recognize indicators of compromise (IoCs) such as suspicious IP addresses or malware signatures. This allows them to patch vulnerabilities before an attack occurs.</w:t>
      </w:r>
    </w:p>
    <w:p w14:paraId="6744C41C">
      <w:pPr>
        <w:ind w:left="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Enhancing Incident Response</w:t>
      </w:r>
    </w:p>
    <w:p w14:paraId="5D7A8E1D">
      <w:pPr>
        <w:pStyle w:val="35"/>
        <w:numPr>
          <w:ilvl w:val="0"/>
          <w:numId w:val="2"/>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During a ransomware attack, CTI provides insights about the ransomware family, its attack vectors, and decryption methods.</w:t>
      </w:r>
    </w:p>
    <w:p w14:paraId="3D82B7AC">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Reducing False Positives</w:t>
      </w:r>
    </w:p>
    <w:p w14:paraId="72766D3B">
      <w:pPr>
        <w:pStyle w:val="35"/>
        <w:numPr>
          <w:ilvl w:val="0"/>
          <w:numId w:val="3"/>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Security tools often generate numerous alerts, many of which are false positives. CTI refines this data by prioritizing alerts based on verified intelligence.</w:t>
      </w:r>
    </w:p>
    <w:p w14:paraId="565938B0">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Tailoring Security Defenses</w:t>
      </w:r>
    </w:p>
    <w:p w14:paraId="615DD770">
      <w:pPr>
        <w:pStyle w:val="35"/>
        <w:numPr>
          <w:ilvl w:val="0"/>
          <w:numId w:val="4"/>
        </w:num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CTI identifies industry-specific threats (e.g., healthcare ransomware attacks) and helps organizations adapt their defenses accordingly.</w:t>
      </w:r>
    </w:p>
    <w:p w14:paraId="6901C014">
      <w:pPr>
        <w:ind w:left="0"/>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6BB369">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t>Enabling Threat Actor Profiling</w:t>
      </w:r>
    </w:p>
    <w:p w14:paraId="4CD91A02">
      <w:pPr>
        <w:pStyle w:val="35"/>
        <w:numPr>
          <w:ilvl w:val="0"/>
          <w:numId w:val="5"/>
        </w:num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t>Example: By analyzing CTI, organizations can understand attacker motives, techniques, and tools.</w:t>
      </w:r>
    </w:p>
    <w:p w14:paraId="59573191">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1643B7D">
      <w:p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CTI Frameworks:</w:t>
      </w:r>
    </w:p>
    <w:p w14:paraId="23C2F42C">
      <w:pPr>
        <w:pStyle w:val="35"/>
        <w:numPr>
          <w:ilvl w:val="0"/>
          <w:numId w:val="7"/>
        </w:num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MITRE ATT&amp;CK:</w:t>
      </w:r>
    </w:p>
    <w:p w14:paraId="53FA339D">
      <w:pPr>
        <w:pStyle w:val="35"/>
        <w:numPr>
          <w:ilvl w:val="0"/>
          <w:numId w:val="8"/>
        </w:numPr>
        <w:jc w:val="both"/>
        <w:rPr>
          <w:rFonts w:ascii="Times New Roman" w:hAnsi="Times New Roman" w:eastAsia="Times New Roman" w:cs="Times New Roman"/>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Mainly Used in China and Iran.</w:t>
      </w:r>
    </w:p>
    <w:p w14:paraId="5C15884F">
      <w:pPr>
        <w:ind w:left="720"/>
        <w:jc w:val="both"/>
        <w:rPr>
          <w:rFonts w:ascii="Times New Roman" w:hAnsi="Times New Roman" w:eastAsia="Times New Roman" w:cs="Times New Roman"/>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pPr>
    </w:p>
    <w:p w14:paraId="6D709B84">
      <w:pPr>
        <w:ind w:left="0"/>
        <w:jc w:val="both"/>
      </w:pPr>
      <w:r>
        <w:drawing>
          <wp:inline distT="0" distB="0" distL="114300" distR="114300">
            <wp:extent cx="5943600" cy="4184015"/>
            <wp:effectExtent l="152400" t="152400" r="342900" b="349885"/>
            <wp:docPr id="1362161341" name="Picture 1362161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61341" name="Picture 1362161341"/>
                    <pic:cNvPicPr>
                      <a:picLocks noChangeAspect="1"/>
                    </pic:cNvPicPr>
                  </pic:nvPicPr>
                  <pic:blipFill>
                    <a:blip r:embed="rId8">
                      <a:extLst>
                        <a:ext uri="{28A0092B-C50C-407E-A947-70E740481C1C}">
                          <a14:useLocalDpi xmlns:a14="http://schemas.microsoft.com/office/drawing/2010/main" val="0"/>
                        </a:ext>
                      </a:extLst>
                    </a:blip>
                    <a:srcRect t="14075"/>
                    <a:stretch>
                      <a:fillRect/>
                    </a:stretch>
                  </pic:blipFill>
                  <pic:spPr>
                    <a:xfrm>
                      <a:off x="0" y="0"/>
                      <a:ext cx="5943600" cy="4184550"/>
                    </a:xfrm>
                    <a:prstGeom prst="rect">
                      <a:avLst/>
                    </a:prstGeom>
                    <a:ln>
                      <a:noFill/>
                    </a:ln>
                    <a:effectLst>
                      <a:outerShdw blurRad="292100" dist="139700" dir="2700000" algn="tl" rotWithShape="0">
                        <a:srgbClr val="333333">
                          <a:alpha val="65000"/>
                        </a:srgbClr>
                      </a:outerShdw>
                    </a:effectLst>
                  </pic:spPr>
                </pic:pic>
              </a:graphicData>
            </a:graphic>
          </wp:inline>
        </w:drawing>
      </w:r>
    </w:p>
    <w:p w14:paraId="15C11223">
      <w:pPr>
        <w:ind w:left="0"/>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p>
    <w:p w14:paraId="29311B11">
      <w:pPr>
        <w:jc w:val="both"/>
        <w:rPr>
          <w:rFonts w:ascii="Times New Roman" w:hAnsi="Times New Roman" w:eastAsia="Times New Roman" w:cs="Times New Roman"/>
          <w:b/>
          <w:bCs/>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2E787CE">
      <w:pPr>
        <w:pStyle w:val="35"/>
        <w:numPr>
          <w:ilvl w:val="0"/>
          <w:numId w:val="7"/>
        </w:num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LOCKHEED MARTIN CYBER KILL CHAIN:</w:t>
      </w:r>
    </w:p>
    <w:p w14:paraId="67A1C005">
      <w:pPr>
        <w:pStyle w:val="35"/>
        <w:numPr>
          <w:ilvl w:val="0"/>
          <w:numId w:val="9"/>
        </w:num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Mainly Used in United States.</w:t>
      </w:r>
    </w:p>
    <w:p w14:paraId="2CCE56E5">
      <w:pPr>
        <w:jc w:val="both"/>
      </w:pPr>
      <w:r>
        <w:drawing>
          <wp:inline distT="0" distB="0" distL="114300" distR="114300">
            <wp:extent cx="5943600" cy="3150870"/>
            <wp:effectExtent l="152400" t="152400" r="342900" b="335280"/>
            <wp:docPr id="1003994884" name="Picture 100399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94884" name="Picture 1003994884"/>
                    <pic:cNvPicPr>
                      <a:picLocks noChangeAspect="1"/>
                    </pic:cNvPicPr>
                  </pic:nvPicPr>
                  <pic:blipFill>
                    <a:blip r:embed="rId9">
                      <a:extLst>
                        <a:ext uri="{28A0092B-C50C-407E-A947-70E740481C1C}">
                          <a14:useLocalDpi xmlns:a14="http://schemas.microsoft.com/office/drawing/2010/main" val="0"/>
                        </a:ext>
                      </a:extLst>
                    </a:blip>
                    <a:srcRect t="16265" b="3012"/>
                    <a:stretch>
                      <a:fillRect/>
                    </a:stretch>
                  </pic:blipFill>
                  <pic:spPr>
                    <a:xfrm>
                      <a:off x="0" y="0"/>
                      <a:ext cx="5943600" cy="3150993"/>
                    </a:xfrm>
                    <a:prstGeom prst="rect">
                      <a:avLst/>
                    </a:prstGeom>
                    <a:ln>
                      <a:noFill/>
                    </a:ln>
                    <a:effectLst>
                      <a:outerShdw blurRad="292100" dist="139700" dir="2700000" algn="tl" rotWithShape="0">
                        <a:srgbClr val="333333">
                          <a:alpha val="65000"/>
                        </a:srgbClr>
                      </a:outerShdw>
                    </a:effectLst>
                  </pic:spPr>
                </pic:pic>
              </a:graphicData>
            </a:graphic>
          </wp:inline>
        </w:drawing>
      </w:r>
    </w:p>
    <w:p w14:paraId="6BA2C6F7">
      <w:pPr>
        <w:ind w:left="72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998D85F">
      <w:pPr>
        <w:ind w:left="0"/>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583F552">
      <w:pPr>
        <w:jc w:val="both"/>
        <w:rPr>
          <w:rFonts w:ascii="Times New Roman" w:hAnsi="Times New Roman" w:eastAsia="Times New Roman" w:cs="Times New Roman"/>
          <w:b w:val="0"/>
          <w:bCs w:val="0"/>
          <w:i w:val="0"/>
          <w:iCs w:val="0"/>
          <w:caps w:val="0"/>
          <w:smallCaps w:val="0"/>
          <w:strike w:val="0"/>
          <w:dstrike w:val="0"/>
          <w:color w:val="000000" w:themeColor="text1" w:themeTint="FF"/>
          <w:sz w:val="28"/>
          <w:szCs w:val="28"/>
          <w:u w:val="none"/>
          <w:lang w:val="en-US"/>
          <w14:textFill>
            <w14:solidFill>
              <w14:schemeClr w14:val="tx1">
                <w14:lumMod w14:val="100000"/>
                <w14:lumOff w14:val="0"/>
              </w14:schemeClr>
            </w14:solidFill>
          </w14:textFill>
        </w:rPr>
      </w:pPr>
    </w:p>
    <w:p w14:paraId="2618C76F">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A710B24">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F3FF797">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008C2ED">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B244517">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E902854">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7FBEC229">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2B53A8C">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965E1CA">
      <w:pPr>
        <w:pStyle w:val="35"/>
        <w:numPr>
          <w:ilvl w:val="0"/>
          <w:numId w:val="7"/>
        </w:num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32"/>
          <w:szCs w:val="32"/>
          <w:lang w:val="en-US"/>
          <w14:textFill>
            <w14:solidFill>
              <w14:schemeClr w14:val="tx1">
                <w14:lumMod w14:val="100000"/>
                <w14:lumOff w14:val="0"/>
              </w14:schemeClr>
            </w14:solidFill>
          </w14:textFill>
        </w:rPr>
        <w:t>DIAMOND MODEL OF INTRUSION ANALYSIS:</w:t>
      </w:r>
    </w:p>
    <w:p w14:paraId="47BD1506">
      <w:pPr>
        <w:pStyle w:val="35"/>
        <w:numPr>
          <w:ilvl w:val="0"/>
          <w:numId w:val="10"/>
        </w:numPr>
        <w:jc w:val="both"/>
        <w:rPr>
          <w:rFonts w:ascii="Times New Roman" w:hAnsi="Times New Roman" w:eastAsia="Times New Roman" w:cs="Times New Roman"/>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val="0"/>
          <w:bCs w:val="0"/>
          <w:i w:val="0"/>
          <w:iCs w:val="0"/>
          <w:caps w:val="0"/>
          <w:smallCaps w:val="0"/>
          <w:color w:val="000000" w:themeColor="text1" w:themeTint="FF"/>
          <w:sz w:val="28"/>
          <w:szCs w:val="28"/>
          <w:lang w:val="en-US"/>
          <w14:textFill>
            <w14:solidFill>
              <w14:schemeClr w14:val="tx1">
                <w14:lumMod w14:val="100000"/>
                <w14:lumOff w14:val="0"/>
              </w14:schemeClr>
            </w14:solidFill>
          </w14:textFill>
        </w:rPr>
        <w:t>Mainly used in United State.</w:t>
      </w:r>
    </w:p>
    <w:p w14:paraId="62DCE4BB">
      <w:pPr>
        <w:jc w:val="both"/>
      </w:pPr>
      <w:r>
        <w:drawing>
          <wp:inline distT="0" distB="0" distL="114300" distR="114300">
            <wp:extent cx="5943600" cy="4836795"/>
            <wp:effectExtent l="152400" t="152400" r="342900" b="344805"/>
            <wp:docPr id="1504983606" name="Picture 1504983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83606" name="Picture 1504983606"/>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4836877"/>
                    </a:xfrm>
                    <a:prstGeom prst="rect">
                      <a:avLst/>
                    </a:prstGeom>
                    <a:ln>
                      <a:noFill/>
                    </a:ln>
                    <a:effectLst>
                      <a:outerShdw blurRad="292100" dist="139700" dir="2700000" algn="tl" rotWithShape="0">
                        <a:srgbClr val="333333">
                          <a:alpha val="65000"/>
                        </a:srgbClr>
                      </a:outerShdw>
                    </a:effectLst>
                  </pic:spPr>
                </pic:pic>
              </a:graphicData>
            </a:graphic>
          </wp:inline>
        </w:drawing>
      </w:r>
    </w:p>
    <w:p w14:paraId="1FC9A541">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0B9BE2B">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3686BF4">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82031B0">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D8C5948">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BE2F6B1">
      <w:p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CTI TOOLS:</w:t>
      </w:r>
    </w:p>
    <w:p w14:paraId="5AF69082">
      <w:pPr>
        <w:pStyle w:val="35"/>
        <w:numPr>
          <w:ilvl w:val="0"/>
          <w:numId w:val="11"/>
        </w:numPr>
        <w:jc w:val="both"/>
        <w:rPr>
          <w:rFonts w:ascii="Times New Roman" w:hAnsi="Times New Roman" w:eastAsia="Times New Roman" w:cs="Times New Roman"/>
          <w:b/>
          <w:bCs/>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Malware Information Sharing Platform (MISP):</w:t>
      </w:r>
    </w:p>
    <w:p w14:paraId="711E5E97">
      <w:pPr>
        <w:ind w:left="0"/>
        <w:jc w:val="both"/>
      </w:pPr>
      <w:r>
        <w:drawing>
          <wp:inline distT="0" distB="0" distL="114300" distR="114300">
            <wp:extent cx="5943600" cy="4498975"/>
            <wp:effectExtent l="152400" t="152400" r="342900" b="339725"/>
            <wp:docPr id="930285638" name="Picture 93028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5638" name="Picture 930285638"/>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4499194"/>
                    </a:xfrm>
                    <a:prstGeom prst="rect">
                      <a:avLst/>
                    </a:prstGeom>
                    <a:ln>
                      <a:noFill/>
                    </a:ln>
                    <a:effectLst>
                      <a:outerShdw blurRad="292100" dist="139700" dir="2700000" algn="tl" rotWithShape="0">
                        <a:srgbClr val="333333">
                          <a:alpha val="65000"/>
                        </a:srgbClr>
                      </a:outerShdw>
                    </a:effectLst>
                  </pic:spPr>
                </pic:pic>
              </a:graphicData>
            </a:graphic>
          </wp:inline>
        </w:drawing>
      </w:r>
    </w:p>
    <w:p w14:paraId="358D2370">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E8B9BA3">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33325F58">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4091965">
      <w:pPr>
        <w:tabs>
          <w:tab w:val="left" w:pos="743"/>
        </w:tabs>
        <w:spacing w:before="197" w:after="0" w:line="276" w:lineRule="auto"/>
        <w:ind w:left="23" w:right="27" w:firstLine="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47C19CE">
      <w:pPr>
        <w:tabs>
          <w:tab w:val="left" w:pos="743"/>
        </w:tabs>
        <w:spacing w:before="197" w:after="0" w:line="276" w:lineRule="auto"/>
        <w:ind w:left="23" w:right="27" w:firstLine="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5587AC8">
      <w:pPr>
        <w:tabs>
          <w:tab w:val="left" w:pos="743"/>
        </w:tabs>
        <w:spacing w:before="197" w:after="0" w:line="276" w:lineRule="auto"/>
        <w:ind w:left="23" w:right="27" w:firstLine="0"/>
        <w:jc w:val="left"/>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B4F9F4B">
      <w:pPr>
        <w:pStyle w:val="35"/>
        <w:numPr>
          <w:ilvl w:val="0"/>
          <w:numId w:val="11"/>
        </w:numPr>
        <w:tabs>
          <w:tab w:val="left" w:pos="743"/>
        </w:tabs>
        <w:spacing w:before="197" w:after="0" w:line="276" w:lineRule="auto"/>
        <w:ind w:right="27"/>
        <w:jc w:val="left"/>
        <w:rPr>
          <w:rFonts w:ascii="Times New Roman" w:hAnsi="Times New Roman" w:eastAsia="Times New Roman" w:cs="Times New Roman"/>
          <w:b/>
          <w:bCs/>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color w:val="000000" w:themeColor="text1" w:themeTint="FF"/>
          <w:sz w:val="28"/>
          <w:szCs w:val="28"/>
          <w:lang w:val="en-US"/>
          <w14:textFill>
            <w14:solidFill>
              <w14:schemeClr w14:val="tx1">
                <w14:lumMod w14:val="100000"/>
                <w14:lumOff w14:val="0"/>
              </w14:schemeClr>
            </w14:solidFill>
          </w14:textFill>
        </w:rPr>
        <w:t>Cortex XSOAR:</w:t>
      </w:r>
    </w:p>
    <w:p w14:paraId="326B7EF4">
      <w:pPr>
        <w:tabs>
          <w:tab w:val="left" w:pos="743"/>
        </w:tabs>
        <w:spacing w:before="197" w:after="0" w:line="276" w:lineRule="auto"/>
        <w:ind w:left="23" w:right="27"/>
        <w:jc w:val="left"/>
      </w:pPr>
      <w:r>
        <w:drawing>
          <wp:inline distT="0" distB="0" distL="114300" distR="114300">
            <wp:extent cx="5943600" cy="4212590"/>
            <wp:effectExtent l="152400" t="152400" r="342900" b="340360"/>
            <wp:docPr id="1421786023" name="Picture 1421786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86023" name="Picture 1421786023"/>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5943600" cy="4212753"/>
                    </a:xfrm>
                    <a:prstGeom prst="rect">
                      <a:avLst/>
                    </a:prstGeom>
                    <a:ln>
                      <a:noFill/>
                    </a:ln>
                    <a:effectLst>
                      <a:outerShdw blurRad="292100" dist="139700" dir="2700000" algn="tl" rotWithShape="0">
                        <a:srgbClr val="333333">
                          <a:alpha val="65000"/>
                        </a:srgbClr>
                      </a:outerShdw>
                    </a:effectLst>
                  </pic:spPr>
                </pic:pic>
              </a:graphicData>
            </a:graphic>
          </wp:inline>
        </w:drawing>
      </w:r>
    </w:p>
    <w:p w14:paraId="7789F25C">
      <w:pPr>
        <w:spacing w:before="205" w:line="276" w:lineRule="auto"/>
        <w:ind w:left="23" w:right="21"/>
        <w:jc w:val="both"/>
        <w:rPr>
          <w:rFonts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pPr>
    </w:p>
    <w:p w14:paraId="5D6233B2">
      <w:pPr>
        <w:spacing w:before="205" w:line="276" w:lineRule="auto"/>
        <w:ind w:left="23" w:right="21"/>
        <w:jc w:val="both"/>
        <w:rPr>
          <w:rFonts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pPr>
      <w:r>
        <w:rPr>
          <w:rFonts w:ascii="Times New Roman" w:hAnsi="Times New Roman" w:eastAsia="Times New Roman" w:cs="Times New Roman"/>
          <w:color w:val="000000" w:themeColor="text1" w:themeTint="FF"/>
          <w:sz w:val="24"/>
          <w:szCs w:val="24"/>
          <w:lang w:val="en-US"/>
          <w14:textFill>
            <w14:solidFill>
              <w14:schemeClr w14:val="tx1">
                <w14:lumMod w14:val="100000"/>
                <w14:lumOff w14:val="0"/>
              </w14:schemeClr>
            </w14:solidFill>
          </w14:textFill>
        </w:rPr>
        <w:t xml:space="preserve"> </w:t>
      </w:r>
    </w:p>
    <w:p w14:paraId="5643BA0C">
      <w:pPr>
        <w:spacing w:before="205" w:line="276" w:lineRule="auto"/>
        <w:ind w:left="23" w:right="21"/>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1FBC18B">
      <w:pPr>
        <w:spacing w:before="205" w:line="276" w:lineRule="auto"/>
        <w:ind w:left="23" w:right="21"/>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72BF7CD">
      <w:pPr>
        <w:spacing w:before="205" w:line="276" w:lineRule="auto"/>
        <w:ind w:left="23" w:right="21"/>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AB57B23">
      <w:pPr>
        <w:spacing w:before="205" w:line="276" w:lineRule="auto"/>
        <w:ind w:left="23" w:right="21"/>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4FE1BFF">
      <w:pPr>
        <w:pStyle w:val="35"/>
        <w:numPr>
          <w:ilvl w:val="0"/>
          <w:numId w:val="11"/>
        </w:numPr>
        <w:spacing w:before="205" w:line="276" w:lineRule="auto"/>
        <w:ind w:right="21"/>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POLARITY BY THREAT CONNECT:</w:t>
      </w:r>
    </w:p>
    <w:p w14:paraId="4B20C6A6">
      <w:pPr>
        <w:spacing w:before="205" w:line="276" w:lineRule="auto"/>
        <w:ind w:right="21"/>
        <w:jc w:val="both"/>
      </w:pPr>
      <w:r>
        <w:drawing>
          <wp:inline distT="0" distB="0" distL="114300" distR="114300">
            <wp:extent cx="5943600" cy="4786630"/>
            <wp:effectExtent l="152400" t="152400" r="342900" b="337820"/>
            <wp:docPr id="744741324" name="Picture 744741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41324" name="Picture 744741324"/>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5943600" cy="4786760"/>
                    </a:xfrm>
                    <a:prstGeom prst="rect">
                      <a:avLst/>
                    </a:prstGeom>
                    <a:ln>
                      <a:noFill/>
                    </a:ln>
                    <a:effectLst>
                      <a:outerShdw blurRad="292100" dist="139700" dir="2700000" algn="tl" rotWithShape="0">
                        <a:srgbClr val="333333">
                          <a:alpha val="65000"/>
                        </a:srgbClr>
                      </a:outerShdw>
                    </a:effectLst>
                  </pic:spPr>
                </pic:pic>
              </a:graphicData>
            </a:graphic>
          </wp:inline>
        </w:drawing>
      </w:r>
    </w:p>
    <w:p w14:paraId="763F7D00">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69B34E66">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00667C66">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2AA69A99">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501426C7">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43486A06">
      <w:pPr>
        <w:jc w:val="both"/>
        <w:rPr>
          <w:rFonts w:ascii="Times New Roman" w:hAnsi="Times New Roman" w:eastAsia="Times New Roman" w:cs="Times New Roman"/>
          <w:b w:val="0"/>
          <w:bCs w:val="0"/>
          <w:i w:val="0"/>
          <w:iCs w:val="0"/>
          <w:caps w:val="0"/>
          <w:smallCaps w:val="0"/>
          <w:color w:val="000000" w:themeColor="text1" w:themeTint="FF"/>
          <w:sz w:val="24"/>
          <w:szCs w:val="24"/>
          <w:lang w:val="en-US"/>
          <w14:textFill>
            <w14:solidFill>
              <w14:schemeClr w14:val="tx1">
                <w14:lumMod w14:val="100000"/>
                <w14:lumOff w14:val="0"/>
              </w14:schemeClr>
            </w14:solidFill>
          </w14:textFill>
        </w:rPr>
      </w:pPr>
    </w:p>
    <w:p w14:paraId="168D3647">
      <w:pPr>
        <w:pStyle w:val="35"/>
        <w:numPr>
          <w:ilvl w:val="0"/>
          <w:numId w:val="11"/>
        </w:numPr>
        <w:jc w:val="both"/>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pPr>
      <w:r>
        <w:rPr>
          <w:rFonts w:ascii="Times New Roman" w:hAnsi="Times New Roman" w:eastAsia="Times New Roman" w:cs="Times New Roman"/>
          <w:b/>
          <w:bCs/>
          <w:i w:val="0"/>
          <w:iCs w:val="0"/>
          <w:caps w:val="0"/>
          <w:smallCaps w:val="0"/>
          <w:color w:val="000000" w:themeColor="text1" w:themeTint="FF"/>
          <w:sz w:val="28"/>
          <w:szCs w:val="28"/>
          <w:lang w:val="en-US"/>
          <w14:textFill>
            <w14:solidFill>
              <w14:schemeClr w14:val="tx1">
                <w14:lumMod w14:val="100000"/>
                <w14:lumOff w14:val="0"/>
              </w14:schemeClr>
            </w14:solidFill>
          </w14:textFill>
        </w:rPr>
        <w:t>OPENDXL BY McAfee:</w:t>
      </w:r>
    </w:p>
    <w:p w14:paraId="41911F49">
      <w:pPr>
        <w:ind w:left="0"/>
        <w:jc w:val="both"/>
      </w:pPr>
      <w:r>
        <w:drawing>
          <wp:inline distT="0" distB="0" distL="114300" distR="114300">
            <wp:extent cx="5943600" cy="4803775"/>
            <wp:effectExtent l="152400" t="152400" r="342900" b="339725"/>
            <wp:docPr id="222683660" name="Picture 222683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683660" name="Picture 222683660"/>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943600" cy="4803966"/>
                    </a:xfrm>
                    <a:prstGeom prst="rect">
                      <a:avLst/>
                    </a:prstGeom>
                    <a:ln>
                      <a:noFill/>
                    </a:ln>
                    <a:effectLst>
                      <a:outerShdw blurRad="292100" dist="139700" dir="2700000" algn="tl" rotWithShape="0">
                        <a:srgbClr val="333333">
                          <a:alpha val="65000"/>
                        </a:srgbClr>
                      </a:outerShdw>
                    </a:effectLst>
                  </pic:spPr>
                </pic:pic>
              </a:graphicData>
            </a:graphic>
          </wp:inline>
        </w:drawing>
      </w:r>
    </w:p>
    <w:p w14:paraId="2A1237F9">
      <w:pPr>
        <w:ind w:left="0"/>
        <w:jc w:val="both"/>
      </w:pPr>
    </w:p>
    <w:p w14:paraId="0ADC12EA">
      <w:pPr>
        <w:ind w:left="0"/>
        <w:jc w:val="both"/>
      </w:pPr>
    </w:p>
    <w:p w14:paraId="56FAA23B">
      <w:pPr>
        <w:ind w:left="0"/>
        <w:jc w:val="both"/>
      </w:pPr>
    </w:p>
    <w:p w14:paraId="640782AF">
      <w:pPr>
        <w:ind w:left="0"/>
        <w:jc w:val="both"/>
      </w:pPr>
    </w:p>
    <w:p w14:paraId="78CC7D00">
      <w:pPr>
        <w:ind w:left="0"/>
        <w:jc w:val="both"/>
      </w:pPr>
    </w:p>
    <w:p w14:paraId="04A9AB73">
      <w:pPr>
        <w:ind w:left="0"/>
        <w:jc w:val="both"/>
      </w:pPr>
    </w:p>
    <w:p w14:paraId="06BD9615">
      <w:pPr>
        <w:pStyle w:val="35"/>
        <w:numPr>
          <w:ilvl w:val="0"/>
          <w:numId w:val="11"/>
        </w:numPr>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VIRUS TOTAL:</w:t>
      </w:r>
    </w:p>
    <w:p w14:paraId="3219B7A5">
      <w:pPr>
        <w:ind w:left="0"/>
        <w:jc w:val="both"/>
      </w:pPr>
    </w:p>
    <w:p w14:paraId="3A5E8457">
      <w:pPr>
        <w:ind w:left="0"/>
        <w:jc w:val="both"/>
      </w:pPr>
      <w:r>
        <w:drawing>
          <wp:inline distT="0" distB="0" distL="114300" distR="114300">
            <wp:extent cx="5943600" cy="4408170"/>
            <wp:effectExtent l="152400" t="152400" r="342900" b="335280"/>
            <wp:docPr id="1470416428" name="Picture 1470416428"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16428" name="Picture 1470416428" title="Inserting image..."/>
                    <pic:cNvPicPr>
                      <a:picLocks noChangeAspect="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4408219"/>
                    </a:xfrm>
                    <a:prstGeom prst="rect">
                      <a:avLst/>
                    </a:prstGeom>
                    <a:ln>
                      <a:noFill/>
                    </a:ln>
                    <a:effectLst>
                      <a:outerShdw blurRad="292100" dist="139700" dir="2700000" algn="tl" rotWithShape="0">
                        <a:srgbClr val="333333">
                          <a:alpha val="65000"/>
                        </a:srgbClr>
                      </a:outerShdw>
                    </a:effectLst>
                  </pic:spPr>
                </pic:pic>
              </a:graphicData>
            </a:graphic>
          </wp:inline>
        </w:drawing>
      </w:r>
    </w:p>
    <w:p w14:paraId="0E749F11">
      <w:pPr>
        <w:ind w:left="0"/>
        <w:jc w:val="both"/>
      </w:pPr>
    </w:p>
    <w:p w14:paraId="1D6EA2DD">
      <w:pPr>
        <w:ind w:left="0"/>
        <w:jc w:val="both"/>
        <w:rPr>
          <w:b/>
          <w:bCs/>
          <w:sz w:val="28"/>
          <w:szCs w:val="28"/>
        </w:rPr>
      </w:pPr>
    </w:p>
    <w:p w14:paraId="4D6FDE02">
      <w:pPr>
        <w:ind w:left="0"/>
        <w:jc w:val="both"/>
        <w:rPr>
          <w:b/>
          <w:bCs/>
          <w:sz w:val="28"/>
          <w:szCs w:val="28"/>
        </w:rPr>
      </w:pPr>
    </w:p>
    <w:p w14:paraId="4FAA908C">
      <w:pPr>
        <w:ind w:left="0"/>
        <w:jc w:val="both"/>
        <w:rPr>
          <w:b/>
          <w:bCs/>
          <w:sz w:val="28"/>
          <w:szCs w:val="28"/>
        </w:rPr>
      </w:pPr>
    </w:p>
    <w:p w14:paraId="6A575446">
      <w:pPr>
        <w:ind w:left="0"/>
        <w:jc w:val="both"/>
        <w:rPr>
          <w:b/>
          <w:bCs/>
          <w:sz w:val="28"/>
          <w:szCs w:val="28"/>
        </w:rPr>
      </w:pPr>
    </w:p>
    <w:p w14:paraId="6C5A028D">
      <w:pPr>
        <w:ind w:left="0"/>
        <w:jc w:val="both"/>
        <w:rPr>
          <w:b/>
          <w:bCs/>
          <w:sz w:val="28"/>
          <w:szCs w:val="28"/>
        </w:rPr>
      </w:pPr>
    </w:p>
    <w:p w14:paraId="461B5920">
      <w:pPr>
        <w:ind w:left="0"/>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TECHNIQUES OF CTI:</w:t>
      </w:r>
    </w:p>
    <w:p w14:paraId="5F888AAC">
      <w:pPr>
        <w:pStyle w:val="35"/>
        <w:numPr>
          <w:ilvl w:val="0"/>
          <w:numId w:val="12"/>
        </w:numPr>
        <w:jc w:val="both"/>
        <w:rPr>
          <w:rFonts w:ascii="Times New Roman" w:hAnsi="Times New Roman" w:eastAsia="Times New Roman" w:cs="Times New Roman"/>
          <w:sz w:val="22"/>
          <w:szCs w:val="22"/>
          <w:lang w:val="en-US"/>
        </w:rPr>
      </w:pPr>
      <w:r>
        <w:rPr>
          <w:rFonts w:ascii="Times New Roman" w:hAnsi="Times New Roman" w:eastAsia="Times New Roman" w:cs="Times New Roman"/>
          <w:sz w:val="24"/>
          <w:szCs w:val="24"/>
          <w:lang w:val="en-US"/>
        </w:rPr>
        <w:t>Indicator of Compromise (IOC) Analysis</w:t>
      </w:r>
    </w:p>
    <w:p w14:paraId="584B7AFB">
      <w:pPr>
        <w:pStyle w:val="35"/>
        <w:numPr>
          <w:ilvl w:val="0"/>
          <w:numId w:val="12"/>
        </w:numPr>
        <w:jc w:val="both"/>
        <w:rPr>
          <w:rFonts w:ascii="Times New Roman" w:hAnsi="Times New Roman" w:eastAsia="Times New Roman" w:cs="Times New Roman"/>
          <w:lang w:val="en-US"/>
        </w:rPr>
      </w:pPr>
      <w:r>
        <w:rPr>
          <w:rFonts w:ascii="Times New Roman" w:hAnsi="Times New Roman" w:eastAsia="Times New Roman" w:cs="Times New Roman"/>
          <w:lang w:val="en-US"/>
        </w:rPr>
        <w:t>Tactics, Techniques, and Procedures (TTP) Analysis</w:t>
      </w:r>
    </w:p>
    <w:p w14:paraId="3D91B6EE">
      <w:pPr>
        <w:pStyle w:val="35"/>
        <w:numPr>
          <w:ilvl w:val="0"/>
          <w:numId w:val="12"/>
        </w:numPr>
        <w:jc w:val="both"/>
        <w:rPr>
          <w:rFonts w:ascii="Times New Roman" w:hAnsi="Times New Roman" w:eastAsia="Times New Roman" w:cs="Times New Roman"/>
          <w:lang w:val="en-US"/>
        </w:rPr>
      </w:pPr>
      <w:r>
        <w:rPr>
          <w:rFonts w:ascii="Times New Roman" w:hAnsi="Times New Roman" w:eastAsia="Times New Roman" w:cs="Times New Roman"/>
          <w:lang w:val="en-US"/>
        </w:rPr>
        <w:t>Threat Hunting</w:t>
      </w:r>
    </w:p>
    <w:p w14:paraId="0DF2850F">
      <w:pPr>
        <w:pStyle w:val="35"/>
        <w:numPr>
          <w:ilvl w:val="0"/>
          <w:numId w:val="12"/>
        </w:numPr>
        <w:jc w:val="both"/>
        <w:rPr>
          <w:rFonts w:ascii="Times New Roman" w:hAnsi="Times New Roman" w:eastAsia="Times New Roman" w:cs="Times New Roman"/>
          <w:lang w:val="en-US"/>
        </w:rPr>
      </w:pPr>
      <w:r>
        <w:rPr>
          <w:rFonts w:ascii="Times New Roman" w:hAnsi="Times New Roman" w:eastAsia="Times New Roman" w:cs="Times New Roman"/>
          <w:lang w:val="en-US"/>
        </w:rPr>
        <w:t>Phishing Campaign Analysis</w:t>
      </w:r>
    </w:p>
    <w:p w14:paraId="7375598D">
      <w:pPr>
        <w:pStyle w:val="35"/>
        <w:numPr>
          <w:ilvl w:val="0"/>
          <w:numId w:val="12"/>
        </w:numPr>
        <w:jc w:val="both"/>
        <w:rPr>
          <w:rFonts w:ascii="Times New Roman" w:hAnsi="Times New Roman" w:eastAsia="Times New Roman" w:cs="Times New Roman"/>
          <w:lang w:val="en-US"/>
        </w:rPr>
      </w:pPr>
      <w:r>
        <w:rPr>
          <w:rFonts w:ascii="Times New Roman" w:hAnsi="Times New Roman" w:eastAsia="Times New Roman" w:cs="Times New Roman"/>
          <w:lang w:val="en-US"/>
        </w:rPr>
        <w:t>Attribution Analysis</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3360"/>
      <w:gridCol w:w="3360"/>
      <w:gridCol w:w="3360"/>
    </w:tblGrid>
    <w:tr w14:paraId="678AA7E4">
      <w:tblPrEx>
        <w:tblCellMar>
          <w:top w:w="0" w:type="dxa"/>
          <w:left w:w="108" w:type="dxa"/>
          <w:bottom w:w="0" w:type="dxa"/>
          <w:right w:w="108" w:type="dxa"/>
        </w:tblCellMar>
      </w:tblPrEx>
      <w:trPr>
        <w:trHeight w:val="300" w:hRule="atLeast"/>
      </w:trPr>
      <w:tc>
        <w:tcPr>
          <w:tcW w:w="3360" w:type="dxa"/>
        </w:tcPr>
        <w:p w14:paraId="2AB2FAA3">
          <w:pPr>
            <w:pStyle w:val="14"/>
            <w:bidi w:val="0"/>
            <w:ind w:left="-115"/>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Punit Soni</w:t>
          </w:r>
        </w:p>
      </w:tc>
      <w:tc>
        <w:tcPr>
          <w:tcW w:w="3360" w:type="dxa"/>
        </w:tcPr>
        <w:p w14:paraId="37A9ED9A">
          <w:pPr>
            <w:pStyle w:val="14"/>
            <w:bidi w:val="0"/>
            <w:jc w:val="center"/>
            <w:rPr>
              <w:rFonts w:ascii="Times New Roman" w:hAnsi="Times New Roman" w:eastAsia="Times New Roman" w:cs="Times New Roman"/>
              <w:b/>
              <w:bCs/>
              <w:sz w:val="24"/>
              <w:szCs w:val="24"/>
            </w:rPr>
          </w:pPr>
        </w:p>
      </w:tc>
      <w:tc>
        <w:tcPr>
          <w:tcW w:w="3360" w:type="dxa"/>
        </w:tcPr>
        <w:p w14:paraId="4EBD7E85">
          <w:pPr>
            <w:pStyle w:val="14"/>
            <w:bidi w:val="0"/>
            <w:ind w:right="-115"/>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IU2454520053</w:t>
          </w:r>
        </w:p>
      </w:tc>
    </w:tr>
  </w:tbl>
  <w:p w14:paraId="73137984">
    <w:pPr>
      <w:pStyle w:val="13"/>
      <w:bidi w:val="0"/>
      <w:rPr>
        <w:rFonts w:ascii="Times New Roman" w:hAnsi="Times New Roman" w:eastAsia="Times New Roman" w:cs="Times New Roman"/>
        <w:b/>
        <w:bCs/>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0" w:type="auto"/>
      <w:tblInd w:w="0" w:type="dxa"/>
      <w:tblLayout w:type="fixed"/>
      <w:tblCellMar>
        <w:top w:w="0" w:type="dxa"/>
        <w:left w:w="108" w:type="dxa"/>
        <w:bottom w:w="0" w:type="dxa"/>
        <w:right w:w="108" w:type="dxa"/>
      </w:tblCellMar>
    </w:tblPr>
    <w:tblGrid>
      <w:gridCol w:w="4299"/>
      <w:gridCol w:w="2421"/>
      <w:gridCol w:w="3360"/>
    </w:tblGrid>
    <w:tr w14:paraId="103B411E">
      <w:tblPrEx>
        <w:tblCellMar>
          <w:top w:w="0" w:type="dxa"/>
          <w:left w:w="108" w:type="dxa"/>
          <w:bottom w:w="0" w:type="dxa"/>
          <w:right w:w="108" w:type="dxa"/>
        </w:tblCellMar>
      </w:tblPrEx>
      <w:trPr>
        <w:trHeight w:val="300" w:hRule="atLeast"/>
      </w:trPr>
      <w:tc>
        <w:tcPr>
          <w:tcW w:w="4299" w:type="dxa"/>
        </w:tcPr>
        <w:p w14:paraId="5A29EAC0">
          <w:pPr>
            <w:pStyle w:val="14"/>
            <w:bidi w:val="0"/>
            <w:ind w:left="-115"/>
            <w:jc w:val="lef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CYBER THREAT INTELLIGENCE &amp; INCIDENT RESPONCE</w:t>
          </w:r>
        </w:p>
      </w:tc>
      <w:tc>
        <w:tcPr>
          <w:tcW w:w="2421" w:type="dxa"/>
        </w:tcPr>
        <w:p w14:paraId="39B5C691">
          <w:pPr>
            <w:pStyle w:val="14"/>
            <w:bidi w:val="0"/>
            <w:jc w:val="center"/>
            <w:rPr>
              <w:rFonts w:ascii="Times New Roman" w:hAnsi="Times New Roman" w:eastAsia="Times New Roman" w:cs="Times New Roman"/>
              <w:b/>
              <w:bCs/>
              <w:sz w:val="24"/>
              <w:szCs w:val="24"/>
            </w:rPr>
          </w:pPr>
        </w:p>
      </w:tc>
      <w:tc>
        <w:tcPr>
          <w:tcW w:w="3360" w:type="dxa"/>
        </w:tcPr>
        <w:p w14:paraId="7E5E9041">
          <w:pPr>
            <w:pStyle w:val="14"/>
            <w:bidi w:val="0"/>
            <w:ind w:right="-115"/>
            <w:jc w:val="right"/>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MSCY0202</w:t>
          </w:r>
        </w:p>
      </w:tc>
    </w:tr>
  </w:tbl>
  <w:p w14:paraId="1324C487">
    <w:pPr>
      <w:pStyle w:val="14"/>
      <w:pBdr>
        <w:bottom w:val="single" w:color="000000" w:sz="8" w:space="5"/>
      </w:pBdr>
      <w:bidi w:val="0"/>
      <w:spacing w:before="0" w:beforeAutospacing="0" w:line="240" w:lineRule="auto"/>
      <w:jc w:val="left"/>
      <w:rPr>
        <w:rFonts w:ascii="Times New Roman" w:hAnsi="Times New Roman" w:eastAsia="Times New Roman" w:cs="Times New Roman"/>
        <w:b/>
        <w:bCs/>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191D34"/>
    <w:multiLevelType w:val="multilevel"/>
    <w:tmpl w:val="02191D3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1">
    <w:nsid w:val="0540C50A"/>
    <w:multiLevelType w:val="multilevel"/>
    <w:tmpl w:val="0540C50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DA2C7D5"/>
    <w:multiLevelType w:val="multilevel"/>
    <w:tmpl w:val="0DA2C7D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370D8D71"/>
    <w:multiLevelType w:val="multilevel"/>
    <w:tmpl w:val="370D8D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541F12D1"/>
    <w:multiLevelType w:val="multilevel"/>
    <w:tmpl w:val="541F12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A65407C"/>
    <w:multiLevelType w:val="multilevel"/>
    <w:tmpl w:val="5A65407C"/>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6">
    <w:nsid w:val="5E0973D0"/>
    <w:multiLevelType w:val="multilevel"/>
    <w:tmpl w:val="5E0973D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rPr>
    </w:lvl>
    <w:lvl w:ilvl="8" w:tentative="0">
      <w:start w:val="1"/>
      <w:numFmt w:val="bullet"/>
      <w:lvlText w:val=""/>
      <w:lvlJc w:val="left"/>
      <w:pPr>
        <w:ind w:left="6840" w:hanging="360"/>
      </w:pPr>
      <w:rPr>
        <w:rFonts w:hint="default" w:ascii="Wingdings" w:hAnsi="Wingdings"/>
      </w:rPr>
    </w:lvl>
  </w:abstractNum>
  <w:abstractNum w:abstractNumId="7">
    <w:nsid w:val="619597CC"/>
    <w:multiLevelType w:val="multilevel"/>
    <w:tmpl w:val="619597CC"/>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FCB9E0E"/>
    <w:multiLevelType w:val="multilevel"/>
    <w:tmpl w:val="6FCB9E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778D1162"/>
    <w:multiLevelType w:val="multilevel"/>
    <w:tmpl w:val="778D11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0">
    <w:nsid w:val="77C9BF2E"/>
    <w:multiLevelType w:val="multilevel"/>
    <w:tmpl w:val="77C9BF2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78D18461"/>
    <w:multiLevelType w:val="multilevel"/>
    <w:tmpl w:val="78D18461"/>
    <w:lvl w:ilvl="0" w:tentative="0">
      <w:start w:val="1"/>
      <w:numFmt w:val="decimal"/>
      <w:lvlText w:val="%1."/>
      <w:lvlJc w:val="left"/>
      <w:pPr>
        <w:ind w:left="743" w:hanging="360"/>
      </w:pPr>
      <w:rPr>
        <w:rFonts w:hint="default" w:ascii="Times New Roman" w:hAnsi="Times New Roma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4"/>
  </w:num>
  <w:num w:numId="2">
    <w:abstractNumId w:val="10"/>
  </w:num>
  <w:num w:numId="3">
    <w:abstractNumId w:val="8"/>
  </w:num>
  <w:num w:numId="4">
    <w:abstractNumId w:val="3"/>
  </w:num>
  <w:num w:numId="5">
    <w:abstractNumId w:val="9"/>
  </w:num>
  <w:num w:numId="6">
    <w:abstractNumId w:val="11"/>
  </w:num>
  <w:num w:numId="7">
    <w:abstractNumId w:val="7"/>
  </w:num>
  <w:num w:numId="8">
    <w:abstractNumId w:val="5"/>
  </w:num>
  <w:num w:numId="9">
    <w:abstractNumId w:val="6"/>
  </w:num>
  <w:num w:numId="10">
    <w:abstractNumId w:val="0"/>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C72AD1"/>
    <w:rsid w:val="00793430"/>
    <w:rsid w:val="00EB6BB2"/>
    <w:rsid w:val="01B017C8"/>
    <w:rsid w:val="0227D1DB"/>
    <w:rsid w:val="02B2301B"/>
    <w:rsid w:val="037D05C0"/>
    <w:rsid w:val="05C91FC9"/>
    <w:rsid w:val="0609727D"/>
    <w:rsid w:val="06DB69D6"/>
    <w:rsid w:val="08ACEFF2"/>
    <w:rsid w:val="08E3B4B7"/>
    <w:rsid w:val="098A6541"/>
    <w:rsid w:val="099D3D07"/>
    <w:rsid w:val="0ABE46B6"/>
    <w:rsid w:val="0AF142C5"/>
    <w:rsid w:val="0C10DA45"/>
    <w:rsid w:val="0C2C9BEC"/>
    <w:rsid w:val="0DF183CD"/>
    <w:rsid w:val="0F7352FD"/>
    <w:rsid w:val="102915C9"/>
    <w:rsid w:val="10E49C17"/>
    <w:rsid w:val="11E2A2ED"/>
    <w:rsid w:val="1258D1C2"/>
    <w:rsid w:val="12BABA76"/>
    <w:rsid w:val="1317355B"/>
    <w:rsid w:val="14125DB0"/>
    <w:rsid w:val="1520FD24"/>
    <w:rsid w:val="161A04C7"/>
    <w:rsid w:val="1672FC1C"/>
    <w:rsid w:val="168107C6"/>
    <w:rsid w:val="169A5D8B"/>
    <w:rsid w:val="19CE3FA7"/>
    <w:rsid w:val="1C63686A"/>
    <w:rsid w:val="1C70271F"/>
    <w:rsid w:val="1D44DC46"/>
    <w:rsid w:val="1DCF11EA"/>
    <w:rsid w:val="1E62BFCA"/>
    <w:rsid w:val="1FC5406A"/>
    <w:rsid w:val="1FD73959"/>
    <w:rsid w:val="20E87328"/>
    <w:rsid w:val="22DD3FC5"/>
    <w:rsid w:val="230D4882"/>
    <w:rsid w:val="253FD095"/>
    <w:rsid w:val="26C5D320"/>
    <w:rsid w:val="274383E2"/>
    <w:rsid w:val="299340F4"/>
    <w:rsid w:val="299B2D0A"/>
    <w:rsid w:val="2B4F6D16"/>
    <w:rsid w:val="2B63CC9D"/>
    <w:rsid w:val="2C2468A4"/>
    <w:rsid w:val="2D19F582"/>
    <w:rsid w:val="2E5C08F6"/>
    <w:rsid w:val="2F3B6823"/>
    <w:rsid w:val="2F9271EF"/>
    <w:rsid w:val="314555F9"/>
    <w:rsid w:val="32E72BF9"/>
    <w:rsid w:val="33911F8F"/>
    <w:rsid w:val="341624AD"/>
    <w:rsid w:val="384FC24A"/>
    <w:rsid w:val="38EC2335"/>
    <w:rsid w:val="391DD1B1"/>
    <w:rsid w:val="3A77A5F2"/>
    <w:rsid w:val="3BC72AD1"/>
    <w:rsid w:val="3BCA90CF"/>
    <w:rsid w:val="3C24B643"/>
    <w:rsid w:val="3CB0D55D"/>
    <w:rsid w:val="3D7B01B9"/>
    <w:rsid w:val="3DC1AC9E"/>
    <w:rsid w:val="3F7813C9"/>
    <w:rsid w:val="3FC04622"/>
    <w:rsid w:val="4092E55B"/>
    <w:rsid w:val="40A6056F"/>
    <w:rsid w:val="40FDE9D2"/>
    <w:rsid w:val="41FD4EDC"/>
    <w:rsid w:val="425B75DE"/>
    <w:rsid w:val="427F0AFF"/>
    <w:rsid w:val="4314C521"/>
    <w:rsid w:val="43B2D04E"/>
    <w:rsid w:val="44E3B1E9"/>
    <w:rsid w:val="4525788D"/>
    <w:rsid w:val="4527F878"/>
    <w:rsid w:val="45C41BE5"/>
    <w:rsid w:val="45DF49C7"/>
    <w:rsid w:val="460E952F"/>
    <w:rsid w:val="469B6C90"/>
    <w:rsid w:val="478D4891"/>
    <w:rsid w:val="483D1DD8"/>
    <w:rsid w:val="4878A765"/>
    <w:rsid w:val="493C89B7"/>
    <w:rsid w:val="4A98DDB3"/>
    <w:rsid w:val="4B3C4305"/>
    <w:rsid w:val="4B90D0FF"/>
    <w:rsid w:val="4BD4875F"/>
    <w:rsid w:val="4DF35425"/>
    <w:rsid w:val="4E618A3B"/>
    <w:rsid w:val="4EB7F4FC"/>
    <w:rsid w:val="503174A1"/>
    <w:rsid w:val="507B3278"/>
    <w:rsid w:val="510B0E45"/>
    <w:rsid w:val="512A47C9"/>
    <w:rsid w:val="51BBA8C3"/>
    <w:rsid w:val="51C2BE86"/>
    <w:rsid w:val="526276C1"/>
    <w:rsid w:val="526E9B88"/>
    <w:rsid w:val="54B068DA"/>
    <w:rsid w:val="54F51934"/>
    <w:rsid w:val="55EFE02B"/>
    <w:rsid w:val="57619B92"/>
    <w:rsid w:val="57B664BE"/>
    <w:rsid w:val="593F9387"/>
    <w:rsid w:val="597606F5"/>
    <w:rsid w:val="5BCB9419"/>
    <w:rsid w:val="5C00DA9A"/>
    <w:rsid w:val="5C45A805"/>
    <w:rsid w:val="5D49FAA4"/>
    <w:rsid w:val="5DB07A65"/>
    <w:rsid w:val="5EE4A7D6"/>
    <w:rsid w:val="5F1DBF9A"/>
    <w:rsid w:val="612E9C44"/>
    <w:rsid w:val="619A065F"/>
    <w:rsid w:val="63571990"/>
    <w:rsid w:val="6384A926"/>
    <w:rsid w:val="66921DB6"/>
    <w:rsid w:val="670281C5"/>
    <w:rsid w:val="67F585BB"/>
    <w:rsid w:val="6AAE6655"/>
    <w:rsid w:val="6BD295BB"/>
    <w:rsid w:val="6D37B343"/>
    <w:rsid w:val="6D7BFC75"/>
    <w:rsid w:val="6EACDCC0"/>
    <w:rsid w:val="6EC5E44D"/>
    <w:rsid w:val="6ED1356A"/>
    <w:rsid w:val="6EE0534C"/>
    <w:rsid w:val="6EF09A48"/>
    <w:rsid w:val="6F01B2E5"/>
    <w:rsid w:val="6F35AE04"/>
    <w:rsid w:val="70DC7214"/>
    <w:rsid w:val="715E6375"/>
    <w:rsid w:val="72F118CA"/>
    <w:rsid w:val="757A362B"/>
    <w:rsid w:val="75BF7746"/>
    <w:rsid w:val="78B2AC8B"/>
    <w:rsid w:val="78BA6C26"/>
    <w:rsid w:val="7AD3F17D"/>
    <w:rsid w:val="7AFB2EB8"/>
    <w:rsid w:val="7EAE5112"/>
    <w:rsid w:val="7FCAB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unhideWhenUsed/>
    <w:qFormat/>
    <w:uiPriority w:val="99"/>
    <w:pPr>
      <w:tabs>
        <w:tab w:val="center" w:pos="4680"/>
        <w:tab w:val="right" w:pos="9360"/>
      </w:tabs>
      <w:spacing w:after="0" w:line="240" w:lineRule="auto"/>
    </w:pPr>
  </w:style>
  <w:style w:type="paragraph" w:styleId="14">
    <w:name w:val="header"/>
    <w:basedOn w:val="1"/>
    <w:unhideWhenUsed/>
    <w:qFormat/>
    <w:uiPriority w:val="99"/>
    <w:pPr>
      <w:tabs>
        <w:tab w:val="center" w:pos="4680"/>
        <w:tab w:val="right" w:pos="9360"/>
      </w:tabs>
      <w:spacing w:after="0" w:line="240" w:lineRule="auto"/>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uiPriority w:val="9"/>
    <w:rPr>
      <w:rFonts w:eastAsiaTheme="majorEastAsia" w:cstheme="majorBidi"/>
      <w:i/>
      <w:iCs/>
      <w:color w:val="104862" w:themeColor="accent1" w:themeShade="BF"/>
    </w:rPr>
  </w:style>
  <w:style w:type="character" w:customStyle="1" w:styleId="22">
    <w:name w:val="Heading 5 Char"/>
    <w:basedOn w:val="11"/>
    <w:link w:val="6"/>
    <w:qFormat/>
    <w:uiPriority w:val="9"/>
    <w:rPr>
      <w:rFonts w:eastAsiaTheme="majorEastAsia" w:cstheme="majorBidi"/>
      <w:color w:val="104862" w:themeColor="accent1" w:themeShade="BF"/>
    </w:rPr>
  </w:style>
  <w:style w:type="character" w:customStyle="1" w:styleId="23">
    <w:name w:val="Heading 6 Char"/>
    <w:basedOn w:val="11"/>
    <w:link w:val="7"/>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Intense Emphasis"/>
    <w:basedOn w:val="11"/>
    <w:qFormat/>
    <w:uiPriority w:val="21"/>
    <w:rPr>
      <w:i/>
      <w:iCs/>
      <w:color w:val="104862" w:themeColor="accent1" w:themeShade="BF"/>
    </w:rPr>
  </w:style>
  <w:style w:type="character" w:customStyle="1" w:styleId="30">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1">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paragraph" w:styleId="3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TotalTime>0</TotalTime>
  <ScaleCrop>false</ScaleCrop>
  <LinksUpToDate>false</LinksUpToDate>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2025-01-23T11:54:00Z</dcterms:created>
  <dc:creator>Punit Soni</dc:creator>
  <cp:lastModifiedBy>Punit Soni</cp:lastModifiedBy>
  <dcterms:modified xsi:type="dcterms:W3CDTF">2025-04-17T14:00:53Z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158AE7EFE5A84C0A8873200FBFC1D499_12</vt:lpwstr>
  </property>
</Properties>
</file>