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
        </w:numPr>
        <w:spacing w:after="0" w:afterAutospacing="0" w:before="480" w:lineRule="auto"/>
        <w:ind w:left="720" w:hanging="360"/>
      </w:pPr>
      <w:bookmarkStart w:colFirst="0" w:colLast="0" w:name="_7vf87cvlivax" w:id="0"/>
      <w:bookmarkEnd w:id="0"/>
      <w:r w:rsidDel="00000000" w:rsidR="00000000" w:rsidRPr="00000000">
        <w:rPr>
          <w:b w:val="1"/>
          <w:bCs w:val="1"/>
          <w:sz w:val="46"/>
          <w:szCs w:val="46"/>
          <w:rtl w:val="0"/>
        </w:rPr>
        <w:t xml:space="preserve">Algorithmic Methodology: The Computational Core of Lighthouse AI</w:t>
      </w:r>
    </w:p>
    <w:p w:rsidR="00000000" w:rsidDel="00000000" w:rsidP="00000000" w:rsidRDefault="00000000" w:rsidRPr="00000000" w14:paraId="00000002">
      <w:pPr>
        <w:numPr>
          <w:ilvl w:val="0"/>
          <w:numId w:val="1"/>
        </w:numPr>
        <w:spacing w:after="0" w:afterAutospacing="0" w:before="0" w:beforeAutospacing="0" w:lineRule="auto"/>
        <w:ind w:left="720" w:hanging="360"/>
      </w:pPr>
      <w:r w:rsidDel="00000000" w:rsidR="00000000" w:rsidRPr="00000000">
        <w:rPr>
          <w:rtl w:val="0"/>
        </w:rPr>
        <w:t xml:space="preserve">This section details the specific algorithmic frameworks and machine learning techniques employed within the Lighthouse AI pipeline. The system utilizes a </w:t>
      </w:r>
      <w:r w:rsidDel="00000000" w:rsidR="00000000" w:rsidRPr="00000000">
        <w:rPr>
          <w:b w:val="1"/>
          <w:bCs w:val="1"/>
          <w:rtl w:val="0"/>
        </w:rPr>
        <w:t xml:space="preserve">Neuro-Symbolic Architecture</w:t>
      </w:r>
      <w:r w:rsidDel="00000000" w:rsidR="00000000" w:rsidRPr="00000000">
        <w:rPr>
          <w:rtl w:val="0"/>
        </w:rPr>
        <w:t xml:space="preserve">, combining the statistical power of deep learning (for perception and generation) with the strict logic of symbolic systems (for rule verification and graph construction).</w:t>
      </w:r>
    </w:p>
    <w:p w:rsidR="00000000" w:rsidDel="00000000" w:rsidP="00000000" w:rsidRDefault="00000000" w:rsidRPr="00000000" w14:paraId="00000003">
      <w:pPr>
        <w:pStyle w:val="Heading3"/>
        <w:keepNext w:val="0"/>
        <w:keepLines w:val="0"/>
        <w:numPr>
          <w:ilvl w:val="0"/>
          <w:numId w:val="1"/>
        </w:numPr>
        <w:spacing w:after="0" w:afterAutospacing="0" w:before="0" w:beforeAutospacing="0" w:lineRule="auto"/>
        <w:ind w:left="720" w:hanging="360"/>
      </w:pPr>
      <w:bookmarkStart w:colFirst="0" w:colLast="0" w:name="_9nnb68bti7o" w:id="1"/>
      <w:bookmarkEnd w:id="1"/>
      <w:r w:rsidDel="00000000" w:rsidR="00000000" w:rsidRPr="00000000">
        <w:rPr>
          <w:b w:val="1"/>
          <w:bCs w:val="1"/>
          <w:color w:val="000000"/>
          <w:sz w:val="26"/>
          <w:szCs w:val="26"/>
          <w:rtl w:val="0"/>
        </w:rPr>
        <w:t xml:space="preserve">1. Computer Vision and Optical Character Recognition (Phase 1)</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The data ingestion layer relies on </w:t>
      </w:r>
      <w:r w:rsidDel="00000000" w:rsidR="00000000" w:rsidRPr="00000000">
        <w:rPr>
          <w:b w:val="1"/>
          <w:bCs w:val="1"/>
          <w:rtl w:val="0"/>
        </w:rPr>
        <w:t xml:space="preserve">Deep Learning-based Optical Character Recognition (OCR)</w:t>
      </w:r>
      <w:r w:rsidDel="00000000" w:rsidR="00000000" w:rsidRPr="00000000">
        <w:rPr>
          <w:rtl w:val="0"/>
        </w:rPr>
        <w:t xml:space="preserve"> algorithms to transform unstructured pixel data into machine-encoded text. We utilize a </w:t>
      </w:r>
      <w:r w:rsidDel="00000000" w:rsidR="00000000" w:rsidRPr="00000000">
        <w:rPr>
          <w:b w:val="1"/>
          <w:bCs w:val="1"/>
          <w:rtl w:val="0"/>
        </w:rPr>
        <w:t xml:space="preserve">Convolutional Recurrent Neural Network (CRNN)</w:t>
      </w:r>
      <w:r w:rsidDel="00000000" w:rsidR="00000000" w:rsidRPr="00000000">
        <w:rPr>
          <w:rtl w:val="0"/>
        </w:rPr>
        <w:t xml:space="preserve"> architecture. First, a </w:t>
      </w:r>
      <w:r w:rsidDel="00000000" w:rsidR="00000000" w:rsidRPr="00000000">
        <w:rPr>
          <w:b w:val="1"/>
          <w:bCs w:val="1"/>
          <w:rtl w:val="0"/>
        </w:rPr>
        <w:t xml:space="preserve">Convolutional Neural Network (CNN)</w:t>
      </w:r>
      <w:r w:rsidDel="00000000" w:rsidR="00000000" w:rsidRPr="00000000">
        <w:rPr>
          <w:rtl w:val="0"/>
        </w:rPr>
        <w:t xml:space="preserve"> acts as a feature extractor, scanning input images (denial letters) to identify low-level visual patterns such as strokes and curves. These feature maps are then fed into a </w:t>
      </w:r>
      <w:r w:rsidDel="00000000" w:rsidR="00000000" w:rsidRPr="00000000">
        <w:rPr>
          <w:b w:val="1"/>
          <w:bCs w:val="1"/>
          <w:rtl w:val="0"/>
        </w:rPr>
        <w:t xml:space="preserve">Recurrent Neural Network (RNN)</w:t>
      </w:r>
      <w:r w:rsidDel="00000000" w:rsidR="00000000" w:rsidRPr="00000000">
        <w:rPr>
          <w:rtl w:val="0"/>
        </w:rPr>
        <w:t xml:space="preserve">, specifically a </w:t>
      </w:r>
      <w:r w:rsidDel="00000000" w:rsidR="00000000" w:rsidRPr="00000000">
        <w:rPr>
          <w:b w:val="1"/>
          <w:bCs w:val="1"/>
          <w:rtl w:val="0"/>
        </w:rPr>
        <w:t xml:space="preserve">Long Short-Term Memory (LSTM)</w:t>
      </w:r>
      <w:r w:rsidDel="00000000" w:rsidR="00000000" w:rsidRPr="00000000">
        <w:rPr>
          <w:rtl w:val="0"/>
        </w:rPr>
        <w:t xml:space="preserve"> network, which processes the sequence of features to predict character sequences while retaining context. Finally, a </w:t>
      </w:r>
      <w:r w:rsidDel="00000000" w:rsidR="00000000" w:rsidRPr="00000000">
        <w:rPr>
          <w:b w:val="1"/>
          <w:bCs w:val="1"/>
          <w:rtl w:val="0"/>
        </w:rPr>
        <w:t xml:space="preserve">Connectionist Temporal Classification (CTC)</w:t>
      </w:r>
      <w:r w:rsidDel="00000000" w:rsidR="00000000" w:rsidRPr="00000000">
        <w:rPr>
          <w:rtl w:val="0"/>
        </w:rPr>
        <w:t xml:space="preserve"> loss function aligns the predicted character sequences with the ground truth, allowing the system to handle varying fonts and noisy scanning artifacts (e.g., skewed text or salt-and-pepper noise) robustly.</w:t>
      </w:r>
    </w:p>
    <w:p w:rsidR="00000000" w:rsidDel="00000000" w:rsidP="00000000" w:rsidRDefault="00000000" w:rsidRPr="00000000" w14:paraId="00000005">
      <w:pPr>
        <w:pStyle w:val="Heading3"/>
        <w:keepNext w:val="0"/>
        <w:keepLines w:val="0"/>
        <w:numPr>
          <w:ilvl w:val="0"/>
          <w:numId w:val="1"/>
        </w:numPr>
        <w:spacing w:after="0" w:afterAutospacing="0" w:before="0" w:beforeAutospacing="0" w:lineRule="auto"/>
        <w:ind w:left="720" w:hanging="360"/>
      </w:pPr>
      <w:bookmarkStart w:colFirst="0" w:colLast="0" w:name="_7eixw0m7u51e" w:id="2"/>
      <w:bookmarkEnd w:id="2"/>
      <w:r w:rsidDel="00000000" w:rsidR="00000000" w:rsidRPr="00000000">
        <w:rPr>
          <w:b w:val="1"/>
          <w:bCs w:val="1"/>
          <w:color w:val="000000"/>
          <w:sz w:val="26"/>
          <w:szCs w:val="26"/>
          <w:rtl w:val="0"/>
        </w:rPr>
        <w:t xml:space="preserve">2. Natural Language Understanding and Entity Extraction (Phase 2)</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For the Analyzer Agent, we employ </w:t>
      </w:r>
      <w:r w:rsidDel="00000000" w:rsidR="00000000" w:rsidRPr="00000000">
        <w:rPr>
          <w:b w:val="1"/>
          <w:bCs w:val="1"/>
          <w:rtl w:val="0"/>
        </w:rPr>
        <w:t xml:space="preserve">Transformer-based Named Entity Recognition (NER)</w:t>
      </w:r>
      <w:r w:rsidDel="00000000" w:rsidR="00000000" w:rsidRPr="00000000">
        <w:rPr>
          <w:rtl w:val="0"/>
        </w:rPr>
        <w:t xml:space="preserve">. Using a pre-trained language model (such as BERT or RoBERTa) fine-tuned on medical administrative datasets, the algorithm utilizes a multi-head self-attention mechanism to understand the contextual relationship between words. This allows it to distinguish between similar entities—for example, differentiating a "Denial Date" from a "Service Date." For categorizing the denial (e.g., Medical Necessity vs. Coding Error), we utilize </w:t>
      </w:r>
      <w:r w:rsidDel="00000000" w:rsidR="00000000" w:rsidRPr="00000000">
        <w:rPr>
          <w:b w:val="1"/>
          <w:bCs w:val="1"/>
          <w:rtl w:val="0"/>
        </w:rPr>
        <w:t xml:space="preserve">Zero-Shot Text Classification</w:t>
      </w:r>
      <w:r w:rsidDel="00000000" w:rsidR="00000000" w:rsidRPr="00000000">
        <w:rPr>
          <w:rtl w:val="0"/>
        </w:rPr>
        <w:t xml:space="preserve"> algorithms. This approach embeds the denial text and candidate labels into a shared high-dimensional vector space and calculates the probability of entailment, allowing the system to categorize denials it has never explicitly seen during training.</w:t>
      </w:r>
    </w:p>
    <w:p w:rsidR="00000000" w:rsidDel="00000000" w:rsidP="00000000" w:rsidRDefault="00000000" w:rsidRPr="00000000" w14:paraId="00000007">
      <w:pPr>
        <w:pStyle w:val="Heading3"/>
        <w:keepNext w:val="0"/>
        <w:keepLines w:val="0"/>
        <w:numPr>
          <w:ilvl w:val="0"/>
          <w:numId w:val="1"/>
        </w:numPr>
        <w:spacing w:after="0" w:afterAutospacing="0" w:before="0" w:beforeAutospacing="0" w:lineRule="auto"/>
        <w:ind w:left="720" w:hanging="360"/>
      </w:pPr>
      <w:bookmarkStart w:colFirst="0" w:colLast="0" w:name="_rykthgnq13sf" w:id="3"/>
      <w:bookmarkEnd w:id="3"/>
      <w:r w:rsidDel="00000000" w:rsidR="00000000" w:rsidRPr="00000000">
        <w:rPr>
          <w:b w:val="1"/>
          <w:bCs w:val="1"/>
          <w:color w:val="000000"/>
          <w:sz w:val="26"/>
          <w:szCs w:val="26"/>
          <w:rtl w:val="0"/>
        </w:rPr>
        <w:t xml:space="preserve">3. Semantic Information Retrieval and Vector Space Modeling (Phase 3)</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The Investigator Agent utilizes </w:t>
      </w:r>
      <w:r w:rsidDel="00000000" w:rsidR="00000000" w:rsidRPr="00000000">
        <w:rPr>
          <w:b w:val="1"/>
          <w:bCs w:val="1"/>
          <w:rtl w:val="0"/>
        </w:rPr>
        <w:t xml:space="preserve">Dense Vector Retrieval</w:t>
      </w:r>
      <w:r w:rsidDel="00000000" w:rsidR="00000000" w:rsidRPr="00000000">
        <w:rPr>
          <w:rtl w:val="0"/>
        </w:rPr>
        <w:t xml:space="preserve"> to locate clinical evidence. Instead of relying on brittle keyword matching (Regex), the system converts both the denial reason and sentences from the medical record into high-dimensional vectors (embeddings) using a model like </w:t>
      </w:r>
      <w:r w:rsidDel="00000000" w:rsidR="00000000" w:rsidRPr="00000000">
        <w:rPr>
          <w:rFonts w:ascii="Roboto Mono" w:cs="Roboto Mono" w:eastAsia="Roboto Mono" w:hAnsi="Roboto Mono"/>
          <w:color w:val="188038"/>
          <w:rtl w:val="0"/>
        </w:rPr>
        <w:t xml:space="preserve">text-embedding-3-small</w:t>
      </w:r>
      <w:r w:rsidDel="00000000" w:rsidR="00000000" w:rsidRPr="00000000">
        <w:rPr>
          <w:rtl w:val="0"/>
        </w:rPr>
        <w:t xml:space="preserve">. The algorithm then calculates the </w:t>
      </w:r>
      <w:r w:rsidDel="00000000" w:rsidR="00000000" w:rsidRPr="00000000">
        <w:rPr>
          <w:b w:val="1"/>
          <w:bCs w:val="1"/>
          <w:rtl w:val="0"/>
        </w:rPr>
        <w:t xml:space="preserve">Cosine Similarity</w:t>
      </w:r>
      <w:r w:rsidDel="00000000" w:rsidR="00000000" w:rsidRPr="00000000">
        <w:rPr>
          <w:rtl w:val="0"/>
        </w:rPr>
        <w:t xml:space="preserve"> between the denial vector and the medical record sentence vectors. Sentences with a similarity score exceeding a dynamic threshold ($\alpha &gt; 0.75$) are retrieved as "Evidence Candidates." This allows the system to identify semantic matches—for example, matching a denial for "lack of conservative treatment" with a medical note stating "patient failed 6 weeks of PT," even though the words do not overlap.</w:t>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Rule="auto"/>
        <w:ind w:left="720" w:hanging="360"/>
      </w:pPr>
      <w:bookmarkStart w:colFirst="0" w:colLast="0" w:name="_9lsmrix30s6l" w:id="4"/>
      <w:bookmarkEnd w:id="4"/>
      <w:r w:rsidDel="00000000" w:rsidR="00000000" w:rsidRPr="00000000">
        <w:rPr>
          <w:b w:val="1"/>
          <w:bCs w:val="1"/>
          <w:color w:val="000000"/>
          <w:sz w:val="26"/>
          <w:szCs w:val="26"/>
          <w:rtl w:val="0"/>
        </w:rPr>
        <w:t xml:space="preserve">4. Knowledge Representation and Graph Theory (Phase 5)</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To ensure traceability, the system implements a </w:t>
      </w:r>
      <w:r w:rsidDel="00000000" w:rsidR="00000000" w:rsidRPr="00000000">
        <w:rPr>
          <w:b w:val="1"/>
          <w:bCs w:val="1"/>
          <w:rtl w:val="0"/>
        </w:rPr>
        <w:t xml:space="preserve">Directed Acyclic Graph (DAG)</w:t>
      </w:r>
      <w:r w:rsidDel="00000000" w:rsidR="00000000" w:rsidRPr="00000000">
        <w:rPr>
          <w:rtl w:val="0"/>
        </w:rPr>
        <w:t xml:space="preserve"> algorithm to construct the Appeal Knowledge Graph. The algorithm instantiates nodes representing distinct entities: $N_D$ (Denial Premise), $N_E$ (Evidence Fact), and $N_P$ (Policy Rule). Directed edges are established based on logical relations detected by the reasoning engine, such as $Refutes(N_E, N_D)$ or $Supports(N_E, N_A)$. By traversing this graph using </w:t>
      </w:r>
      <w:r w:rsidDel="00000000" w:rsidR="00000000" w:rsidRPr="00000000">
        <w:rPr>
          <w:b w:val="1"/>
          <w:bCs w:val="1"/>
          <w:rtl w:val="0"/>
        </w:rPr>
        <w:t xml:space="preserve">Depth-First Search (DFS)</w:t>
      </w:r>
      <w:r w:rsidDel="00000000" w:rsidR="00000000" w:rsidRPr="00000000">
        <w:rPr>
          <w:rtl w:val="0"/>
        </w:rPr>
        <w:t xml:space="preserve"> algorithms, the chatbot and traceability modules can reconstruct the entire logical chain of the appeal, providing "Glass-Box" transparency where every AI decision is linked to a source node.</w:t>
      </w:r>
    </w:p>
    <w:p w:rsidR="00000000" w:rsidDel="00000000" w:rsidP="00000000" w:rsidRDefault="00000000" w:rsidRPr="00000000" w14:paraId="0000000B">
      <w:pPr>
        <w:pStyle w:val="Heading3"/>
        <w:keepNext w:val="0"/>
        <w:keepLines w:val="0"/>
        <w:numPr>
          <w:ilvl w:val="0"/>
          <w:numId w:val="1"/>
        </w:numPr>
        <w:spacing w:after="0" w:afterAutospacing="0" w:before="0" w:beforeAutospacing="0" w:lineRule="auto"/>
        <w:ind w:left="720" w:hanging="360"/>
      </w:pPr>
      <w:bookmarkStart w:colFirst="0" w:colLast="0" w:name="_td0rxcf4unst" w:id="5"/>
      <w:bookmarkEnd w:id="5"/>
      <w:r w:rsidDel="00000000" w:rsidR="00000000" w:rsidRPr="00000000">
        <w:rPr>
          <w:b w:val="1"/>
          <w:bCs w:val="1"/>
          <w:color w:val="000000"/>
          <w:sz w:val="26"/>
          <w:szCs w:val="26"/>
          <w:rtl w:val="0"/>
        </w:rPr>
        <w:t xml:space="preserve">5. Probabilistic Scoring and Calibration (Phase 6)</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The Confidence Calibration module employs a </w:t>
      </w:r>
      <w:r w:rsidDel="00000000" w:rsidR="00000000" w:rsidRPr="00000000">
        <w:rPr>
          <w:b w:val="1"/>
          <w:bCs w:val="1"/>
          <w:rtl w:val="0"/>
        </w:rPr>
        <w:t xml:space="preserve">Weighted Linear Combination</w:t>
      </w:r>
      <w:r w:rsidDel="00000000" w:rsidR="00000000" w:rsidRPr="00000000">
        <w:rPr>
          <w:rtl w:val="0"/>
        </w:rPr>
        <w:t xml:space="preserve"> algorithm to quantify appeal viability. The global confidence score $S_{total}$ is computed as a summation of weighted sub-components: $S_{total} = w_1(S_{OCR}) + w_2(S_{Evidence}) + w_3(S_{Logic})$. $S_{OCR}$ is derived from the mean confidence of the CRNN output; $S_{Evidence}$ is a function of the semantic density (number of matched spans per required category); and $S_{Logic}$ is a heuristic score based on the absence of detected logical contradictions. A </w:t>
      </w:r>
      <w:r w:rsidDel="00000000" w:rsidR="00000000" w:rsidRPr="00000000">
        <w:rPr>
          <w:b w:val="1"/>
          <w:bCs w:val="1"/>
          <w:rtl w:val="0"/>
        </w:rPr>
        <w:t xml:space="preserve">Thresholding Function</w:t>
      </w:r>
      <w:r w:rsidDel="00000000" w:rsidR="00000000" w:rsidRPr="00000000">
        <w:rPr>
          <w:rtl w:val="0"/>
        </w:rPr>
        <w:t xml:space="preserve"> then maps this continuous score to discrete workflow states (Auto-Draft vs. Manual Review), optimizing the trade-off between automation speed and accuracy.</w:t>
      </w:r>
    </w:p>
    <w:p w:rsidR="00000000" w:rsidDel="00000000" w:rsidP="00000000" w:rsidRDefault="00000000" w:rsidRPr="00000000" w14:paraId="0000000D">
      <w:pPr>
        <w:pStyle w:val="Heading3"/>
        <w:keepNext w:val="0"/>
        <w:keepLines w:val="0"/>
        <w:numPr>
          <w:ilvl w:val="0"/>
          <w:numId w:val="1"/>
        </w:numPr>
        <w:spacing w:after="0" w:afterAutospacing="0" w:before="0" w:beforeAutospacing="0" w:lineRule="auto"/>
        <w:ind w:left="720" w:hanging="360"/>
      </w:pPr>
      <w:bookmarkStart w:colFirst="0" w:colLast="0" w:name="_c7czxtthv41s" w:id="6"/>
      <w:bookmarkEnd w:id="6"/>
      <w:r w:rsidDel="00000000" w:rsidR="00000000" w:rsidRPr="00000000">
        <w:rPr>
          <w:b w:val="1"/>
          <w:bCs w:val="1"/>
          <w:color w:val="000000"/>
          <w:sz w:val="26"/>
          <w:szCs w:val="26"/>
          <w:rtl w:val="0"/>
        </w:rPr>
        <w:t xml:space="preserve">6. Generative Reasoning and Chain-of-Thought (Phase 7 &amp; 9)</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The Reasoning and Advocate Agents utilize </w:t>
      </w:r>
      <w:r w:rsidDel="00000000" w:rsidR="00000000" w:rsidRPr="00000000">
        <w:rPr>
          <w:b w:val="1"/>
          <w:bCs w:val="1"/>
          <w:rtl w:val="0"/>
        </w:rPr>
        <w:t xml:space="preserve">Large Language Models (LLMs)</w:t>
      </w:r>
      <w:r w:rsidDel="00000000" w:rsidR="00000000" w:rsidRPr="00000000">
        <w:rPr>
          <w:rtl w:val="0"/>
        </w:rPr>
        <w:t xml:space="preserve"> augmented with </w:t>
      </w:r>
      <w:r w:rsidDel="00000000" w:rsidR="00000000" w:rsidRPr="00000000">
        <w:rPr>
          <w:b w:val="1"/>
          <w:bCs w:val="1"/>
          <w:rtl w:val="0"/>
        </w:rPr>
        <w:t xml:space="preserve">Chain-of-Thought (CoT)</w:t>
      </w:r>
      <w:r w:rsidDel="00000000" w:rsidR="00000000" w:rsidRPr="00000000">
        <w:rPr>
          <w:rtl w:val="0"/>
        </w:rPr>
        <w:t xml:space="preserve"> prompting algorithms. Rather than asking the model to generate an appeal directly, the algorithm forces an intermediate reasoning step where the model must first output the logical premises and detected fallacies in JSON format. This "thought trace" serves as a constraint for the final generation step. The text generation itself uses </w:t>
      </w:r>
      <w:r w:rsidDel="00000000" w:rsidR="00000000" w:rsidRPr="00000000">
        <w:rPr>
          <w:b w:val="1"/>
          <w:bCs w:val="1"/>
          <w:rtl w:val="0"/>
        </w:rPr>
        <w:t xml:space="preserve">Top-p (Nucleus) Sampling</w:t>
      </w:r>
      <w:r w:rsidDel="00000000" w:rsidR="00000000" w:rsidRPr="00000000">
        <w:rPr>
          <w:rtl w:val="0"/>
        </w:rPr>
        <w:t xml:space="preserve">, which selects the next token from the smallest set of top candidates whose cumulative probability exceeds probability $p$, ensuring the generated legal arguments are both creative and coherent while remaining strictly grounded in the retrieved context.</w:t>
      </w:r>
    </w:p>
    <w:p w:rsidR="00000000" w:rsidDel="00000000" w:rsidP="00000000" w:rsidRDefault="00000000" w:rsidRPr="00000000" w14:paraId="0000000F">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