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1"/>
        </w:numPr>
        <w:spacing w:after="0" w:afterAutospacing="0" w:before="480" w:lineRule="auto"/>
        <w:ind w:left="720" w:hanging="360"/>
      </w:pPr>
      <w:bookmarkStart w:colFirst="0" w:colLast="0" w:name="_mpb8i0kaavc2" w:id="0"/>
      <w:bookmarkEnd w:id="0"/>
      <w:r w:rsidDel="00000000" w:rsidR="00000000" w:rsidRPr="00000000">
        <w:rPr>
          <w:b w:val="1"/>
          <w:bCs w:val="1"/>
          <w:sz w:val="46"/>
          <w:szCs w:val="46"/>
          <w:rtl w:val="0"/>
        </w:rPr>
        <w:t xml:space="preserve">Future Enhancements for Lighthouse AI</w:t>
      </w:r>
    </w:p>
    <w:p w:rsidR="00000000" w:rsidDel="00000000" w:rsidP="00000000" w:rsidRDefault="00000000" w:rsidRPr="00000000" w14:paraId="00000002">
      <w:pPr>
        <w:numPr>
          <w:ilvl w:val="0"/>
          <w:numId w:val="1"/>
        </w:numPr>
        <w:spacing w:after="0" w:afterAutospacing="0" w:before="0" w:beforeAutospacing="0" w:lineRule="auto"/>
        <w:ind w:left="720" w:hanging="360"/>
      </w:pPr>
      <w:r w:rsidDel="00000000" w:rsidR="00000000" w:rsidRPr="00000000">
        <w:rPr>
          <w:rtl w:val="0"/>
        </w:rPr>
        <w:t xml:space="preserve">The following section outlines the strategic roadmap for the evolution of the Lighthouse AI system, detailing proposed advancements for each core functional module.</w:t>
      </w:r>
    </w:p>
    <w:p w:rsidR="00000000" w:rsidDel="00000000" w:rsidP="00000000" w:rsidRDefault="00000000" w:rsidRPr="00000000" w14:paraId="00000003">
      <w:pPr>
        <w:pStyle w:val="Heading3"/>
        <w:keepNext w:val="0"/>
        <w:keepLines w:val="0"/>
        <w:numPr>
          <w:ilvl w:val="0"/>
          <w:numId w:val="1"/>
        </w:numPr>
        <w:spacing w:after="0" w:afterAutospacing="0" w:before="0" w:beforeAutospacing="0" w:lineRule="auto"/>
        <w:ind w:left="720" w:hanging="360"/>
      </w:pPr>
      <w:bookmarkStart w:colFirst="0" w:colLast="0" w:name="_5kqkg11sv20a" w:id="1"/>
      <w:bookmarkEnd w:id="1"/>
      <w:r w:rsidDel="00000000" w:rsidR="00000000" w:rsidRPr="00000000">
        <w:rPr>
          <w:b w:val="1"/>
          <w:bCs w:val="1"/>
          <w:color w:val="000000"/>
          <w:sz w:val="26"/>
          <w:szCs w:val="26"/>
          <w:rtl w:val="0"/>
        </w:rPr>
        <w:t xml:space="preserve">1. Advanced Ingestion and Multimodal OCR (Phase 1)</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Future iterations of the ingestion layer will move beyond standard Optical Character Recognition (OCR) to true </w:t>
      </w:r>
      <w:r w:rsidDel="00000000" w:rsidR="00000000" w:rsidRPr="00000000">
        <w:rPr>
          <w:b w:val="1"/>
          <w:bCs w:val="1"/>
          <w:rtl w:val="0"/>
        </w:rPr>
        <w:t xml:space="preserve">Multimodal Document Understanding</w:t>
      </w:r>
      <w:r w:rsidDel="00000000" w:rsidR="00000000" w:rsidRPr="00000000">
        <w:rPr>
          <w:rtl w:val="0"/>
        </w:rPr>
        <w:t xml:space="preserve">. While the current system processes text, future enhancements will integrate </w:t>
      </w:r>
      <w:r w:rsidDel="00000000" w:rsidR="00000000" w:rsidRPr="00000000">
        <w:rPr>
          <w:b w:val="1"/>
          <w:bCs w:val="1"/>
          <w:rtl w:val="0"/>
        </w:rPr>
        <w:t xml:space="preserve">Visual Transformers (ViT)</w:t>
      </w:r>
      <w:r w:rsidDel="00000000" w:rsidR="00000000" w:rsidRPr="00000000">
        <w:rPr>
          <w:rtl w:val="0"/>
        </w:rPr>
        <w:t xml:space="preserve"> to analyze visual layouts, distinguishing between a header, a handwritten marginal note, and a formal table structure without losing context. Additionally, incorporating </w:t>
      </w:r>
      <w:r w:rsidDel="00000000" w:rsidR="00000000" w:rsidRPr="00000000">
        <w:rPr>
          <w:b w:val="1"/>
          <w:bCs w:val="1"/>
          <w:rtl w:val="0"/>
        </w:rPr>
        <w:t xml:space="preserve">Handwriting Recognition (HTR)</w:t>
      </w:r>
      <w:r w:rsidDel="00000000" w:rsidR="00000000" w:rsidRPr="00000000">
        <w:rPr>
          <w:rtl w:val="0"/>
        </w:rPr>
        <w:t xml:space="preserve"> specific to physician scripts will allow the system to ingest older, non-digitized clinical notes that are currently opaque to standard OCR engines. Support for direct ingestion of </w:t>
      </w:r>
      <w:r w:rsidDel="00000000" w:rsidR="00000000" w:rsidRPr="00000000">
        <w:rPr>
          <w:b w:val="1"/>
          <w:bCs w:val="1"/>
          <w:rtl w:val="0"/>
        </w:rPr>
        <w:t xml:space="preserve">DICOM medical images</w:t>
      </w:r>
      <w:r w:rsidDel="00000000" w:rsidR="00000000" w:rsidRPr="00000000">
        <w:rPr>
          <w:rtl w:val="0"/>
        </w:rPr>
        <w:t xml:space="preserve"> (X-rays, MRIs) would also allow the system to cross-reference the text in a radiology report with the actual pixel data of the scan, detecting discrepancies between the image and the written diagnosis.</w:t>
      </w:r>
    </w:p>
    <w:p w:rsidR="00000000" w:rsidDel="00000000" w:rsidP="00000000" w:rsidRDefault="00000000" w:rsidRPr="00000000" w14:paraId="00000005">
      <w:pPr>
        <w:pStyle w:val="Heading3"/>
        <w:keepNext w:val="0"/>
        <w:keepLines w:val="0"/>
        <w:numPr>
          <w:ilvl w:val="0"/>
          <w:numId w:val="1"/>
        </w:numPr>
        <w:spacing w:after="0" w:afterAutospacing="0" w:before="0" w:beforeAutospacing="0" w:lineRule="auto"/>
        <w:ind w:left="720" w:hanging="360"/>
      </w:pPr>
      <w:bookmarkStart w:colFirst="0" w:colLast="0" w:name="_uxn5yaptdqgl" w:id="2"/>
      <w:bookmarkEnd w:id="2"/>
      <w:r w:rsidDel="00000000" w:rsidR="00000000" w:rsidRPr="00000000">
        <w:rPr>
          <w:b w:val="1"/>
          <w:bCs w:val="1"/>
          <w:color w:val="000000"/>
          <w:sz w:val="26"/>
          <w:szCs w:val="26"/>
          <w:rtl w:val="0"/>
        </w:rPr>
        <w:t xml:space="preserve">2. Real-Time Payer Integration and Policy Monitoring (Phase 2)</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The Analyzer Agent can be enhanced to support </w:t>
      </w:r>
      <w:r w:rsidDel="00000000" w:rsidR="00000000" w:rsidRPr="00000000">
        <w:rPr>
          <w:b w:val="1"/>
          <w:bCs w:val="1"/>
          <w:rtl w:val="0"/>
        </w:rPr>
        <w:t xml:space="preserve">Real-Time API Integration</w:t>
      </w:r>
      <w:r w:rsidDel="00000000" w:rsidR="00000000" w:rsidRPr="00000000">
        <w:rPr>
          <w:rtl w:val="0"/>
        </w:rPr>
        <w:t xml:space="preserve"> with major insurance payer portals (e.g., via FHIR standards). Instead of relying solely on the uploaded denial letter, the system could autonomously query the payer’s claim status endpoint to fetch the most granular, up-to-the-minute adjudication codes. Furthermore, a </w:t>
      </w:r>
      <w:r w:rsidDel="00000000" w:rsidR="00000000" w:rsidRPr="00000000">
        <w:rPr>
          <w:b w:val="1"/>
          <w:bCs w:val="1"/>
          <w:rtl w:val="0"/>
        </w:rPr>
        <w:t xml:space="preserve">Regulatory Watchdog Module</w:t>
      </w:r>
      <w:r w:rsidDel="00000000" w:rsidR="00000000" w:rsidRPr="00000000">
        <w:rPr>
          <w:rtl w:val="0"/>
        </w:rPr>
        <w:t xml:space="preserve"> could be added, which continuously scrapes CMS (Centers for Medicare &amp; Medicaid Services) updates and commercial payer policy bulletins. This would allow the analyzer to flag if a denial is based on an outdated policy version, automatically citing the new regulation that supersedes the insurer's decision.</w:t>
      </w:r>
    </w:p>
    <w:p w:rsidR="00000000" w:rsidDel="00000000" w:rsidP="00000000" w:rsidRDefault="00000000" w:rsidRPr="00000000" w14:paraId="00000007">
      <w:pPr>
        <w:pStyle w:val="Heading3"/>
        <w:keepNext w:val="0"/>
        <w:keepLines w:val="0"/>
        <w:numPr>
          <w:ilvl w:val="0"/>
          <w:numId w:val="1"/>
        </w:numPr>
        <w:spacing w:after="0" w:afterAutospacing="0" w:before="0" w:beforeAutospacing="0" w:lineRule="auto"/>
        <w:ind w:left="720" w:hanging="360"/>
      </w:pPr>
      <w:bookmarkStart w:colFirst="0" w:colLast="0" w:name="_g0gb9r649sm" w:id="3"/>
      <w:bookmarkEnd w:id="3"/>
      <w:r w:rsidDel="00000000" w:rsidR="00000000" w:rsidRPr="00000000">
        <w:rPr>
          <w:b w:val="1"/>
          <w:bCs w:val="1"/>
          <w:color w:val="000000"/>
          <w:sz w:val="26"/>
          <w:szCs w:val="26"/>
          <w:rtl w:val="0"/>
        </w:rPr>
        <w:t xml:space="preserve">3. Longitudinal Reasoning and Temporal Analysis (Phase 3 &amp; 5)</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Currently, the Investigator Agent views evidence as a static collection of facts. A significant enhancement would be the implementation of </w:t>
      </w:r>
      <w:r w:rsidDel="00000000" w:rsidR="00000000" w:rsidRPr="00000000">
        <w:rPr>
          <w:b w:val="1"/>
          <w:bCs w:val="1"/>
          <w:rtl w:val="0"/>
        </w:rPr>
        <w:t xml:space="preserve">Temporal Knowledge Graphs</w:t>
      </w:r>
      <w:r w:rsidDel="00000000" w:rsidR="00000000" w:rsidRPr="00000000">
        <w:rPr>
          <w:rtl w:val="0"/>
        </w:rPr>
        <w:t xml:space="preserve">, which model the patient's journey as a timeline rather than a snapshot. This would allow the system to reason about </w:t>
      </w:r>
      <w:r w:rsidDel="00000000" w:rsidR="00000000" w:rsidRPr="00000000">
        <w:rPr>
          <w:b w:val="1"/>
          <w:bCs w:val="1"/>
          <w:rtl w:val="0"/>
        </w:rPr>
        <w:t xml:space="preserve">disease progression</w:t>
      </w:r>
      <w:r w:rsidDel="00000000" w:rsidR="00000000" w:rsidRPr="00000000">
        <w:rPr>
          <w:rtl w:val="0"/>
        </w:rPr>
        <w:t xml:space="preserve"> and </w:t>
      </w:r>
      <w:r w:rsidDel="00000000" w:rsidR="00000000" w:rsidRPr="00000000">
        <w:rPr>
          <w:b w:val="1"/>
          <w:bCs w:val="1"/>
          <w:rtl w:val="0"/>
        </w:rPr>
        <w:t xml:space="preserve">step therapy compliance</w:t>
      </w:r>
      <w:r w:rsidDel="00000000" w:rsidR="00000000" w:rsidRPr="00000000">
        <w:rPr>
          <w:rtl w:val="0"/>
        </w:rPr>
        <w:t xml:space="preserve">—for example, proving that "Treatment A" was tried </w:t>
      </w:r>
      <w:r w:rsidDel="00000000" w:rsidR="00000000" w:rsidRPr="00000000">
        <w:rPr>
          <w:i w:val="1"/>
          <w:iCs w:val="1"/>
          <w:rtl w:val="0"/>
        </w:rPr>
        <w:t xml:space="preserve">before</w:t>
      </w:r>
      <w:r w:rsidDel="00000000" w:rsidR="00000000" w:rsidRPr="00000000">
        <w:rPr>
          <w:rtl w:val="0"/>
        </w:rPr>
        <w:t xml:space="preserve"> "Treatment B" and failed, strictly satisfying time-based payer requirements. By understanding the chronology of care, the system could automatically construct timelines demonstrating "Continuity of Care," a frequent factor in overturning medical necessity denials.</w:t>
      </w:r>
    </w:p>
    <w:p w:rsidR="00000000" w:rsidDel="00000000" w:rsidP="00000000" w:rsidRDefault="00000000" w:rsidRPr="00000000" w14:paraId="00000009">
      <w:pPr>
        <w:pStyle w:val="Heading3"/>
        <w:keepNext w:val="0"/>
        <w:keepLines w:val="0"/>
        <w:numPr>
          <w:ilvl w:val="0"/>
          <w:numId w:val="1"/>
        </w:numPr>
        <w:spacing w:after="0" w:afterAutospacing="0" w:before="0" w:beforeAutospacing="0" w:lineRule="auto"/>
        <w:ind w:left="720" w:hanging="360"/>
      </w:pPr>
      <w:bookmarkStart w:colFirst="0" w:colLast="0" w:name="_ctbqd2hlkgal" w:id="4"/>
      <w:bookmarkEnd w:id="4"/>
      <w:r w:rsidDel="00000000" w:rsidR="00000000" w:rsidRPr="00000000">
        <w:rPr>
          <w:b w:val="1"/>
          <w:bCs w:val="1"/>
          <w:color w:val="000000"/>
          <w:sz w:val="26"/>
          <w:szCs w:val="26"/>
          <w:rtl w:val="0"/>
        </w:rPr>
        <w:t xml:space="preserve">4. Federated Learning for Pattern Mining (Phase 4 &amp; 10)</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To improve the "Pattern Miner" without compromising patient privacy, </w:t>
      </w:r>
      <w:r w:rsidDel="00000000" w:rsidR="00000000" w:rsidRPr="00000000">
        <w:rPr>
          <w:b w:val="1"/>
          <w:bCs w:val="1"/>
          <w:rtl w:val="0"/>
        </w:rPr>
        <w:t xml:space="preserve">Federated Learning</w:t>
      </w:r>
      <w:r w:rsidDel="00000000" w:rsidR="00000000" w:rsidRPr="00000000">
        <w:rPr>
          <w:rtl w:val="0"/>
        </w:rPr>
        <w:t xml:space="preserve"> could be implemented across different hospital deployments. Instead of centralizing sensitive data, local models would learn denial patterns (e.g., "Insurer X always denies CPT code 12345 in Q4") and share only the abstract weights or gradients with the central Lighthouse AI server. This would create a </w:t>
      </w:r>
      <w:r w:rsidDel="00000000" w:rsidR="00000000" w:rsidRPr="00000000">
        <w:rPr>
          <w:b w:val="1"/>
          <w:bCs w:val="1"/>
          <w:rtl w:val="0"/>
        </w:rPr>
        <w:t xml:space="preserve">Global Denial Intelligence Network</w:t>
      </w:r>
      <w:r w:rsidDel="00000000" w:rsidR="00000000" w:rsidRPr="00000000">
        <w:rPr>
          <w:rtl w:val="0"/>
        </w:rPr>
        <w:t xml:space="preserve">, allowing a small clinic to benefit from the denial resolution strategies learned by large hospital systems, effectively democratizing access to successful appeal logic without ever sharing Protected Health Information (PHI).</w:t>
      </w:r>
    </w:p>
    <w:p w:rsidR="00000000" w:rsidDel="00000000" w:rsidP="00000000" w:rsidRDefault="00000000" w:rsidRPr="00000000" w14:paraId="0000000B">
      <w:pPr>
        <w:pStyle w:val="Heading3"/>
        <w:keepNext w:val="0"/>
        <w:keepLines w:val="0"/>
        <w:numPr>
          <w:ilvl w:val="0"/>
          <w:numId w:val="1"/>
        </w:numPr>
        <w:spacing w:after="0" w:afterAutospacing="0" w:before="0" w:beforeAutospacing="0" w:lineRule="auto"/>
        <w:ind w:left="720" w:hanging="360"/>
      </w:pPr>
      <w:bookmarkStart w:colFirst="0" w:colLast="0" w:name="_ceqaubibl0xo" w:id="5"/>
      <w:bookmarkEnd w:id="5"/>
      <w:r w:rsidDel="00000000" w:rsidR="00000000" w:rsidRPr="00000000">
        <w:rPr>
          <w:b w:val="1"/>
          <w:bCs w:val="1"/>
          <w:color w:val="000000"/>
          <w:sz w:val="26"/>
          <w:szCs w:val="26"/>
          <w:rtl w:val="0"/>
        </w:rPr>
        <w:t xml:space="preserve">5. Reinforcement Learning from Human Feedback (RLHF) (Phase 6)</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The Confidence Calibration module is currently heuristic-based. A major leap forward would involve </w:t>
      </w:r>
      <w:r w:rsidDel="00000000" w:rsidR="00000000" w:rsidRPr="00000000">
        <w:rPr>
          <w:b w:val="1"/>
          <w:bCs w:val="1"/>
          <w:rtl w:val="0"/>
        </w:rPr>
        <w:t xml:space="preserve">Reinforcement Learning from Human Feedback (RLHF)</w:t>
      </w:r>
      <w:r w:rsidDel="00000000" w:rsidR="00000000" w:rsidRPr="00000000">
        <w:rPr>
          <w:rtl w:val="0"/>
        </w:rPr>
        <w:t xml:space="preserve">. By tracking the actual outcomes of the appeals (Win/Loss) and capturing user edits to the generated drafts, the system could fine-tune its scoring model. If users consistently modify the "Medical Necessity" argument for a specific condition, the system would learn to penalize its own confidence score for that category until it adapts its generation strategy, creating a self-improving loop that aligns closer to human expert preferences over time.</w:t>
      </w:r>
    </w:p>
    <w:p w:rsidR="00000000" w:rsidDel="00000000" w:rsidP="00000000" w:rsidRDefault="00000000" w:rsidRPr="00000000" w14:paraId="0000000D">
      <w:pPr>
        <w:pStyle w:val="Heading3"/>
        <w:keepNext w:val="0"/>
        <w:keepLines w:val="0"/>
        <w:numPr>
          <w:ilvl w:val="0"/>
          <w:numId w:val="1"/>
        </w:numPr>
        <w:spacing w:after="0" w:afterAutospacing="0" w:before="0" w:beforeAutospacing="0" w:lineRule="auto"/>
        <w:ind w:left="720" w:hanging="360"/>
      </w:pPr>
      <w:bookmarkStart w:colFirst="0" w:colLast="0" w:name="_68r0tk8980jx" w:id="6"/>
      <w:bookmarkEnd w:id="6"/>
      <w:r w:rsidDel="00000000" w:rsidR="00000000" w:rsidRPr="00000000">
        <w:rPr>
          <w:b w:val="1"/>
          <w:bCs w:val="1"/>
          <w:color w:val="000000"/>
          <w:sz w:val="26"/>
          <w:szCs w:val="26"/>
          <w:rtl w:val="0"/>
        </w:rPr>
        <w:t xml:space="preserve">6. Legal Precedent and Case Law Integration (Phase 7)</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The Reasoning Engine currently relies on clinical logic. A powerful enhancement would be the integration of a </w:t>
      </w:r>
      <w:r w:rsidDel="00000000" w:rsidR="00000000" w:rsidRPr="00000000">
        <w:rPr>
          <w:b w:val="1"/>
          <w:bCs w:val="1"/>
          <w:rtl w:val="0"/>
        </w:rPr>
        <w:t xml:space="preserve">Legal Precedent Database</w:t>
      </w:r>
      <w:r w:rsidDel="00000000" w:rsidR="00000000" w:rsidRPr="00000000">
        <w:rPr>
          <w:rtl w:val="0"/>
        </w:rPr>
        <w:t xml:space="preserve">. The agent could be trained to search publicly available databases of overturned appeals and state insurance commissioner rulings. By citing specific </w:t>
      </w:r>
      <w:r w:rsidDel="00000000" w:rsidR="00000000" w:rsidRPr="00000000">
        <w:rPr>
          <w:b w:val="1"/>
          <w:bCs w:val="1"/>
          <w:rtl w:val="0"/>
        </w:rPr>
        <w:t xml:space="preserve">legal precedents</w:t>
      </w:r>
      <w:r w:rsidDel="00000000" w:rsidR="00000000" w:rsidRPr="00000000">
        <w:rPr>
          <w:rtl w:val="0"/>
        </w:rPr>
        <w:t xml:space="preserve"> or previous </w:t>
      </w:r>
      <w:r w:rsidDel="00000000" w:rsidR="00000000" w:rsidRPr="00000000">
        <w:rPr>
          <w:b w:val="1"/>
          <w:bCs w:val="1"/>
          <w:rtl w:val="0"/>
        </w:rPr>
        <w:t xml:space="preserve">External Review Organization (ERO)</w:t>
      </w:r>
      <w:r w:rsidDel="00000000" w:rsidR="00000000" w:rsidRPr="00000000">
        <w:rPr>
          <w:rtl w:val="0"/>
        </w:rPr>
        <w:t xml:space="preserve"> decisions where similar denials were overturned, the generated appeal would escalate from a medical argument to a legal-medical hybrid, significantly increasing pressure on the insurer to comply with established case law.</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Rule="auto"/>
        <w:ind w:left="720" w:hanging="360"/>
      </w:pPr>
      <w:bookmarkStart w:colFirst="0" w:colLast="0" w:name="_58sgffsxfzce" w:id="7"/>
      <w:bookmarkEnd w:id="7"/>
      <w:r w:rsidDel="00000000" w:rsidR="00000000" w:rsidRPr="00000000">
        <w:rPr>
          <w:b w:val="1"/>
          <w:bCs w:val="1"/>
          <w:color w:val="000000"/>
          <w:sz w:val="26"/>
          <w:szCs w:val="26"/>
          <w:rtl w:val="0"/>
        </w:rPr>
        <w:t xml:space="preserve">7. Voice-Activated Physician Interface (Chatbot &amp; Interaction)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To reduce friction for busy healthcare providers, the text-based Chatbot could be upgraded to a </w:t>
      </w:r>
      <w:r w:rsidDel="00000000" w:rsidR="00000000" w:rsidRPr="00000000">
        <w:rPr>
          <w:b w:val="1"/>
          <w:bCs w:val="1"/>
          <w:rtl w:val="0"/>
        </w:rPr>
        <w:t xml:space="preserve">Voice-Activated Clinical Assistant</w:t>
      </w:r>
      <w:r w:rsidDel="00000000" w:rsidR="00000000" w:rsidRPr="00000000">
        <w:rPr>
          <w:rtl w:val="0"/>
        </w:rPr>
        <w:t xml:space="preserve">. Using "Whisper" or similar speech-to-text models fine-tuned on medical vocabulary, doctors could dictate instructions like, "Draft an appeal for Mrs. Smith, focusing on her failed physical therapy," while driving or between rounds. The system would process the audio, retrieve the relevant records, and generate the draft, reading back the key arguments via a text-to-speech engine for verbal confirmation, enabling a completely hands-free appeal workflow.</w:t>
      </w:r>
    </w:p>
    <w:p w:rsidR="00000000" w:rsidDel="00000000" w:rsidP="00000000" w:rsidRDefault="00000000" w:rsidRPr="00000000" w14:paraId="00000011">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