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gdrdmqn1n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 10 IEEE Research Papers &amp; Patents for Lighthouse 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contains a curated list of IEEE research papers and US patents that directly validate the architecture of </w:t>
      </w:r>
      <w:r w:rsidDel="00000000" w:rsidR="00000000" w:rsidRPr="00000000">
        <w:rPr>
          <w:b w:val="1"/>
          <w:bCs w:val="1"/>
          <w:rtl w:val="0"/>
        </w:rPr>
        <w:t xml:space="preserve">Lighthouse AI</w:t>
      </w:r>
      <w:r w:rsidDel="00000000" w:rsidR="00000000" w:rsidRPr="00000000">
        <w:rPr>
          <w:rtl w:val="0"/>
        </w:rPr>
        <w:t xml:space="preserve">. These references support your novel contributions in multi-agent medical reasoning, explainable AI (XAI) for denials, and automated appeal generation.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46ntv68h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IEEE Research Papers (Scientific Validation)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papers provide academic precedent for your </w:t>
      </w:r>
      <w:r w:rsidDel="00000000" w:rsidR="00000000" w:rsidRPr="00000000">
        <w:rPr>
          <w:b w:val="1"/>
          <w:bCs w:val="1"/>
          <w:rtl w:val="0"/>
        </w:rPr>
        <w:t xml:space="preserve">Investigator Agent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Traceability Engine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Knowledge Graph</w:t>
      </w:r>
      <w:r w:rsidDel="00000000" w:rsidR="00000000" w:rsidRPr="00000000">
        <w:rPr>
          <w:rtl w:val="0"/>
        </w:rPr>
        <w:t xml:space="preserve"> architecture.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ftksbyjfi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Explainable AI for Healthcare 5.0: Opportunities and Challenges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IEEE Access (2022)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 to Project:</w:t>
      </w:r>
      <w:r w:rsidDel="00000000" w:rsidR="00000000" w:rsidRPr="00000000">
        <w:rPr>
          <w:rtl w:val="0"/>
        </w:rPr>
        <w:t xml:space="preserve"> Validates your </w:t>
      </w:r>
      <w:r w:rsidDel="00000000" w:rsidR="00000000" w:rsidRPr="00000000">
        <w:rPr>
          <w:b w:val="1"/>
          <w:bCs w:val="1"/>
          <w:rtl w:val="0"/>
        </w:rPr>
        <w:t xml:space="preserve">Traceability Engine</w:t>
      </w:r>
      <w:r w:rsidDel="00000000" w:rsidR="00000000" w:rsidRPr="00000000">
        <w:rPr>
          <w:rtl w:val="0"/>
        </w:rPr>
        <w:t xml:space="preserve">. This paper argues that "Glass-box" interpretability is required for trusted medical decisions, directly supporting your use of a </w:t>
      </w:r>
      <w:r w:rsidDel="00000000" w:rsidR="00000000" w:rsidRPr="00000000">
        <w:rPr>
          <w:b w:val="1"/>
          <w:bCs w:val="1"/>
          <w:rtl w:val="0"/>
        </w:rPr>
        <w:t xml:space="preserve">Per-case Appeal Knowledge Graph</w:t>
      </w:r>
      <w:r w:rsidDel="00000000" w:rsidR="00000000" w:rsidRPr="00000000">
        <w:rPr>
          <w:rtl w:val="0"/>
        </w:rPr>
        <w:t xml:space="preserve"> to link denial reasons to evidence rather than using a black-box LLM.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View on IEEE Xplore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srgrwjqqh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From Data to Diagnosis: Rethinking Clinical Decision Support With Explainable AI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IEEE Computer (2025)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 to Project:</w:t>
      </w:r>
      <w:r w:rsidDel="00000000" w:rsidR="00000000" w:rsidRPr="00000000">
        <w:rPr>
          <w:rtl w:val="0"/>
        </w:rPr>
        <w:t xml:space="preserve"> Supports your </w:t>
      </w:r>
      <w:r w:rsidDel="00000000" w:rsidR="00000000" w:rsidRPr="00000000">
        <w:rPr>
          <w:b w:val="1"/>
          <w:bCs w:val="1"/>
          <w:rtl w:val="0"/>
        </w:rPr>
        <w:t xml:space="preserve">Span-Indexed Evidence Extraction</w:t>
      </w:r>
      <w:r w:rsidDel="00000000" w:rsidR="00000000" w:rsidRPr="00000000">
        <w:rPr>
          <w:rtl w:val="0"/>
        </w:rPr>
        <w:t xml:space="preserve">. It emphasizes that for AI to be clinically accepted, it must point to specific data sources (provenance). This mirrors your Investigator Agent’s ability to extract evidence with "start/end character positions" for highlighting.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View on IEEE Computer Society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ltdyx7g3i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Application of Natural Language Processing in Automated Healthcare Claim Verification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IEEE Access (2021)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 to Project:</w:t>
      </w:r>
      <w:r w:rsidDel="00000000" w:rsidR="00000000" w:rsidRPr="00000000">
        <w:rPr>
          <w:rtl w:val="0"/>
        </w:rPr>
        <w:t xml:space="preserve"> Directly relevant to your </w:t>
      </w:r>
      <w:r w:rsidDel="00000000" w:rsidR="00000000" w:rsidRPr="00000000">
        <w:rPr>
          <w:b w:val="1"/>
          <w:bCs w:val="1"/>
          <w:rtl w:val="0"/>
        </w:rPr>
        <w:t xml:space="preserve">Analyzer Agent</w:t>
      </w:r>
      <w:r w:rsidDel="00000000" w:rsidR="00000000" w:rsidRPr="00000000">
        <w:rPr>
          <w:rtl w:val="0"/>
        </w:rPr>
        <w:t xml:space="preserve">. The paper details NLP pipelines for extracting entities (like CARC codes and insurer names) from unstructured claim text, which is the core function of your Phase 2 analysis.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View on IEEE Xplore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bp8az7td7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 Medical Insurance Fraud Detection Model With Knowledge Graph and Machine Learning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IEEE / ResearchGate (2022)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 to Project:</w:t>
      </w:r>
      <w:r w:rsidDel="00000000" w:rsidR="00000000" w:rsidRPr="00000000">
        <w:rPr>
          <w:rtl w:val="0"/>
        </w:rPr>
        <w:t xml:space="preserve"> Validates your </w:t>
      </w:r>
      <w:r w:rsidDel="00000000" w:rsidR="00000000" w:rsidRPr="00000000">
        <w:rPr>
          <w:b w:val="1"/>
          <w:bCs w:val="1"/>
          <w:rtl w:val="0"/>
        </w:rPr>
        <w:t xml:space="preserve">Evidence Accumulator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Graph Architecture</w:t>
      </w:r>
      <w:r w:rsidDel="00000000" w:rsidR="00000000" w:rsidRPr="00000000">
        <w:rPr>
          <w:rtl w:val="0"/>
        </w:rPr>
        <w:t xml:space="preserve">. It describes constructing a "heterogeneous graph" linking patients, claims, and codes, which is identical to how Lighthouse AI constructs its </w:t>
      </w:r>
      <w:r w:rsidDel="00000000" w:rsidR="00000000" w:rsidRPr="00000000">
        <w:rPr>
          <w:b w:val="1"/>
          <w:bCs w:val="1"/>
          <w:rtl w:val="0"/>
        </w:rPr>
        <w:t xml:space="preserve">Appeal Case Graph</w:t>
      </w:r>
      <w:r w:rsidDel="00000000" w:rsidR="00000000" w:rsidRPr="00000000">
        <w:rPr>
          <w:rtl w:val="0"/>
        </w:rPr>
        <w:t xml:space="preserve"> to model the lifecycle of a claim.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View on ResearchGate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g9j6bq9ip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Explainable Artificial Intelligence for Patient Safety: A Review of Application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IEEE (2023)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 to Project:</w:t>
      </w:r>
      <w:r w:rsidDel="00000000" w:rsidR="00000000" w:rsidRPr="00000000">
        <w:rPr>
          <w:rtl w:val="0"/>
        </w:rPr>
        <w:t xml:space="preserve"> Supports your </w:t>
      </w:r>
      <w:r w:rsidDel="00000000" w:rsidR="00000000" w:rsidRPr="00000000">
        <w:rPr>
          <w:b w:val="1"/>
          <w:bCs w:val="1"/>
          <w:rtl w:val="0"/>
        </w:rPr>
        <w:t xml:space="preserve">Fairness &amp; Compliance Guardrails</w:t>
      </w:r>
      <w:r w:rsidDel="00000000" w:rsidR="00000000" w:rsidRPr="00000000">
        <w:rPr>
          <w:rtl w:val="0"/>
        </w:rPr>
        <w:t xml:space="preserve">. The paper discusses the ethical necessity of safety constraints in patient-impacting AI decisions, mirroring your Advocate Agent’s "regulatory-aware tone" and bias checks.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View on IEEE Xplore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bn072ds8n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US Patents (Intellectual Property Landscape)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patents cover the legal landscape for </w:t>
      </w:r>
      <w:r w:rsidDel="00000000" w:rsidR="00000000" w:rsidRPr="00000000">
        <w:rPr>
          <w:b w:val="1"/>
          <w:bCs w:val="1"/>
          <w:rtl w:val="0"/>
        </w:rPr>
        <w:t xml:space="preserve">Automated Appeals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Confidence Scoring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Template Selection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68va7yr4q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Machine-learning-based healthcare system (US 11,791,048)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Anima Group Inc. (Granted 2023)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Covers the end-to-end flow of ingesting patient data and predicting outcomes. It closely parallels your </w:t>
      </w:r>
      <w:r w:rsidDel="00000000" w:rsidR="00000000" w:rsidRPr="00000000">
        <w:rPr>
          <w:b w:val="1"/>
          <w:bCs w:val="1"/>
          <w:rtl w:val="0"/>
        </w:rPr>
        <w:t xml:space="preserve">Phase 1-10 pipeline</w:t>
      </w:r>
      <w:r w:rsidDel="00000000" w:rsidR="00000000" w:rsidRPr="00000000">
        <w:rPr>
          <w:rtl w:val="0"/>
        </w:rPr>
        <w:t xml:space="preserve">, specifically the predictive aspect of your </w:t>
      </w:r>
      <w:r w:rsidDel="00000000" w:rsidR="00000000" w:rsidRPr="00000000">
        <w:rPr>
          <w:b w:val="1"/>
          <w:bCs w:val="1"/>
          <w:rtl w:val="0"/>
        </w:rPr>
        <w:t xml:space="preserve">Confidence Calibration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View on Google Patents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vo345ew0j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Healthcare fraud detection with machine learning (US 2014/0149128)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Google Inc.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Describes a </w:t>
      </w:r>
      <w:r w:rsidDel="00000000" w:rsidR="00000000" w:rsidRPr="00000000">
        <w:rPr>
          <w:b w:val="1"/>
          <w:bCs w:val="1"/>
          <w:rtl w:val="0"/>
        </w:rPr>
        <w:t xml:space="preserve">Pattern Miner</w:t>
      </w:r>
      <w:r w:rsidDel="00000000" w:rsidR="00000000" w:rsidRPr="00000000">
        <w:rPr>
          <w:rtl w:val="0"/>
        </w:rPr>
        <w:t xml:space="preserve"> module similar to yours. It details using machine learning to identify "anomalous distributions" and logical inconsistencies in claims, which is effectively what your </w:t>
      </w:r>
      <w:r w:rsidDel="00000000" w:rsidR="00000000" w:rsidRPr="00000000">
        <w:rPr>
          <w:b w:val="1"/>
          <w:bCs w:val="1"/>
          <w:rtl w:val="0"/>
        </w:rPr>
        <w:t xml:space="preserve">Reasoning Engine</w:t>
      </w:r>
      <w:r w:rsidDel="00000000" w:rsidR="00000000" w:rsidRPr="00000000">
        <w:rPr>
          <w:rtl w:val="0"/>
        </w:rPr>
        <w:t xml:space="preserve"> does when identifying contradictions in denial letters.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View on Google Patents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d7v0k9c25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Automated Claim Access System and Method For Claims Adjudication (US 2008/0154689)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A foundational patent for the </w:t>
      </w:r>
      <w:r w:rsidDel="00000000" w:rsidR="00000000" w:rsidRPr="00000000">
        <w:rPr>
          <w:b w:val="1"/>
          <w:bCs w:val="1"/>
          <w:rtl w:val="0"/>
        </w:rPr>
        <w:t xml:space="preserve">Auto-Draft vs. Manual Review</w:t>
      </w:r>
      <w:r w:rsidDel="00000000" w:rsidR="00000000" w:rsidRPr="00000000">
        <w:rPr>
          <w:rtl w:val="0"/>
        </w:rPr>
        <w:t xml:space="preserve"> logic. It describes a system that identifies claim events and decides whether to process them automatically or queue them for human review, validating your </w:t>
      </w:r>
      <w:r w:rsidDel="00000000" w:rsidR="00000000" w:rsidRPr="00000000">
        <w:rPr>
          <w:b w:val="1"/>
          <w:bCs w:val="1"/>
          <w:rtl w:val="0"/>
        </w:rPr>
        <w:t xml:space="preserve">Adaptive Template Selector</w:t>
      </w:r>
      <w:r w:rsidDel="00000000" w:rsidR="00000000" w:rsidRPr="00000000">
        <w:rPr>
          <w:rtl w:val="0"/>
        </w:rPr>
        <w:t xml:space="preserve"> workflow.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View on Google Patents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j74gstto4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Automated claims processing system (US 2010/0145734)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Covers "Risk Profiling" for claims. This protects the method of assigning a "confidence level" or risk score to a claim to determine the level of proof required, which matches your </w:t>
      </w:r>
      <w:r w:rsidDel="00000000" w:rsidR="00000000" w:rsidRPr="00000000">
        <w:rPr>
          <w:b w:val="1"/>
          <w:bCs w:val="1"/>
          <w:rtl w:val="0"/>
        </w:rPr>
        <w:t xml:space="preserve">Phase 6 Confidence Calibration</w:t>
      </w:r>
      <w:r w:rsidDel="00000000" w:rsidR="00000000" w:rsidRPr="00000000">
        <w:rPr>
          <w:rtl w:val="0"/>
        </w:rPr>
        <w:t xml:space="preserve"> (assigning 0-100% scores).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View on Google Patents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5dm519ri5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Electronic insurance application fulfillment system and method (US 2004/0172310)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Relevant to your </w:t>
      </w:r>
      <w:r w:rsidDel="00000000" w:rsidR="00000000" w:rsidRPr="00000000">
        <w:rPr>
          <w:b w:val="1"/>
          <w:bCs w:val="1"/>
          <w:rtl w:val="0"/>
        </w:rPr>
        <w:t xml:space="preserve">Dynamic Template Selection</w:t>
      </w:r>
      <w:r w:rsidDel="00000000" w:rsidR="00000000" w:rsidRPr="00000000">
        <w:rPr>
          <w:rtl w:val="0"/>
        </w:rPr>
        <w:t xml:space="preserve">. It describes a "rules-based application" that merges user data with selected product options to create a pre-application document. This matches your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python-docx</w:t>
      </w:r>
      <w:r w:rsidDel="00000000" w:rsidR="00000000" w:rsidRPr="00000000">
        <w:rPr>
          <w:rtl w:val="0"/>
        </w:rPr>
        <w:t xml:space="preserve"> to dynamically merge reasoning outputs into formal appeal letters.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View on Google Patents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patents.google.com/patent/US20080154689A1/en" TargetMode="External"/><Relationship Id="rId22" Type="http://schemas.openxmlformats.org/officeDocument/2006/relationships/hyperlink" Target="https://patents.google.com/patent/US20100145734A1/en" TargetMode="External"/><Relationship Id="rId21" Type="http://schemas.openxmlformats.org/officeDocument/2006/relationships/hyperlink" Target="https://www.google.com/search?q=https://patents.google.com/patent/US20080154689A1/en" TargetMode="External"/><Relationship Id="rId24" Type="http://schemas.openxmlformats.org/officeDocument/2006/relationships/hyperlink" Target="https://patents.google.com/patent/US20040172310A1/en" TargetMode="External"/><Relationship Id="rId23" Type="http://schemas.openxmlformats.org/officeDocument/2006/relationships/hyperlink" Target="https://patents.google.com/patent/US20100145734A1/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eeexplore.ieee.org/document/10113317" TargetMode="External"/><Relationship Id="rId25" Type="http://schemas.openxmlformats.org/officeDocument/2006/relationships/hyperlink" Target="https://patents.google.com/patent/US20040172310A1/en" TargetMode="External"/><Relationship Id="rId5" Type="http://schemas.openxmlformats.org/officeDocument/2006/relationships/styles" Target="styles.xml"/><Relationship Id="rId6" Type="http://schemas.openxmlformats.org/officeDocument/2006/relationships/hyperlink" Target="https://ieeexplore.ieee.org/document/9852458" TargetMode="External"/><Relationship Id="rId7" Type="http://schemas.openxmlformats.org/officeDocument/2006/relationships/hyperlink" Target="https://ieeexplore.ieee.org/document/9852458" TargetMode="External"/><Relationship Id="rId8" Type="http://schemas.openxmlformats.org/officeDocument/2006/relationships/hyperlink" Target="https://ieeexplore.ieee.org/document/10113317" TargetMode="External"/><Relationship Id="rId11" Type="http://schemas.openxmlformats.org/officeDocument/2006/relationships/hyperlink" Target="https://ieeexplore.ieee.org/document/9496116" TargetMode="External"/><Relationship Id="rId10" Type="http://schemas.openxmlformats.org/officeDocument/2006/relationships/hyperlink" Target="https://ieeexplore.ieee.org/document/9496116" TargetMode="External"/><Relationship Id="rId13" Type="http://schemas.openxmlformats.org/officeDocument/2006/relationships/hyperlink" Target="https://www.researchgate.net/publication/360754398_A_medical_insurance_fraud_detection_model_with_knowledge_graph_and_machine_learning" TargetMode="External"/><Relationship Id="rId12" Type="http://schemas.openxmlformats.org/officeDocument/2006/relationships/hyperlink" Target="https://www.researchgate.net/publication/360754398_A_medical_insurance_fraud_detection_model_with_knowledge_graph_and_machine_learning" TargetMode="External"/><Relationship Id="rId15" Type="http://schemas.openxmlformats.org/officeDocument/2006/relationships/hyperlink" Target="https://ieeexplore.ieee.org/document/10113317" TargetMode="External"/><Relationship Id="rId14" Type="http://schemas.openxmlformats.org/officeDocument/2006/relationships/hyperlink" Target="https://ieeexplore.ieee.org/document/10113317" TargetMode="External"/><Relationship Id="rId17" Type="http://schemas.openxmlformats.org/officeDocument/2006/relationships/hyperlink" Target="https://patents.google.com/patent/US11791048B2/en" TargetMode="External"/><Relationship Id="rId16" Type="http://schemas.openxmlformats.org/officeDocument/2006/relationships/hyperlink" Target="https://patents.google.com/patent/US11791048B2/en" TargetMode="External"/><Relationship Id="rId19" Type="http://schemas.openxmlformats.org/officeDocument/2006/relationships/hyperlink" Target="https://patents.google.com/patent/US20140149128A1/en" TargetMode="External"/><Relationship Id="rId18" Type="http://schemas.openxmlformats.org/officeDocument/2006/relationships/hyperlink" Target="https://patents.google.com/patent/US20140149128A1/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