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Decisiones de Features y Schemas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Taller de Tesis I — Grupo G2 — Entrega 2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Cobertura de columnas por año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dataset unificado comprende tres ediciones del Stack Overflow Developer Survey (2023, 2024, 2025) con ~203k filas. El análisis de los schemas reveló tres niveles de cobertura temporal: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1800"/>
        <w:gridCol w:w="7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2025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MainBranch, Age, EdLevel, Employment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Perfil básico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DevType, OrgSize, Country, 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Perfil laboral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YearsCode, YearsCodePro, WorkExp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Experiencia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RemoteWork, ICorPM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Modalidad de trabajo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Language, Database,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Stack técnico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NEWCollabTools / DevEnvs*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IDEs (renombre 2025)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AISelect, AISent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Target (excluir como feature)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JobSat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Solo 2024-2025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AIComplex, AIThreat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Excluir — leakage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2"/>
                <w:szCs w:val="22"/>
              </w:rPr>
              <w:t xml:space="preserve">✓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Excluir — &gt;50% nulos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4472C4" w:sz="4" w:space="6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* NEWCollabTools en 2023/2024 se renombra DevEnvs en 2025. El notebook 01_exploracion.ipynb ya aplica la normalización al momento de la carga.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Features seleccionadas para modelado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seleccionaron 15 features del Grupo A (presentes en los 3 años) que describen el perfil profesional del desarrollador sin introducir información sobre su relación con la IA (para evitar data leakage respecto al target).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Grupo A — Features de perfil profesional (3 años)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80"/>
        <w:gridCol w:w="22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DevType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Rol actual (fullstack, backend, ML engineer, etc.)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Multi-valor (;)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OHE top-15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YearsCode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Años codificando en total (incluye educación)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Ordinal string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Mapeo numérico ordinal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YearsCodePro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Años de experiencia profesional remunerada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Ordinal string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Mapeo numérico ordinal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WorkExp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Años de experiencia laboral total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Ordinal string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Mapeo numérico ordinal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EdLevel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Nivel máximo de educación formal completado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Ordinal (5 niveles)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Ordinal encoder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OrgSize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Cantidad de empleados de la empresa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Ordinal (7 niveles)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Ordinal encoder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Employment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Situación laboral actual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Multi-valor (;)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Simplificar a full-time / part-time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RemoteWork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Modalidad: remoto / presencial / híbrido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Nominal (3 categ.)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OHE (3 dummies)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ICorPM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Contribuidor individual vs people manager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Nominal binario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Binario (0/1)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Industry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Industria de la empresa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Nominal (~20 categ.)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OHE top-10 +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Country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País de residencia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Nominal (~180 categ.)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Agrupar en 6 regiones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Lenguajes de programación usados (último año)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Multi-valor (;)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OHE top-20 lenguajes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Bases de datos usadas (último año)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Multi-valor (;)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OHE top-10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Cloud platforms usadas (último año)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Multi-valor (;)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OHE top-10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NEWCollabTools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IDEs y entornos de desarrollo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Multi-valor (;)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OHE top-10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Grupo B — Feature adicional con cobertura parcial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80"/>
        <w:gridCol w:w="22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Disponibilidad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JobSat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Satisfacción en el rol profesional actual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2024–2025 únicamente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Incluir con imputación de moda en 2023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de control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80"/>
        <w:gridCol w:w="20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Columna</w:t>
            </w:r>
          </w:p>
        </w:tc>
        <w:tc>
          <w:tcPr>
            <w:tcW w:type="dxa" w:w="5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survey_year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Año de la encuesta (2023 / 2024 / 2025). Controla el drift temporal en la adopción de IA.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Numérico / dummies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Columnas excluidas y justificación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Columna(s)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Categoría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AITool, AINext, AIOpen, AIBen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leakage — uso de 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Describen el uso actual o futuro de herramientas de IA. Incluirlas introduciría información directamente relacionada con el target, inflando artificialmente las métricas del modelo.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AIComplex, AIThreat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leakage — actitudes hacia 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Miden percepción sobre herramientas de IA. Son consecuencia de la adopción, no predictores. Solo disponibles en 2024–2025, lo que agrega un problema de cobertura adicional.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tasa de nulos + sesgo monetario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Tasa de NaN superior al 50% en el dataset combinado. Adicionalmente, el salario está expresado en moneda local (Currency), lo que impide comparar directamente entre países sin una conversión a PPA que introduce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Redundancia con YearsCode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correlación esperada con YearsCode y YearsCodePro. No aporta información independiente sobre el perfil técnico del desarrollador.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Proxy de Country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aporta información independiente; es un subrogado de la región geográfica ya capturada por Country (agrupado en regiones).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SOVisitFreq, SOPartFreq, SOAccount, SOComm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Comportamiento en plataforma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Miden actividad en Stack Overflow, no características del perfil profesional. Son externas a la pregunta de investigación.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OfficeStackSync, OfficeStackAsync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Herramientas de comunicación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Herramientas como Slack o Jira no son predictoras directas de la adopción de IA; capturan cultura organizacional de forma indirecta y con alta cardinalidad.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LearnCode, LearnCodeOnline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Baja señal predictiva esperada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Cómo el desarrollador aprendió a programar tiene baja relación esperada con la adopción de herramientas de IA en el trabajo. Se evalúa en EDA y se decide si incorporar.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PurchaseInfluence, BuyNewTool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Proceso de compra organizacional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Relevante para contextos B2B pero no central al perfil técnico-profesional del desarrollador individual.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CodingActivities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Actividades fuera del trabajo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Describe código escrito fuera del trabajo; baja señal respecto a la adopción de IA en contexto profesional.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Cambios de nomenclatura entre años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Durante la unificación de los tres datasets se identificaron los siguientes cambios de nombre de columnas que requieren normalización explícita en el notebook de preprocesamiento: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2023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2024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IDEs y entornos de desarrollo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NEWCollabTools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NEWCollabTools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DevEnvs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Herramientas de búsqueda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AISearch + AIDev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AISearchDev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(sin equivalente directo)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Beneficios esperados de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AIAcc (ATENCION)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AIBen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AIBen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Confianza en precisión de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AIBen (ATENCION)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AIAcc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AIAcc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4472C4" w:sz="4" w:space="6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CRÍTICO: En el survey de 2023, los nombres AIAcc y AIBen están intercambiados respecto a 2024 y 2025. AIAcc en 2023 pregunta por beneficios esperados (= AIBen en 2024+), y AIBen en 2023 pregunta por confianza en la precisión (= AIAcc en 2024+). Esta corrección ya está documentada y aplicada en el notebook 01_exploracion.ipynb.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Construcción y validación de la variable target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variable target binaria se construye como la intersección entre uso actual y actitud favorable hacia la IA, alineada con el modelo TAM (Davis, 1989):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target = 1  ↔  AISelect == 'Yes'  AND  AISent ∈ {'Favorable', 'Very favorable'}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definición captura la intersección entre Actual Use y Attitude del TAM: un desarrollador que usa IA pero con actitud negativa está en riesgo de abandono y no representa adopción sostenida. La distribución resultante en el dataset unificado es:</w:t>
      </w:r>
    </w:p>
    <w:p>
      <w:pPr>
        <w:spacing w:before="60" w:after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 — Adoptante sostenido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~80.900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39,8%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 — No adoptante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~122.100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60,2%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4472C4" w:sz="4" w:space="6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El desbalance de clases (60/40) es moderado y no requiere técnicas de resampling agresivo. Se usará class_weight='balanced' en los modelos supervisados y se reportará F1-score macro además de accuracy.</w:t>
      </w:r>
    </w:p>
    <w:p>
      <w:pPr>
        <w:spacing w:before="60" w:after="60"/>
      </w:pPr>
      <w:r>
        <w:t xml:space="preserve"/>
      </w:r>
    </w:p>
    <w:p>
      <w:pPr>
        <w:pBdr>
          <w:left w:val="single" w:color="4472C4" w:sz="4" w:space="6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Atención 2025: La tasa de NaN en AISelect es del 31% en 2025 vs. 1–7% en años anteriores. Los NaN caen en target=0, lo que arrastra artificialmente la tasa hacia abajo. Se reportarán dos métricas: tasa sobre el dataset completo y tasa sobre respondentes válidos (sin NaN en AISelect).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Estructura del notebook 02_preprocesamiento.ipynb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1: </w:t>
      </w:r>
      <w:r>
        <w:rPr>
          <w:rFonts w:ascii="Arial" w:cs="Arial" w:eastAsia="Arial" w:hAnsi="Arial"/>
          <w:sz w:val="22"/>
          <w:szCs w:val="22"/>
        </w:rPr>
        <w:t xml:space="preserve">Carga del dataset unificado y verificación de schemas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2: </w:t>
      </w:r>
      <w:r>
        <w:rPr>
          <w:rFonts w:ascii="Arial" w:cs="Arial" w:eastAsia="Arial" w:hAnsi="Arial"/>
          <w:sz w:val="22"/>
          <w:szCs w:val="22"/>
        </w:rPr>
        <w:t xml:space="preserve">Filtro de calidad: MainBranch == 'I am a developer by profession'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3: </w:t>
      </w:r>
      <w:r>
        <w:rPr>
          <w:rFonts w:ascii="Arial" w:cs="Arial" w:eastAsia="Arial" w:hAnsi="Arial"/>
          <w:sz w:val="22"/>
          <w:szCs w:val="22"/>
        </w:rPr>
        <w:t xml:space="preserve">Selección de columnas según este documento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4: </w:t>
      </w:r>
      <w:r>
        <w:rPr>
          <w:rFonts w:ascii="Arial" w:cs="Arial" w:eastAsia="Arial" w:hAnsi="Arial"/>
          <w:sz w:val="22"/>
          <w:szCs w:val="22"/>
        </w:rPr>
        <w:t xml:space="preserve">Tratamiento de nulos por columna (umbral 40% + estrategia por tipo)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5: </w:t>
      </w:r>
      <w:r>
        <w:rPr>
          <w:rFonts w:ascii="Arial" w:cs="Arial" w:eastAsia="Arial" w:hAnsi="Arial"/>
          <w:sz w:val="22"/>
          <w:szCs w:val="22"/>
        </w:rPr>
        <w:t xml:space="preserve">Encoding de variables ordinales (YearsCode, EdLevel, OrgSize)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6: </w:t>
      </w:r>
      <w:r>
        <w:rPr>
          <w:rFonts w:ascii="Arial" w:cs="Arial" w:eastAsia="Arial" w:hAnsi="Arial"/>
          <w:sz w:val="22"/>
          <w:szCs w:val="22"/>
        </w:rPr>
        <w:t xml:space="preserve">OHE de variables nominales con baja cardinalidad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7: </w:t>
      </w:r>
      <w:r>
        <w:rPr>
          <w:rFonts w:ascii="Arial" w:cs="Arial" w:eastAsia="Arial" w:hAnsi="Arial"/>
          <w:sz w:val="22"/>
          <w:szCs w:val="22"/>
        </w:rPr>
        <w:t xml:space="preserve">Binarización de variables multi-valor (lenguajes, plataformas, IDEs)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8: </w:t>
      </w:r>
      <w:r>
        <w:rPr>
          <w:rFonts w:ascii="Arial" w:cs="Arial" w:eastAsia="Arial" w:hAnsi="Arial"/>
          <w:sz w:val="22"/>
          <w:szCs w:val="22"/>
        </w:rPr>
        <w:t xml:space="preserve">Agrupación de Country en 6 regiones geográficas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9: </w:t>
      </w:r>
      <w:r>
        <w:rPr>
          <w:rFonts w:ascii="Arial" w:cs="Arial" w:eastAsia="Arial" w:hAnsi="Arial"/>
          <w:sz w:val="22"/>
          <w:szCs w:val="22"/>
        </w:rPr>
        <w:t xml:space="preserve">Construcción de la variable target y verificación de distribución por año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Sección 10: </w:t>
      </w:r>
      <w:r>
        <w:rPr>
          <w:rFonts w:ascii="Arial" w:cs="Arial" w:eastAsia="Arial" w:hAnsi="Arial"/>
          <w:sz w:val="22"/>
          <w:szCs w:val="22"/>
        </w:rPr>
        <w:t xml:space="preserve">Exportación del dataset limpio a df_clean.parquet + reporte de nulos</w:t>
      </w:r>
    </w:p>
    <w:p>
      <w:pPr>
        <w:spacing w:before="60" w:after="60"/>
      </w:pPr>
      <w:r>
        <w:t xml:space="preserve"/>
      </w: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Taller de Tesis I — FCEyN UBA — Grupo G2 —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2026-03-22T02:03:03.177Z</dcterms:created>
  <dcterms:modified xsi:type="dcterms:W3CDTF">2026-03-22T02:03:03.178Z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