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EB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F3864"/>
            <w:tcMar>
              <w:top w:w="200" w:type="dxa"/>
              <w:left w:w="400" w:type="dxa"/>
              <w:bottom w:w="200" w:type="dxa"/>
              <w:right w:w="400" w:type="dxa"/>
            </w:tcMar>
          </w:tcPr>
          <w:p w14:paraId="247A4E14">
            <w:pPr>
              <w:jc w:val="center"/>
              <w:rPr>
                <w:rFonts w:hint="default" w:ascii="Arial" w:hAnsi="Arial" w:eastAsia="Arial" w:cs="Arial"/>
                <w:b/>
                <w:bCs/>
                <w:color w:val="FFFFFF"/>
                <w:sz w:val="52"/>
                <w:szCs w:val="52"/>
                <w:lang w:val="en-AU"/>
              </w:rPr>
            </w:pPr>
            <w:r>
              <w:rPr>
                <w:rFonts w:hint="default" w:ascii="Arial" w:hAnsi="Arial" w:eastAsia="Arial" w:cs="Arial"/>
                <w:b/>
                <w:bCs/>
                <w:color w:val="FFFFFF"/>
                <w:sz w:val="52"/>
                <w:szCs w:val="52"/>
                <w:lang w:val="en-AU"/>
              </w:rPr>
              <w:t>Dhairya Pahwa</w:t>
            </w:r>
          </w:p>
          <w:p w14:paraId="3C3721F9">
            <w:pPr>
              <w:jc w:val="center"/>
            </w:pPr>
            <w:r>
              <w:rPr>
                <w:rFonts w:ascii="Arial" w:hAnsi="Arial" w:eastAsia="Arial" w:cs="Arial"/>
                <w:color w:val="A9C4E8"/>
                <w:sz w:val="24"/>
                <w:szCs w:val="24"/>
              </w:rPr>
              <w:t>Guidewire Technical Lead</w:t>
            </w:r>
          </w:p>
          <w:p w14:paraId="6F7BADF6">
            <w:pPr>
              <w:spacing w:before="80"/>
              <w:jc w:val="center"/>
            </w:pPr>
            <w:r>
              <w:rPr>
                <w:rFonts w:ascii="Arial" w:hAnsi="Arial" w:eastAsia="Arial" w:cs="Arial"/>
                <w:color w:val="C9D9EC"/>
                <w:sz w:val="18"/>
                <w:szCs w:val="18"/>
              </w:rPr>
              <w:t xml:space="preserve">Canberra, ACT  |  </w:t>
            </w:r>
            <w:r>
              <w:rPr>
                <w:rFonts w:ascii="SimSun" w:hAnsi="SimSun" w:eastAsia="SimSun" w:cs="SimSun"/>
                <w:sz w:val="24"/>
                <w:szCs w:val="24"/>
              </w:rPr>
              <w:t>+61421369211</w:t>
            </w:r>
          </w:p>
        </w:tc>
      </w:tr>
    </w:tbl>
    <w:p w14:paraId="0A7B186E">
      <w:pPr>
        <w:spacing w:before="160" w:after="0"/>
      </w:pPr>
    </w:p>
    <w:p w14:paraId="4B6C833C">
      <w:pPr>
        <w:spacing w:before="200" w:after="40"/>
      </w:pPr>
      <w:r>
        <w:rPr>
          <w:rFonts w:ascii="Arial" w:hAnsi="Arial" w:eastAsia="Arial" w:cs="Arial"/>
          <w:b/>
          <w:bCs/>
          <w:color w:val="2E75B6"/>
          <w:sz w:val="26"/>
          <w:szCs w:val="26"/>
        </w:rPr>
        <w:t>SCREENING SUMMARY</w:t>
      </w:r>
      <w:bookmarkStart w:id="0" w:name="_GoBack"/>
      <w:bookmarkEnd w:id="0"/>
    </w:p>
    <w:p w14:paraId="681E7F00">
      <w:pPr>
        <w:pBdr>
          <w:bottom w:val="single" w:color="2E75B6" w:sz="8" w:space="1"/>
        </w:pBdr>
        <w:spacing w:before="6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273B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68A1E55D">
            <w:r>
              <w:rPr>
                <w:rFonts w:ascii="Arial" w:hAnsi="Arial" w:eastAsia="Arial" w:cs="Arial"/>
                <w:b/>
                <w:bCs/>
                <w:color w:val="2D2D2D"/>
                <w:sz w:val="18"/>
                <w:szCs w:val="18"/>
              </w:rPr>
              <w:t>Work Rights</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2E323B1">
            <w:r>
              <w:rPr>
                <w:rFonts w:ascii="Arial" w:hAnsi="Arial" w:eastAsia="Arial" w:cs="Arial"/>
                <w:color w:val="2D2D2D"/>
                <w:sz w:val="18"/>
                <w:szCs w:val="18"/>
              </w:rPr>
              <w:t>Australian Permanent Resident (PR)</w:t>
            </w:r>
          </w:p>
        </w:tc>
      </w:tr>
      <w:tr w14:paraId="1DFD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6F980A81">
            <w:r>
              <w:rPr>
                <w:rFonts w:ascii="Arial" w:hAnsi="Arial" w:eastAsia="Arial" w:cs="Arial"/>
                <w:b/>
                <w:bCs/>
                <w:color w:val="2D2D2D"/>
                <w:sz w:val="18"/>
                <w:szCs w:val="18"/>
              </w:rPr>
              <w:t>Opportunity Type</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43B1F9E">
            <w:r>
              <w:rPr>
                <w:rFonts w:ascii="Arial" w:hAnsi="Arial" w:eastAsia="Arial" w:cs="Arial"/>
                <w:color w:val="2D2D2D"/>
                <w:sz w:val="18"/>
                <w:szCs w:val="18"/>
              </w:rPr>
              <w:t>Both</w:t>
            </w:r>
          </w:p>
        </w:tc>
      </w:tr>
      <w:tr w14:paraId="4F01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513E6B2B">
            <w:r>
              <w:rPr>
                <w:rFonts w:ascii="Arial" w:hAnsi="Arial" w:eastAsia="Arial" w:cs="Arial"/>
                <w:b/>
                <w:bCs/>
                <w:color w:val="2D2D2D"/>
                <w:sz w:val="18"/>
                <w:szCs w:val="18"/>
              </w:rPr>
              <w:t>Offers in Hand</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0919B5D">
            <w:r>
              <w:rPr>
                <w:rFonts w:ascii="Arial" w:hAnsi="Arial" w:eastAsia="Arial" w:cs="Arial"/>
                <w:color w:val="2D2D2D"/>
                <w:sz w:val="18"/>
                <w:szCs w:val="18"/>
              </w:rPr>
              <w:t>No</w:t>
            </w:r>
          </w:p>
        </w:tc>
      </w:tr>
      <w:tr w14:paraId="7224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6A50635E">
            <w:r>
              <w:rPr>
                <w:rFonts w:ascii="Arial" w:hAnsi="Arial" w:eastAsia="Arial" w:cs="Arial"/>
                <w:b/>
                <w:bCs/>
                <w:color w:val="2D2D2D"/>
                <w:sz w:val="18"/>
                <w:szCs w:val="18"/>
              </w:rPr>
              <w:t>Notice Period</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40B38F1">
            <w:r>
              <w:rPr>
                <w:rFonts w:ascii="Arial" w:hAnsi="Arial" w:eastAsia="Arial" w:cs="Arial"/>
                <w:color w:val="2D2D2D"/>
                <w:sz w:val="18"/>
                <w:szCs w:val="18"/>
              </w:rPr>
              <w:t>1–2 months</w:t>
            </w:r>
          </w:p>
        </w:tc>
      </w:tr>
      <w:tr w14:paraId="4068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43C915CD">
            <w:r>
              <w:rPr>
                <w:rFonts w:ascii="Arial" w:hAnsi="Arial" w:eastAsia="Arial" w:cs="Arial"/>
                <w:b/>
                <w:bCs/>
                <w:color w:val="2D2D2D"/>
                <w:sz w:val="18"/>
                <w:szCs w:val="18"/>
              </w:rPr>
              <w:t>Total Experience</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73E58827">
            <w:r>
              <w:rPr>
                <w:rFonts w:ascii="Arial" w:hAnsi="Arial" w:eastAsia="Arial" w:cs="Arial"/>
                <w:color w:val="2D2D2D"/>
                <w:sz w:val="18"/>
                <w:szCs w:val="18"/>
              </w:rPr>
              <w:t>13 years overall / 8 years Guidewire</w:t>
            </w:r>
          </w:p>
        </w:tc>
      </w:tr>
      <w:tr w14:paraId="7559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38BA4F28">
            <w:r>
              <w:rPr>
                <w:rFonts w:ascii="Arial" w:hAnsi="Arial" w:eastAsia="Arial" w:cs="Arial"/>
                <w:b/>
                <w:bCs/>
                <w:color w:val="2D2D2D"/>
                <w:sz w:val="18"/>
                <w:szCs w:val="18"/>
              </w:rPr>
              <w:t>Guidewire Modules</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1C4385E">
            <w:r>
              <w:rPr>
                <w:rFonts w:ascii="Arial" w:hAnsi="Arial" w:eastAsia="Arial" w:cs="Arial"/>
                <w:color w:val="2D2D2D"/>
                <w:sz w:val="18"/>
                <w:szCs w:val="18"/>
              </w:rPr>
              <w:t>PolicyCenter (PC), ClaimCenter (CC), BillingCenter (BC)</w:t>
            </w:r>
          </w:p>
        </w:tc>
      </w:tr>
      <w:tr w14:paraId="26B7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1984FD0C">
            <w:r>
              <w:rPr>
                <w:rFonts w:ascii="Arial" w:hAnsi="Arial" w:eastAsia="Arial" w:cs="Arial"/>
                <w:b/>
                <w:bCs/>
                <w:color w:val="2D2D2D"/>
                <w:sz w:val="18"/>
                <w:szCs w:val="18"/>
              </w:rPr>
              <w:t>Configuration &amp; Integration</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7DF8413">
            <w:r>
              <w:rPr>
                <w:rFonts w:ascii="Arial" w:hAnsi="Arial" w:eastAsia="Arial" w:cs="Arial"/>
                <w:color w:val="2D2D2D"/>
                <w:sz w:val="18"/>
                <w:szCs w:val="18"/>
              </w:rPr>
              <w:t>7 years</w:t>
            </w:r>
          </w:p>
        </w:tc>
      </w:tr>
      <w:tr w14:paraId="24C9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1CA56AC3">
            <w:r>
              <w:rPr>
                <w:rFonts w:ascii="Arial" w:hAnsi="Arial" w:eastAsia="Arial" w:cs="Arial"/>
                <w:b/>
                <w:bCs/>
                <w:color w:val="2D2D2D"/>
                <w:sz w:val="18"/>
                <w:szCs w:val="18"/>
              </w:rPr>
              <w:t>Gosu Programming</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99EAEA8">
            <w:r>
              <w:rPr>
                <w:rFonts w:ascii="Arial" w:hAnsi="Arial" w:eastAsia="Arial" w:cs="Arial"/>
                <w:color w:val="2D2D2D"/>
                <w:sz w:val="18"/>
                <w:szCs w:val="18"/>
              </w:rPr>
              <w:t>Yes</w:t>
            </w:r>
          </w:p>
        </w:tc>
      </w:tr>
      <w:tr w14:paraId="6D05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52B5B221">
            <w:r>
              <w:rPr>
                <w:rFonts w:ascii="Arial" w:hAnsi="Arial" w:eastAsia="Arial" w:cs="Arial"/>
                <w:b/>
                <w:bCs/>
                <w:color w:val="2D2D2D"/>
                <w:sz w:val="18"/>
                <w:szCs w:val="18"/>
              </w:rPr>
              <w:t>Current Salary</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A217385">
            <w:r>
              <w:rPr>
                <w:rFonts w:ascii="Arial" w:hAnsi="Arial" w:eastAsia="Arial" w:cs="Arial"/>
                <w:color w:val="2D2D2D"/>
                <w:sz w:val="18"/>
                <w:szCs w:val="18"/>
              </w:rPr>
              <w:t>AUD 155,000 per annum</w:t>
            </w:r>
          </w:p>
        </w:tc>
      </w:tr>
      <w:tr w14:paraId="510D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60" w:type="dxa"/>
              <w:left w:w="120" w:type="dxa"/>
              <w:bottom w:w="60" w:type="dxa"/>
              <w:right w:w="120" w:type="dxa"/>
            </w:tcMar>
          </w:tcPr>
          <w:p w14:paraId="686AD51B">
            <w:r>
              <w:rPr>
                <w:rFonts w:ascii="Arial" w:hAnsi="Arial" w:eastAsia="Arial" w:cs="Arial"/>
                <w:b/>
                <w:bCs/>
                <w:color w:val="2D2D2D"/>
                <w:sz w:val="18"/>
                <w:szCs w:val="18"/>
              </w:rPr>
              <w:t>Salary Expectation</w:t>
            </w:r>
          </w:p>
        </w:tc>
        <w:tc>
          <w:tcPr>
            <w:tcW w:w="556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3246CC1">
            <w:r>
              <w:rPr>
                <w:rFonts w:ascii="Arial" w:hAnsi="Arial" w:eastAsia="Arial" w:cs="Arial"/>
                <w:color w:val="2D2D2D"/>
                <w:sz w:val="18"/>
                <w:szCs w:val="18"/>
              </w:rPr>
              <w:t>AUD 170,000 – 185,000 per annum</w:t>
            </w:r>
          </w:p>
        </w:tc>
      </w:tr>
    </w:tbl>
    <w:p w14:paraId="04BFC42F">
      <w:pPr>
        <w:spacing w:before="160" w:after="0"/>
      </w:pPr>
    </w:p>
    <w:p w14:paraId="6ACAB94B">
      <w:pPr>
        <w:spacing w:before="200" w:after="40"/>
      </w:pPr>
      <w:r>
        <w:rPr>
          <w:rFonts w:ascii="Arial" w:hAnsi="Arial" w:eastAsia="Arial" w:cs="Arial"/>
          <w:b/>
          <w:bCs/>
          <w:color w:val="2E75B6"/>
          <w:sz w:val="26"/>
          <w:szCs w:val="26"/>
        </w:rPr>
        <w:t>PROFESSIONAL PROFILE</w:t>
      </w:r>
    </w:p>
    <w:p w14:paraId="6353E003">
      <w:pPr>
        <w:pBdr>
          <w:bottom w:val="single" w:color="2E75B6" w:sz="8" w:space="1"/>
        </w:pBdr>
        <w:spacing w:before="60" w:after="100"/>
      </w:pPr>
    </w:p>
    <w:p w14:paraId="363B6F77">
      <w:pPr>
        <w:spacing w:before="40" w:after="40"/>
      </w:pPr>
      <w:r>
        <w:rPr>
          <w:rFonts w:ascii="Arial" w:hAnsi="Arial" w:eastAsia="Arial" w:cs="Arial"/>
          <w:color w:val="2D2D2D"/>
          <w:sz w:val="20"/>
          <w:szCs w:val="20"/>
        </w:rPr>
        <w:t>Guidewire Technical Lead with 13 years in insurance software and 8 years of hands-on Guidewire development and architecture. Expert-level Gosu programmer with full Insurance Suite experience across PC, BC, and CC. Strong background leading distributed Agile teams, owning technical design, and delivering complex cloud migration programmes for enterprise insurers in Australia and Asia-Pacific.</w:t>
      </w:r>
    </w:p>
    <w:p w14:paraId="7D2BBED5">
      <w:pPr>
        <w:spacing w:before="160" w:after="0"/>
      </w:pPr>
    </w:p>
    <w:p w14:paraId="703F6954">
      <w:pPr>
        <w:spacing w:before="200" w:after="40"/>
      </w:pPr>
      <w:r>
        <w:rPr>
          <w:rFonts w:ascii="Arial" w:hAnsi="Arial" w:eastAsia="Arial" w:cs="Arial"/>
          <w:b/>
          <w:bCs/>
          <w:color w:val="2E75B6"/>
          <w:sz w:val="26"/>
          <w:szCs w:val="26"/>
        </w:rPr>
        <w:t>TECHNICAL SKILLS</w:t>
      </w:r>
    </w:p>
    <w:p w14:paraId="0A380938">
      <w:pPr>
        <w:pBdr>
          <w:bottom w:val="single" w:color="2E75B6" w:sz="8" w:space="1"/>
        </w:pBdr>
        <w:spacing w:before="60" w:after="100"/>
      </w:pPr>
    </w:p>
    <w:p w14:paraId="37E8E8C4">
      <w:pPr>
        <w:pStyle w:val="16"/>
        <w:numPr>
          <w:ilvl w:val="0"/>
          <w:numId w:val="1"/>
        </w:numPr>
        <w:spacing w:before="30" w:after="30"/>
      </w:pPr>
      <w:r>
        <w:rPr>
          <w:rFonts w:ascii="Arial" w:hAnsi="Arial" w:eastAsia="Arial" w:cs="Arial"/>
          <w:color w:val="2D2D2D"/>
          <w:sz w:val="20"/>
          <w:szCs w:val="20"/>
        </w:rPr>
        <w:t>Guidewire Insurance Suite — PolicyCenter, ClaimCenter, BillingCenter (all versions including Cloud)</w:t>
      </w:r>
    </w:p>
    <w:p w14:paraId="1603643A">
      <w:pPr>
        <w:pStyle w:val="16"/>
        <w:numPr>
          <w:ilvl w:val="0"/>
          <w:numId w:val="1"/>
        </w:numPr>
        <w:spacing w:before="30" w:after="30"/>
      </w:pPr>
      <w:r>
        <w:rPr>
          <w:rFonts w:ascii="Arial" w:hAnsi="Arial" w:eastAsia="Arial" w:cs="Arial"/>
          <w:color w:val="2D2D2D"/>
          <w:sz w:val="20"/>
          <w:szCs w:val="20"/>
        </w:rPr>
        <w:t>Advanced Gosu programming — product model, business rules, PCF, batch processes</w:t>
      </w:r>
    </w:p>
    <w:p w14:paraId="732893B0">
      <w:pPr>
        <w:pStyle w:val="16"/>
        <w:numPr>
          <w:ilvl w:val="0"/>
          <w:numId w:val="1"/>
        </w:numPr>
        <w:spacing w:before="30" w:after="30"/>
      </w:pPr>
      <w:r>
        <w:rPr>
          <w:rFonts w:ascii="Arial" w:hAnsi="Arial" w:eastAsia="Arial" w:cs="Arial"/>
          <w:color w:val="2D2D2D"/>
          <w:sz w:val="20"/>
          <w:szCs w:val="20"/>
        </w:rPr>
        <w:t>Guidewire Integration Gateway, REST, SOAP, Kafka event-driven integration</w:t>
      </w:r>
    </w:p>
    <w:p w14:paraId="1DAAF3FE">
      <w:pPr>
        <w:pStyle w:val="16"/>
        <w:numPr>
          <w:ilvl w:val="0"/>
          <w:numId w:val="1"/>
        </w:numPr>
        <w:spacing w:before="30" w:after="30"/>
      </w:pPr>
      <w:r>
        <w:rPr>
          <w:rFonts w:ascii="Arial" w:hAnsi="Arial" w:eastAsia="Arial" w:cs="Arial"/>
          <w:color w:val="2D2D2D"/>
          <w:sz w:val="20"/>
          <w:szCs w:val="20"/>
        </w:rPr>
        <w:t>Technical lead / solution architecture for Guidewire implementations</w:t>
      </w:r>
    </w:p>
    <w:p w14:paraId="5D4B5C51">
      <w:pPr>
        <w:pStyle w:val="16"/>
        <w:numPr>
          <w:ilvl w:val="0"/>
          <w:numId w:val="1"/>
        </w:numPr>
        <w:spacing w:before="30" w:after="30"/>
      </w:pPr>
      <w:r>
        <w:rPr>
          <w:rFonts w:ascii="Arial" w:hAnsi="Arial" w:eastAsia="Arial" w:cs="Arial"/>
          <w:color w:val="2D2D2D"/>
          <w:sz w:val="20"/>
          <w:szCs w:val="20"/>
        </w:rPr>
        <w:t>Java, Kotlin, Python scripting</w:t>
      </w:r>
    </w:p>
    <w:p w14:paraId="354A73D1">
      <w:pPr>
        <w:pStyle w:val="16"/>
        <w:numPr>
          <w:ilvl w:val="0"/>
          <w:numId w:val="1"/>
        </w:numPr>
        <w:spacing w:before="30" w:after="30"/>
      </w:pPr>
      <w:r>
        <w:rPr>
          <w:rFonts w:ascii="Arial" w:hAnsi="Arial" w:eastAsia="Arial" w:cs="Arial"/>
          <w:color w:val="2D2D2D"/>
          <w:sz w:val="20"/>
          <w:szCs w:val="20"/>
        </w:rPr>
        <w:t>Terraform, AWS, Azure DevOps, Docker</w:t>
      </w:r>
    </w:p>
    <w:p w14:paraId="101F5947">
      <w:pPr>
        <w:pStyle w:val="16"/>
        <w:numPr>
          <w:ilvl w:val="0"/>
          <w:numId w:val="1"/>
        </w:numPr>
        <w:spacing w:before="30" w:after="30"/>
      </w:pPr>
      <w:r>
        <w:rPr>
          <w:rFonts w:ascii="Arial" w:hAnsi="Arial" w:eastAsia="Arial" w:cs="Arial"/>
          <w:color w:val="2D2D2D"/>
          <w:sz w:val="20"/>
          <w:szCs w:val="20"/>
        </w:rPr>
        <w:t>Agile/SAFe, coaching and mentoring junior developers</w:t>
      </w:r>
    </w:p>
    <w:p w14:paraId="551DEB13">
      <w:pPr>
        <w:spacing w:before="160" w:after="0"/>
      </w:pPr>
    </w:p>
    <w:p w14:paraId="44FBA3F9">
      <w:pPr>
        <w:spacing w:before="200" w:after="40"/>
      </w:pPr>
      <w:r>
        <w:rPr>
          <w:rFonts w:ascii="Arial" w:hAnsi="Arial" w:eastAsia="Arial" w:cs="Arial"/>
          <w:b/>
          <w:bCs/>
          <w:color w:val="2E75B6"/>
          <w:sz w:val="26"/>
          <w:szCs w:val="26"/>
        </w:rPr>
        <w:t>WORK EXPERIENCE</w:t>
      </w:r>
    </w:p>
    <w:p w14:paraId="64660597">
      <w:pPr>
        <w:pBdr>
          <w:bottom w:val="single" w:color="2E75B6" w:sz="8" w:space="1"/>
        </w:pBdr>
        <w:spacing w:before="60" w:after="100"/>
      </w:pPr>
    </w:p>
    <w:p w14:paraId="2D9BF532">
      <w:pPr>
        <w:spacing w:before="120" w:after="20"/>
      </w:pPr>
      <w:r>
        <w:rPr>
          <w:rFonts w:ascii="Arial" w:hAnsi="Arial" w:eastAsia="Arial" w:cs="Arial"/>
          <w:b/>
          <w:bCs/>
          <w:color w:val="2D2D2D"/>
          <w:sz w:val="22"/>
          <w:szCs w:val="22"/>
        </w:rPr>
        <w:t>Guidewire Technical Lead</w:t>
      </w:r>
      <w:r>
        <w:rPr>
          <w:rFonts w:ascii="Arial" w:hAnsi="Arial" w:eastAsia="Arial" w:cs="Arial"/>
          <w:i/>
          <w:iCs/>
          <w:color w:val="555555"/>
          <w:sz w:val="20"/>
          <w:szCs w:val="20"/>
        </w:rPr>
        <w:t xml:space="preserve">  |  Jan 2019 – Present</w:t>
      </w:r>
    </w:p>
    <w:p w14:paraId="0D3A1369">
      <w:pPr>
        <w:spacing w:before="0" w:after="30"/>
      </w:pPr>
      <w:r>
        <w:rPr>
          <w:rFonts w:ascii="Arial" w:hAnsi="Arial" w:eastAsia="Arial" w:cs="Arial"/>
          <w:b/>
          <w:bCs/>
          <w:color w:val="2E75B6"/>
          <w:sz w:val="20"/>
          <w:szCs w:val="20"/>
        </w:rPr>
        <w:t>Zurich Insurance Australia</w:t>
      </w:r>
      <w:r>
        <w:rPr>
          <w:rFonts w:ascii="Arial" w:hAnsi="Arial" w:eastAsia="Arial" w:cs="Arial"/>
          <w:color w:val="555555"/>
          <w:sz w:val="20"/>
          <w:szCs w:val="20"/>
        </w:rPr>
        <w:t xml:space="preserve">  —  Canberra, ACT</w:t>
      </w:r>
    </w:p>
    <w:p w14:paraId="106AC37F">
      <w:pPr>
        <w:pStyle w:val="16"/>
        <w:numPr>
          <w:ilvl w:val="0"/>
          <w:numId w:val="1"/>
        </w:numPr>
        <w:spacing w:before="30" w:after="30"/>
      </w:pPr>
      <w:r>
        <w:rPr>
          <w:rFonts w:ascii="Arial" w:hAnsi="Arial" w:eastAsia="Arial" w:cs="Arial"/>
          <w:color w:val="2D2D2D"/>
          <w:sz w:val="20"/>
          <w:szCs w:val="20"/>
        </w:rPr>
        <w:t>Led a team of 8 developers through a Guidewire Cloud migration of PolicyCenter and ClaimCenter</w:t>
      </w:r>
    </w:p>
    <w:p w14:paraId="487119DD">
      <w:pPr>
        <w:pStyle w:val="16"/>
        <w:numPr>
          <w:ilvl w:val="0"/>
          <w:numId w:val="1"/>
        </w:numPr>
        <w:spacing w:before="30" w:after="30"/>
      </w:pPr>
      <w:r>
        <w:rPr>
          <w:rFonts w:ascii="Arial" w:hAnsi="Arial" w:eastAsia="Arial" w:cs="Arial"/>
          <w:color w:val="2D2D2D"/>
          <w:sz w:val="20"/>
          <w:szCs w:val="20"/>
        </w:rPr>
        <w:t>Designed integration architecture using Guidewire Integration Gateway and Kafka event streaming</w:t>
      </w:r>
    </w:p>
    <w:p w14:paraId="470BBA5A">
      <w:pPr>
        <w:pStyle w:val="16"/>
        <w:numPr>
          <w:ilvl w:val="0"/>
          <w:numId w:val="1"/>
        </w:numPr>
        <w:spacing w:before="30" w:after="30"/>
      </w:pPr>
      <w:r>
        <w:rPr>
          <w:rFonts w:ascii="Arial" w:hAnsi="Arial" w:eastAsia="Arial" w:cs="Arial"/>
          <w:color w:val="2D2D2D"/>
          <w:sz w:val="20"/>
          <w:szCs w:val="20"/>
        </w:rPr>
        <w:t>Accountable for technical quality, code review standards, and delivery timelines</w:t>
      </w:r>
    </w:p>
    <w:p w14:paraId="1255CEC2">
      <w:pPr>
        <w:pStyle w:val="16"/>
        <w:numPr>
          <w:ilvl w:val="0"/>
          <w:numId w:val="1"/>
        </w:numPr>
        <w:spacing w:before="30" w:after="30"/>
      </w:pPr>
      <w:r>
        <w:rPr>
          <w:rFonts w:ascii="Arial" w:hAnsi="Arial" w:eastAsia="Arial" w:cs="Arial"/>
          <w:color w:val="2D2D2D"/>
          <w:sz w:val="20"/>
          <w:szCs w:val="20"/>
        </w:rPr>
        <w:t>Defined Gosu coding standards and reusable libraries adopted across the programme</w:t>
      </w:r>
    </w:p>
    <w:p w14:paraId="1C6A546B">
      <w:pPr>
        <w:pStyle w:val="16"/>
        <w:numPr>
          <w:ilvl w:val="0"/>
          <w:numId w:val="1"/>
        </w:numPr>
        <w:spacing w:before="30" w:after="30"/>
      </w:pPr>
      <w:r>
        <w:rPr>
          <w:rFonts w:ascii="Arial" w:hAnsi="Arial" w:eastAsia="Arial" w:cs="Arial"/>
          <w:color w:val="2D2D2D"/>
          <w:sz w:val="20"/>
          <w:szCs w:val="20"/>
        </w:rPr>
        <w:t>Engaged directly with CIO and delivery executives on technical risk and roadmap</w:t>
      </w:r>
    </w:p>
    <w:p w14:paraId="5159BCD7">
      <w:pPr>
        <w:spacing w:before="120" w:after="20"/>
      </w:pPr>
      <w:r>
        <w:rPr>
          <w:rFonts w:ascii="Arial" w:hAnsi="Arial" w:eastAsia="Arial" w:cs="Arial"/>
          <w:b/>
          <w:bCs/>
          <w:color w:val="2D2D2D"/>
          <w:sz w:val="22"/>
          <w:szCs w:val="22"/>
        </w:rPr>
        <w:t>Senior Guidewire Developer</w:t>
      </w:r>
      <w:r>
        <w:rPr>
          <w:rFonts w:ascii="Arial" w:hAnsi="Arial" w:eastAsia="Arial" w:cs="Arial"/>
          <w:i/>
          <w:iCs/>
          <w:color w:val="555555"/>
          <w:sz w:val="20"/>
          <w:szCs w:val="20"/>
        </w:rPr>
        <w:t xml:space="preserve">  |  Mar 2015 – Dec 2018</w:t>
      </w:r>
    </w:p>
    <w:p w14:paraId="17D0899F">
      <w:pPr>
        <w:spacing w:before="0" w:after="30"/>
      </w:pPr>
      <w:r>
        <w:rPr>
          <w:rFonts w:ascii="Arial" w:hAnsi="Arial" w:eastAsia="Arial" w:cs="Arial"/>
          <w:b/>
          <w:bCs/>
          <w:color w:val="2E75B6"/>
          <w:sz w:val="20"/>
          <w:szCs w:val="20"/>
        </w:rPr>
        <w:t>Hollard Insurance</w:t>
      </w:r>
      <w:r>
        <w:rPr>
          <w:rFonts w:ascii="Arial" w:hAnsi="Arial" w:eastAsia="Arial" w:cs="Arial"/>
          <w:color w:val="555555"/>
          <w:sz w:val="20"/>
          <w:szCs w:val="20"/>
        </w:rPr>
        <w:t xml:space="preserve">  —  Sydney, NSW</w:t>
      </w:r>
    </w:p>
    <w:p w14:paraId="10E12326">
      <w:pPr>
        <w:pStyle w:val="16"/>
        <w:numPr>
          <w:ilvl w:val="0"/>
          <w:numId w:val="1"/>
        </w:numPr>
        <w:spacing w:before="30" w:after="30"/>
      </w:pPr>
      <w:r>
        <w:rPr>
          <w:rFonts w:ascii="Arial" w:hAnsi="Arial" w:eastAsia="Arial" w:cs="Arial"/>
          <w:color w:val="2D2D2D"/>
          <w:sz w:val="20"/>
          <w:szCs w:val="20"/>
        </w:rPr>
        <w:t>Full-stack Guidewire development across PC, BC, and CC for commercial lines</w:t>
      </w:r>
    </w:p>
    <w:p w14:paraId="07C14510">
      <w:pPr>
        <w:pStyle w:val="16"/>
        <w:numPr>
          <w:ilvl w:val="0"/>
          <w:numId w:val="1"/>
        </w:numPr>
        <w:spacing w:before="30" w:after="30"/>
      </w:pPr>
      <w:r>
        <w:rPr>
          <w:rFonts w:ascii="Arial" w:hAnsi="Arial" w:eastAsia="Arial" w:cs="Arial"/>
          <w:color w:val="2D2D2D"/>
          <w:sz w:val="20"/>
          <w:szCs w:val="20"/>
        </w:rPr>
        <w:t>Built complex Gosu workflows for multi-line policy endorsements and cancellations</w:t>
      </w:r>
    </w:p>
    <w:p w14:paraId="54F2D7BF">
      <w:pPr>
        <w:pStyle w:val="16"/>
        <w:numPr>
          <w:ilvl w:val="0"/>
          <w:numId w:val="1"/>
        </w:numPr>
        <w:spacing w:before="30" w:after="30"/>
      </w:pPr>
      <w:r>
        <w:rPr>
          <w:rFonts w:ascii="Arial" w:hAnsi="Arial" w:eastAsia="Arial" w:cs="Arial"/>
          <w:color w:val="2D2D2D"/>
          <w:sz w:val="20"/>
          <w:szCs w:val="20"/>
        </w:rPr>
        <w:t>Designed BillingCenter invoice billing and statement billing configurations</w:t>
      </w:r>
    </w:p>
    <w:p w14:paraId="0E0C0B1D">
      <w:pPr>
        <w:pStyle w:val="16"/>
        <w:numPr>
          <w:ilvl w:val="0"/>
          <w:numId w:val="1"/>
        </w:numPr>
        <w:spacing w:before="30" w:after="30"/>
      </w:pPr>
      <w:r>
        <w:rPr>
          <w:rFonts w:ascii="Arial" w:hAnsi="Arial" w:eastAsia="Arial" w:cs="Arial"/>
          <w:color w:val="2D2D2D"/>
          <w:sz w:val="20"/>
          <w:szCs w:val="20"/>
        </w:rPr>
        <w:t>Mentored 3 junior developers and contributed to internal Guidewire community of practice</w:t>
      </w:r>
    </w:p>
    <w:p w14:paraId="52BE2B1F">
      <w:pPr>
        <w:spacing w:before="120" w:after="20"/>
      </w:pPr>
      <w:r>
        <w:rPr>
          <w:rFonts w:ascii="Arial" w:hAnsi="Arial" w:eastAsia="Arial" w:cs="Arial"/>
          <w:b/>
          <w:bCs/>
          <w:color w:val="2D2D2D"/>
          <w:sz w:val="22"/>
          <w:szCs w:val="22"/>
        </w:rPr>
        <w:t>Software Engineer</w:t>
      </w:r>
      <w:r>
        <w:rPr>
          <w:rFonts w:ascii="Arial" w:hAnsi="Arial" w:eastAsia="Arial" w:cs="Arial"/>
          <w:i/>
          <w:iCs/>
          <w:color w:val="555555"/>
          <w:sz w:val="20"/>
          <w:szCs w:val="20"/>
        </w:rPr>
        <w:t xml:space="preserve">  |  Jun 2011 – Feb 2015</w:t>
      </w:r>
    </w:p>
    <w:p w14:paraId="7761ACF3">
      <w:pPr>
        <w:spacing w:before="0" w:after="30"/>
      </w:pPr>
      <w:r>
        <w:rPr>
          <w:rFonts w:ascii="Arial" w:hAnsi="Arial" w:eastAsia="Arial" w:cs="Arial"/>
          <w:b/>
          <w:bCs/>
          <w:color w:val="2E75B6"/>
          <w:sz w:val="20"/>
          <w:szCs w:val="20"/>
        </w:rPr>
        <w:t>Tata Consultancy Services</w:t>
      </w:r>
      <w:r>
        <w:rPr>
          <w:rFonts w:ascii="Arial" w:hAnsi="Arial" w:eastAsia="Arial" w:cs="Arial"/>
          <w:color w:val="555555"/>
          <w:sz w:val="20"/>
          <w:szCs w:val="20"/>
        </w:rPr>
        <w:t xml:space="preserve">  —  Sydney, NSW</w:t>
      </w:r>
    </w:p>
    <w:p w14:paraId="21575081">
      <w:pPr>
        <w:pStyle w:val="16"/>
        <w:numPr>
          <w:ilvl w:val="0"/>
          <w:numId w:val="1"/>
        </w:numPr>
        <w:spacing w:before="30" w:after="30"/>
      </w:pPr>
      <w:r>
        <w:rPr>
          <w:rFonts w:ascii="Arial" w:hAnsi="Arial" w:eastAsia="Arial" w:cs="Arial"/>
          <w:color w:val="2D2D2D"/>
          <w:sz w:val="20"/>
          <w:szCs w:val="20"/>
        </w:rPr>
        <w:t>Delivered Java EE applications for insurance and financial services clients</w:t>
      </w:r>
    </w:p>
    <w:p w14:paraId="57DA8FDB">
      <w:pPr>
        <w:pStyle w:val="16"/>
        <w:numPr>
          <w:ilvl w:val="0"/>
          <w:numId w:val="1"/>
        </w:numPr>
        <w:spacing w:before="30" w:after="30"/>
      </w:pPr>
      <w:r>
        <w:rPr>
          <w:rFonts w:ascii="Arial" w:hAnsi="Arial" w:eastAsia="Arial" w:cs="Arial"/>
          <w:color w:val="2D2D2D"/>
          <w:sz w:val="20"/>
          <w:szCs w:val="20"/>
        </w:rPr>
        <w:t>Transitioned into Guidewire development during a PolicyCenter greenfield project</w:t>
      </w:r>
    </w:p>
    <w:p w14:paraId="711A0727">
      <w:pPr>
        <w:spacing w:before="160" w:after="0"/>
      </w:pPr>
    </w:p>
    <w:p w14:paraId="64A0692E">
      <w:pPr>
        <w:spacing w:before="200" w:after="40"/>
      </w:pPr>
      <w:r>
        <w:rPr>
          <w:rFonts w:ascii="Arial" w:hAnsi="Arial" w:eastAsia="Arial" w:cs="Arial"/>
          <w:b/>
          <w:bCs/>
          <w:color w:val="2E75B6"/>
          <w:sz w:val="26"/>
          <w:szCs w:val="26"/>
        </w:rPr>
        <w:t>EDUCATION &amp; CERTIFICATIONS</w:t>
      </w:r>
    </w:p>
    <w:p w14:paraId="6D4194E1">
      <w:pPr>
        <w:pBdr>
          <w:bottom w:val="single" w:color="2E75B6" w:sz="8" w:space="1"/>
        </w:pBdr>
        <w:spacing w:before="60" w:after="100"/>
      </w:pPr>
    </w:p>
    <w:p w14:paraId="7041EA7C">
      <w:pPr>
        <w:spacing w:before="40" w:after="40"/>
      </w:pPr>
      <w:r>
        <w:rPr>
          <w:rFonts w:ascii="Arial" w:hAnsi="Arial" w:eastAsia="Arial" w:cs="Arial"/>
          <w:color w:val="2D2D2D"/>
          <w:sz w:val="20"/>
          <w:szCs w:val="20"/>
        </w:rPr>
        <w:t>Bachelor of Computer Science — University of New South Wales, 2011</w:t>
      </w:r>
    </w:p>
    <w:p w14:paraId="5CAFBB6D">
      <w:pPr>
        <w:spacing w:before="40" w:after="40"/>
      </w:pPr>
      <w:r>
        <w:rPr>
          <w:rFonts w:ascii="Arial" w:hAnsi="Arial" w:eastAsia="Arial" w:cs="Arial"/>
          <w:color w:val="2D2D2D"/>
          <w:sz w:val="20"/>
          <w:szCs w:val="20"/>
        </w:rPr>
        <w:t>Guidewire Certified Professional — PolicyCenter</w:t>
      </w:r>
    </w:p>
    <w:p w14:paraId="78EF426A">
      <w:pPr>
        <w:spacing w:before="40" w:after="40"/>
      </w:pPr>
      <w:r>
        <w:rPr>
          <w:rFonts w:ascii="Arial" w:hAnsi="Arial" w:eastAsia="Arial" w:cs="Arial"/>
          <w:color w:val="2D2D2D"/>
          <w:sz w:val="20"/>
          <w:szCs w:val="20"/>
        </w:rPr>
        <w:t>Guidewire Certified Associate — ClaimCenter</w:t>
      </w:r>
    </w:p>
    <w:p w14:paraId="4FFAC592">
      <w:pPr>
        <w:spacing w:before="40" w:after="40"/>
      </w:pPr>
      <w:r>
        <w:rPr>
          <w:rFonts w:ascii="Arial" w:hAnsi="Arial" w:eastAsia="Arial" w:cs="Arial"/>
          <w:color w:val="2D2D2D"/>
          <w:sz w:val="20"/>
          <w:szCs w:val="20"/>
        </w:rPr>
        <w:t>Guidewire Certified Associate — BillingCenter</w:t>
      </w:r>
    </w:p>
    <w:sectPr>
      <w:pgSz w:w="12240" w:h="15840"/>
      <w:pgMar w:top="720" w:right="1080" w:bottom="72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4981E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374</Words>
  <Characters>2415</Characters>
  <TotalTime>0</TotalTime>
  <ScaleCrop>false</ScaleCrop>
  <LinksUpToDate>false</LinksUpToDate>
  <CharactersWithSpaces>2748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2026-05-06T10:36:00Z</dcterms:created>
  <dc:creator>Un-named</dc:creator>
  <cp:lastModifiedBy>Ramya Vadivel</cp:lastModifiedBy>
  <dcterms:modified xsi:type="dcterms:W3CDTF">2026-05-06T10:53:46Z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eyJoZGlkIjoiZmNkZjYwOGRkZmNlNzQ3MmZkYWM4YmZhMzFkZjA0M2QiLCJ1c2VySWQiOiIxNjkyMjgxMDcxNDc0MCJ9</vt:lpwstr>
  </property>
  <property fmtid="{D5CDD505-2E9C-101B-9397-08002B2CF9AE}" pid="3" name="KSOProductBuildVer">
    <vt:lpwstr>1033-12.1.0.25242</vt:lpwstr>
  </property>
  <property fmtid="{D5CDD505-2E9C-101B-9397-08002B2CF9AE}" pid="4" name="ICV">
    <vt:lpwstr>B69655BEC88E469E9D410AB4077088D8_13</vt:lpwstr>
  </property>
</Properties>
</file>