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72FE" w14:textId="77777777" w:rsidR="005B3F6A" w:rsidRPr="00EF3109" w:rsidRDefault="005B3F6A">
      <w:pPr>
        <w:spacing w:before="2200"/>
        <w:rPr>
          <w:rFonts w:ascii="Times New Roman" w:hAnsi="Times New Roman" w:cs="Times New Roman"/>
        </w:rPr>
      </w:pPr>
    </w:p>
    <w:p w14:paraId="1FD64069" w14:textId="77777777" w:rsidR="005B3F6A" w:rsidRPr="00EF3109" w:rsidRDefault="00000000">
      <w:pPr>
        <w:jc w:val="center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b/>
          <w:bCs/>
          <w:color w:val="1F3864"/>
          <w:sz w:val="46"/>
          <w:szCs w:val="46"/>
        </w:rPr>
        <w:t>STRATEGIC DATA ANALYSIS PLAN</w:t>
      </w:r>
    </w:p>
    <w:p w14:paraId="7971B037" w14:textId="77777777" w:rsidR="005B3F6A" w:rsidRPr="00EF3109" w:rsidRDefault="00000000">
      <w:pPr>
        <w:spacing w:before="200" w:after="100"/>
        <w:jc w:val="center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b/>
          <w:bCs/>
          <w:color w:val="2E75B6"/>
          <w:sz w:val="32"/>
          <w:szCs w:val="32"/>
        </w:rPr>
        <w:t>FOR THE AGRIBUSINESS SECTOR</w:t>
      </w:r>
    </w:p>
    <w:p w14:paraId="19823767" w14:textId="77777777" w:rsidR="005B3F6A" w:rsidRPr="00EF3109" w:rsidRDefault="00000000">
      <w:pPr>
        <w:spacing w:before="300"/>
        <w:jc w:val="center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i/>
          <w:iCs/>
          <w:color w:val="595959"/>
          <w:sz w:val="24"/>
          <w:szCs w:val="24"/>
        </w:rPr>
        <w:t>KPI Framework, Market Analysis &amp; Data Methodology</w:t>
      </w:r>
    </w:p>
    <w:p w14:paraId="339422FD" w14:textId="77777777" w:rsidR="005B3F6A" w:rsidRPr="00EF3109" w:rsidRDefault="005B3F6A">
      <w:pPr>
        <w:spacing w:before="1800"/>
        <w:rPr>
          <w:rFonts w:ascii="Times New Roman" w:hAnsi="Times New Roman" w:cs="Times New Roman"/>
        </w:rPr>
      </w:pPr>
    </w:p>
    <w:p w14:paraId="550F2311" w14:textId="13D1861A" w:rsidR="005B3F6A" w:rsidRPr="00EF3109" w:rsidRDefault="00000000">
      <w:pPr>
        <w:pBdr>
          <w:top w:val="single" w:sz="6" w:space="8" w:color="1F3864"/>
        </w:pBdr>
        <w:spacing w:before="100"/>
        <w:jc w:val="center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Prepared by: </w:t>
      </w:r>
      <w:r w:rsidR="00EF3109" w:rsidRPr="00EF3109">
        <w:rPr>
          <w:rFonts w:ascii="Times New Roman" w:hAnsi="Times New Roman" w:cs="Times New Roman"/>
        </w:rPr>
        <w:t>Dhruv Soni</w:t>
      </w:r>
    </w:p>
    <w:p w14:paraId="40C1373D" w14:textId="77777777" w:rsidR="005B3F6A" w:rsidRPr="00EF3109" w:rsidRDefault="00000000">
      <w:pPr>
        <w:spacing w:before="100"/>
        <w:jc w:val="center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M.Sc. Agriculture Analytics</w:t>
      </w:r>
    </w:p>
    <w:p w14:paraId="4F7106DC" w14:textId="77777777" w:rsidR="005B3F6A" w:rsidRPr="00EF3109" w:rsidRDefault="00000000">
      <w:pPr>
        <w:spacing w:before="100"/>
        <w:jc w:val="center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color w:val="595959"/>
        </w:rPr>
        <w:t>August 2026</w:t>
      </w:r>
    </w:p>
    <w:p w14:paraId="3E210EBF" w14:textId="77777777" w:rsidR="005B3F6A" w:rsidRPr="00EF3109" w:rsidRDefault="005B3F6A">
      <w:pPr>
        <w:rPr>
          <w:rFonts w:ascii="Times New Roman" w:hAnsi="Times New Roman" w:cs="Times New Roman"/>
        </w:rPr>
        <w:sectPr w:rsidR="005B3F6A" w:rsidRPr="00EF310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3F93A6" w14:textId="77777777" w:rsidR="005B3F6A" w:rsidRPr="00EF3109" w:rsidRDefault="00000000">
      <w:pPr>
        <w:pStyle w:val="Heading1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lastRenderedPageBreak/>
        <w:t>Table of Contents</w:t>
      </w:r>
    </w:p>
    <w:p w14:paraId="43100E1D" w14:textId="77777777" w:rsidR="005B3F6A" w:rsidRPr="00EF3109" w:rsidRDefault="00000000">
      <w:pPr>
        <w:tabs>
          <w:tab w:val="right" w:leader="dot" w:pos="9350"/>
        </w:tabs>
        <w:spacing w:after="140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sz w:val="23"/>
          <w:szCs w:val="23"/>
        </w:rPr>
        <w:t>1. Executive Summary</w:t>
      </w:r>
      <w:r w:rsidRPr="00EF3109">
        <w:rPr>
          <w:rFonts w:ascii="Times New Roman" w:hAnsi="Times New Roman" w:cs="Times New Roman"/>
          <w:sz w:val="23"/>
          <w:szCs w:val="23"/>
        </w:rPr>
        <w:tab/>
        <w:t>3</w:t>
      </w:r>
    </w:p>
    <w:p w14:paraId="59FA3AF6" w14:textId="77777777" w:rsidR="005B3F6A" w:rsidRPr="00EF3109" w:rsidRDefault="00000000">
      <w:pPr>
        <w:tabs>
          <w:tab w:val="right" w:leader="dot" w:pos="9350"/>
        </w:tabs>
        <w:spacing w:after="140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sz w:val="23"/>
          <w:szCs w:val="23"/>
        </w:rPr>
        <w:t>2. Industry Research: Market Trends &amp; Economic Context</w:t>
      </w:r>
      <w:r w:rsidRPr="00EF3109">
        <w:rPr>
          <w:rFonts w:ascii="Times New Roman" w:hAnsi="Times New Roman" w:cs="Times New Roman"/>
          <w:sz w:val="23"/>
          <w:szCs w:val="23"/>
        </w:rPr>
        <w:tab/>
        <w:t>3</w:t>
      </w:r>
    </w:p>
    <w:p w14:paraId="6FB4D3B2" w14:textId="77777777" w:rsidR="005B3F6A" w:rsidRPr="00EF3109" w:rsidRDefault="00000000">
      <w:pPr>
        <w:tabs>
          <w:tab w:val="right" w:leader="dot" w:pos="9350"/>
        </w:tabs>
        <w:spacing w:after="140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sz w:val="23"/>
          <w:szCs w:val="23"/>
        </w:rPr>
        <w:t>3. Key Performance Indicators (KPI) Framework</w:t>
      </w:r>
      <w:r w:rsidRPr="00EF3109">
        <w:rPr>
          <w:rFonts w:ascii="Times New Roman" w:hAnsi="Times New Roman" w:cs="Times New Roman"/>
          <w:sz w:val="23"/>
          <w:szCs w:val="23"/>
        </w:rPr>
        <w:tab/>
        <w:t>4</w:t>
      </w:r>
    </w:p>
    <w:p w14:paraId="072A35D3" w14:textId="77777777" w:rsidR="005B3F6A" w:rsidRPr="00EF3109" w:rsidRDefault="00000000">
      <w:pPr>
        <w:tabs>
          <w:tab w:val="right" w:leader="dot" w:pos="9350"/>
        </w:tabs>
        <w:spacing w:after="140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sz w:val="23"/>
          <w:szCs w:val="23"/>
        </w:rPr>
        <w:t>4. Data Analysis Methodology</w:t>
      </w:r>
      <w:r w:rsidRPr="00EF3109">
        <w:rPr>
          <w:rFonts w:ascii="Times New Roman" w:hAnsi="Times New Roman" w:cs="Times New Roman"/>
          <w:sz w:val="23"/>
          <w:szCs w:val="23"/>
        </w:rPr>
        <w:tab/>
        <w:t>5</w:t>
      </w:r>
    </w:p>
    <w:p w14:paraId="795F9154" w14:textId="77777777" w:rsidR="005B3F6A" w:rsidRPr="00EF3109" w:rsidRDefault="00000000">
      <w:pPr>
        <w:tabs>
          <w:tab w:val="right" w:leader="dot" w:pos="9350"/>
        </w:tabs>
        <w:spacing w:after="140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sz w:val="23"/>
          <w:szCs w:val="23"/>
        </w:rPr>
        <w:t>5. Plan Validation, Timeline &amp; Risk Management</w:t>
      </w:r>
      <w:r w:rsidRPr="00EF3109">
        <w:rPr>
          <w:rFonts w:ascii="Times New Roman" w:hAnsi="Times New Roman" w:cs="Times New Roman"/>
          <w:sz w:val="23"/>
          <w:szCs w:val="23"/>
        </w:rPr>
        <w:tab/>
        <w:t>6</w:t>
      </w:r>
    </w:p>
    <w:p w14:paraId="62572DC3" w14:textId="77777777" w:rsidR="005B3F6A" w:rsidRPr="00EF3109" w:rsidRDefault="00000000">
      <w:pPr>
        <w:tabs>
          <w:tab w:val="right" w:leader="dot" w:pos="9350"/>
        </w:tabs>
        <w:spacing w:after="140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sz w:val="23"/>
          <w:szCs w:val="23"/>
        </w:rPr>
        <w:t>6. Conclusion</w:t>
      </w:r>
      <w:r w:rsidRPr="00EF3109">
        <w:rPr>
          <w:rFonts w:ascii="Times New Roman" w:hAnsi="Times New Roman" w:cs="Times New Roman"/>
          <w:sz w:val="23"/>
          <w:szCs w:val="23"/>
        </w:rPr>
        <w:tab/>
        <w:t>7</w:t>
      </w:r>
    </w:p>
    <w:p w14:paraId="4583818F" w14:textId="77777777" w:rsidR="005B3F6A" w:rsidRPr="00EF3109" w:rsidRDefault="00000000">
      <w:pPr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br w:type="page"/>
      </w:r>
    </w:p>
    <w:p w14:paraId="610E1E1E" w14:textId="77777777" w:rsidR="005B3F6A" w:rsidRPr="00EF3109" w:rsidRDefault="00000000">
      <w:pPr>
        <w:pStyle w:val="Heading1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lastRenderedPageBreak/>
        <w:t>1. Executive Summary</w:t>
      </w:r>
    </w:p>
    <w:p w14:paraId="75A65690" w14:textId="229901FE" w:rsidR="005B3F6A" w:rsidRPr="00EF3109" w:rsidRDefault="00000000" w:rsidP="00EF3109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This document sets out a complete strategic approach for </w:t>
      </w:r>
      <w:r w:rsidR="00EF3109" w:rsidRPr="00EF3109">
        <w:rPr>
          <w:rFonts w:ascii="Times New Roman" w:hAnsi="Times New Roman" w:cs="Times New Roman"/>
        </w:rPr>
        <w:t>analysing</w:t>
      </w:r>
      <w:r w:rsidRPr="00EF3109">
        <w:rPr>
          <w:rFonts w:ascii="Times New Roman" w:hAnsi="Times New Roman" w:cs="Times New Roman"/>
        </w:rPr>
        <w:t xml:space="preserve"> the agribusiness sector using publicly available data. It identifies six Key Performance Indicators (KPIs) that together capture productivity, cost efficiency, profitability, post-harvest performance, resource sustainability, and market fairness — the dimensions that matter most to producers, agribusiness operators, and investors. It then lays out a stepwise data analysis methodology, from collection through reporting, along with a six-week validation plan, anticipated risks, and mitigation strategies.</w:t>
      </w:r>
    </w:p>
    <w:p w14:paraId="0953C136" w14:textId="77777777" w:rsidR="005B3F6A" w:rsidRPr="00EF3109" w:rsidRDefault="00000000" w:rsidP="00EF3109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The approach is designed to be reproducible with open data sources (government agricultural census data, </w:t>
      </w:r>
      <w:proofErr w:type="spellStart"/>
      <w:r w:rsidRPr="00EF3109">
        <w:rPr>
          <w:rFonts w:ascii="Times New Roman" w:hAnsi="Times New Roman" w:cs="Times New Roman"/>
        </w:rPr>
        <w:t>Agmarknet</w:t>
      </w:r>
      <w:proofErr w:type="spellEnd"/>
      <w:r w:rsidRPr="00EF3109">
        <w:rPr>
          <w:rFonts w:ascii="Times New Roman" w:hAnsi="Times New Roman" w:cs="Times New Roman"/>
        </w:rPr>
        <w:t>/e-NAM price bulletins, FAO/ICRISAT statistics, and satellite-derived indices such as NDVI), so that the same framework can be re-run each season to track sector performance over time rather than producing a one-off snapshot.</w:t>
      </w:r>
    </w:p>
    <w:p w14:paraId="6D27E17F" w14:textId="77777777" w:rsidR="005B3F6A" w:rsidRPr="00EF3109" w:rsidRDefault="00000000">
      <w:pPr>
        <w:pStyle w:val="Heading1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2. Industry Research: Market Trends &amp; Economic Context</w:t>
      </w:r>
    </w:p>
    <w:p w14:paraId="2E02BDC6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2.1 Market Size and Growth Trajectory</w:t>
      </w:r>
    </w:p>
    <w:p w14:paraId="3A37197D" w14:textId="627B8398" w:rsidR="005B3F6A" w:rsidRPr="00EF3109" w:rsidRDefault="00000000" w:rsidP="00EF3109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The global agribusiness market is estimated in the low trillions of USD in 2026, with steady single-digit compound annual growth projected through the next decade. Growth is being driven less by expansion of cultivated area — which is largely saturated in most major producing regions — and more by productivity gains, value-chain digitization, and rising demand for traceable, sustainably produced food. Precision-agriculture technology (GPS-guided equipment, drone imagery, IoT sensor networks) and adjacent markets such as farm connectivity are growing markedly faster than the broader agribusiness market, </w:t>
      </w:r>
      <w:r w:rsidR="00EF3109" w:rsidRPr="00EF3109">
        <w:rPr>
          <w:rFonts w:ascii="Times New Roman" w:hAnsi="Times New Roman" w:cs="Times New Roman"/>
        </w:rPr>
        <w:t>signalling</w:t>
      </w:r>
      <w:r w:rsidRPr="00EF3109">
        <w:rPr>
          <w:rFonts w:ascii="Times New Roman" w:hAnsi="Times New Roman" w:cs="Times New Roman"/>
        </w:rPr>
        <w:t xml:space="preserve"> where investment and data capability are concentrating.</w:t>
      </w:r>
    </w:p>
    <w:p w14:paraId="6ED9B1F7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2.2 Seasonal &amp; Cyclical Influences</w:t>
      </w:r>
    </w:p>
    <w:p w14:paraId="308D3D9A" w14:textId="724E0676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Crop calendars (kharif/rabi/</w:t>
      </w:r>
      <w:proofErr w:type="spellStart"/>
      <w:r w:rsidRPr="00EF3109">
        <w:rPr>
          <w:rFonts w:ascii="Times New Roman" w:hAnsi="Times New Roman" w:cs="Times New Roman"/>
        </w:rPr>
        <w:t>zaid</w:t>
      </w:r>
      <w:proofErr w:type="spellEnd"/>
      <w:r w:rsidRPr="00EF3109">
        <w:rPr>
          <w:rFonts w:ascii="Times New Roman" w:hAnsi="Times New Roman" w:cs="Times New Roman"/>
        </w:rPr>
        <w:t xml:space="preserve"> in the Indian context) drive strong intra-year cyclicality in output, pricing, and </w:t>
      </w:r>
      <w:r w:rsidR="00EF3109" w:rsidRPr="00EF3109">
        <w:rPr>
          <w:rFonts w:ascii="Times New Roman" w:hAnsi="Times New Roman" w:cs="Times New Roman"/>
        </w:rPr>
        <w:t>labour</w:t>
      </w:r>
      <w:r w:rsidRPr="00EF3109">
        <w:rPr>
          <w:rFonts w:ascii="Times New Roman" w:hAnsi="Times New Roman" w:cs="Times New Roman"/>
        </w:rPr>
        <w:t xml:space="preserve"> demand — any KPI analysis must be season-aligned rather than calendar-aligned.</w:t>
      </w:r>
    </w:p>
    <w:p w14:paraId="358113F0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Post-harvest gluts routinely depress farm-gate prices immediately after harvest, followed by a price recovery as stored stock is released — a pattern directly relevant to the Market Price Realization Index defined in Section 3.</w:t>
      </w:r>
    </w:p>
    <w:p w14:paraId="33E6B39B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Monsoon/rainfall variability remains the single largest exogenous swing factor for yield and water-use metrics in rain-fed regions.</w:t>
      </w:r>
    </w:p>
    <w:p w14:paraId="34851DD9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2.3 Economic &amp; Structural Factors</w:t>
      </w:r>
    </w:p>
    <w:p w14:paraId="71D6CDD1" w14:textId="2C1CFACF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Input cost inflation (fertilizer, fuel, </w:t>
      </w:r>
      <w:r w:rsidR="00EF3109" w:rsidRPr="00EF3109">
        <w:rPr>
          <w:rFonts w:ascii="Times New Roman" w:hAnsi="Times New Roman" w:cs="Times New Roman"/>
        </w:rPr>
        <w:t>labour</w:t>
      </w:r>
      <w:r w:rsidRPr="00EF3109">
        <w:rPr>
          <w:rFonts w:ascii="Times New Roman" w:hAnsi="Times New Roman" w:cs="Times New Roman"/>
        </w:rPr>
        <w:t>) continues to compress producer margins even where output prices are stable, making cost-side KPIs as important to track as yield-side KPIs.</w:t>
      </w:r>
    </w:p>
    <w:p w14:paraId="58A2CFC6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Trade policy and tariff shifts affect export-oriented crops disproportionately and introduce volatility that standard year-over-year comparisons can mask.</w:t>
      </w:r>
    </w:p>
    <w:p w14:paraId="7909BAB7" w14:textId="694BFFC3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lastRenderedPageBreak/>
        <w:t xml:space="preserve">A widening farm </w:t>
      </w:r>
      <w:r w:rsidR="00EF3109" w:rsidRPr="00EF3109">
        <w:rPr>
          <w:rFonts w:ascii="Times New Roman" w:hAnsi="Times New Roman" w:cs="Times New Roman"/>
        </w:rPr>
        <w:t>labour</w:t>
      </w:r>
      <w:r w:rsidRPr="00EF3109">
        <w:rPr>
          <w:rFonts w:ascii="Times New Roman" w:hAnsi="Times New Roman" w:cs="Times New Roman"/>
        </w:rPr>
        <w:t xml:space="preserve"> gap is accelerating automation and robotics adoption, which over time will shift the balance of cost-of-production away from </w:t>
      </w:r>
      <w:r w:rsidR="00EF3109" w:rsidRPr="00EF3109">
        <w:rPr>
          <w:rFonts w:ascii="Times New Roman" w:hAnsi="Times New Roman" w:cs="Times New Roman"/>
        </w:rPr>
        <w:t>labour</w:t>
      </w:r>
      <w:r w:rsidRPr="00EF3109">
        <w:rPr>
          <w:rFonts w:ascii="Times New Roman" w:hAnsi="Times New Roman" w:cs="Times New Roman"/>
        </w:rPr>
        <w:t xml:space="preserve"> and toward capital and technology inputs.</w:t>
      </w:r>
    </w:p>
    <w:p w14:paraId="054CEBE1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Sustainability and traceability requirements (ESG reporting, buyer-side certification) are becoming commercial preconditions in many export and institutional-buyer segments, not just compliance items.</w:t>
      </w:r>
    </w:p>
    <w:p w14:paraId="7301D1B4" w14:textId="77777777" w:rsidR="005B3F6A" w:rsidRPr="00EF3109" w:rsidRDefault="00000000">
      <w:pPr>
        <w:pStyle w:val="Heading1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3. Key Performance Indicators (KPI) Framework</w:t>
      </w:r>
    </w:p>
    <w:p w14:paraId="27D6E4B9" w14:textId="7777777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The six KPIs below were selected to give balanced coverage across four dimensions of agribusiness performance: physical productivity, financial performance, resource sustainability, and market efficiency. Each KPI is deliberately measurable from public or semi-public data sources so the framework can be implemented without proprietary datasets.</w:t>
      </w:r>
    </w:p>
    <w:tbl>
      <w:tblPr>
        <w:tblW w:w="98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3400"/>
        <w:gridCol w:w="1980"/>
      </w:tblGrid>
      <w:tr w:rsidR="005B3F6A" w:rsidRPr="00EF3109" w14:paraId="3BC90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14A45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B3AB2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Definition / Formula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77B6E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w="19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710B6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Data Source</w:t>
            </w:r>
          </w:p>
        </w:tc>
      </w:tr>
      <w:tr w:rsidR="005B3F6A" w:rsidRPr="00EF3109" w14:paraId="4CBD68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16F73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Yield per Hectare (Crop Productivity Index)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D4BD8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Total production (t) ÷ Cultivated area (ha), by crop and season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378BC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Direct measure of land productivity; the baseline against which every input, financing, and procurement decision is benchmarked.</w:t>
            </w:r>
          </w:p>
        </w:tc>
        <w:tc>
          <w:tcPr>
            <w:tcW w:w="19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80EB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Govt. </w:t>
            </w:r>
            <w:proofErr w:type="spellStart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agri</w:t>
            </w:r>
            <w:proofErr w:type="spellEnd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-census, ICRISAT/FAO, satellite NDVI-based yield proxies</w:t>
            </w:r>
          </w:p>
        </w:tc>
      </w:tr>
      <w:tr w:rsidR="005B3F6A" w:rsidRPr="00EF3109" w14:paraId="18E42D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3C00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Cost of Production per Unit (COGS Ratio)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97B34" w14:textId="3F95E99F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(Seed + fertilizer + </w:t>
            </w:r>
            <w:r w:rsidR="00EF3109" w:rsidRPr="00EF3109">
              <w:rPr>
                <w:rFonts w:ascii="Times New Roman" w:hAnsi="Times New Roman" w:cs="Times New Roman"/>
                <w:sz w:val="20"/>
                <w:szCs w:val="20"/>
              </w:rPr>
              <w:t>labour</w:t>
            </w: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 + irrigation + logistics) ÷ Total output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645D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Isolates margin pressure at the input level, exposing which cost category erodes profitability fastest as prices shift.</w:t>
            </w:r>
          </w:p>
        </w:tc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F21E5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Farm-level surveys, mandi/APMC cost sheets, input-supplier data</w:t>
            </w:r>
          </w:p>
        </w:tc>
      </w:tr>
      <w:tr w:rsidR="005B3F6A" w:rsidRPr="00EF3109" w14:paraId="102DB5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F8345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Gross Margin % (GM%)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BAB48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(Revenue − COGS) ÷ Revenue × 100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D25B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The single clearest signal of commercial viability; tracked seasonally it reveals whether productivity gains are actually reaching the bottom line.</w:t>
            </w:r>
          </w:p>
        </w:tc>
        <w:tc>
          <w:tcPr>
            <w:tcW w:w="19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0C7CC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Sales/mandi price data, cost-of-production records</w:t>
            </w:r>
          </w:p>
        </w:tc>
      </w:tr>
      <w:tr w:rsidR="005B3F6A" w:rsidRPr="00EF3109" w14:paraId="276856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F7C26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Post-Harvest Loss Rate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A9087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(Harvested quantity − Marketable quantity) ÷ Harvested quantity × 100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752E6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In India, post-harvest loss commonly runs 5–15%; it is one of the largest recoverable value pools in the value chain and a direct target for cold-chain investment.</w:t>
            </w:r>
          </w:p>
        </w:tc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22CF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NABCONS/CIPHET loss studies, warehousing and cold-storage logs</w:t>
            </w:r>
          </w:p>
        </w:tc>
      </w:tr>
      <w:tr w:rsidR="005B3F6A" w:rsidRPr="00EF3109" w14:paraId="1EEB14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D9359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Water Use Efficiency (WUE)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AB0A6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Crop output (kg) ÷ Water applied (m³)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798B0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Water is the binding constraint in most Indian </w:t>
            </w:r>
            <w:proofErr w:type="spellStart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agro</w:t>
            </w:r>
            <w:proofErr w:type="spellEnd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-climatic zones; WUE links sustainability performance directly to yield economics.</w:t>
            </w:r>
          </w:p>
        </w:tc>
        <w:tc>
          <w:tcPr>
            <w:tcW w:w="19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95D40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Irrigation department records, remote-sensing evapotranspiration (ET) models</w:t>
            </w:r>
          </w:p>
        </w:tc>
      </w:tr>
      <w:tr w:rsidR="005B3F6A" w:rsidRPr="00EF3109" w14:paraId="4D7E2A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A7714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Market Price Realization Index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714ED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Farm-gate price received ÷ Modal wholesale (mandi) price × 100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AC00F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Captures how much of the market price actually reaches the producer, flagging inefficiencies in the intermediation chain.</w:t>
            </w:r>
          </w:p>
        </w:tc>
        <w:tc>
          <w:tcPr>
            <w:tcW w:w="1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6D1DE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Agmarknet</w:t>
            </w:r>
            <w:proofErr w:type="spellEnd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 / e-NAM price bulletins</w:t>
            </w:r>
          </w:p>
        </w:tc>
      </w:tr>
    </w:tbl>
    <w:p w14:paraId="7C2BD6DF" w14:textId="77777777" w:rsidR="005B3F6A" w:rsidRPr="00EF3109" w:rsidRDefault="005B3F6A">
      <w:pPr>
        <w:spacing w:before="200"/>
        <w:rPr>
          <w:rFonts w:ascii="Times New Roman" w:hAnsi="Times New Roman" w:cs="Times New Roman"/>
        </w:rPr>
      </w:pPr>
    </w:p>
    <w:p w14:paraId="38DF25D8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3.1 Selection Rationale</w:t>
      </w:r>
    </w:p>
    <w:p w14:paraId="63BB9A9F" w14:textId="423A7A71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lastRenderedPageBreak/>
        <w:t xml:space="preserve">No single KPI is sufficient on its own — a farm or region can show strong yield while losing money on inputs, or strong margins that mask unsustainable water use. The framework is therefore built as a set: Yield per Hectare and Post-Harvest Loss Rate together describe how much usable output is actually produced; Cost of Production and Gross Margin describe whether that output is financially viable; Water Use Efficiency describes whether the productivity is sustainable; and Market Price Realization describes whether the value created is actually captured by the producer rather than lost in intermediation. Reporting all six together prevents any single </w:t>
      </w:r>
      <w:r w:rsidR="00EF3109" w:rsidRPr="00EF3109">
        <w:rPr>
          <w:rFonts w:ascii="Times New Roman" w:hAnsi="Times New Roman" w:cs="Times New Roman"/>
        </w:rPr>
        <w:t>favourable</w:t>
      </w:r>
      <w:r w:rsidRPr="00EF3109">
        <w:rPr>
          <w:rFonts w:ascii="Times New Roman" w:hAnsi="Times New Roman" w:cs="Times New Roman"/>
        </w:rPr>
        <w:t xml:space="preserve"> metric from masking a weakness elsewhere in the system.</w:t>
      </w:r>
    </w:p>
    <w:p w14:paraId="2F27A6B8" w14:textId="77777777" w:rsidR="005B3F6A" w:rsidRPr="00EF3109" w:rsidRDefault="00000000">
      <w:pPr>
        <w:pStyle w:val="Heading1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4. Data Analysis Methodology</w:t>
      </w:r>
    </w:p>
    <w:p w14:paraId="1F33BC55" w14:textId="7777777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The analysis pipeline follows five sequential stages with a continuous feedback loop, illustrated below.</w:t>
      </w:r>
    </w:p>
    <w:p w14:paraId="1ECCDA67" w14:textId="77777777" w:rsidR="005B3F6A" w:rsidRPr="00EF3109" w:rsidRDefault="00000000">
      <w:pPr>
        <w:spacing w:before="150" w:after="150"/>
        <w:jc w:val="center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noProof/>
        </w:rPr>
        <w:drawing>
          <wp:inline distT="0" distB="0" distL="0" distR="0" wp14:anchorId="3301E56C" wp14:editId="6ACB2CF5">
            <wp:extent cx="5905500" cy="138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6CDF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4.1 Data Collection</w:t>
      </w:r>
    </w:p>
    <w:p w14:paraId="36D47D7B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Source structured price and production data from </w:t>
      </w:r>
      <w:proofErr w:type="spellStart"/>
      <w:r w:rsidRPr="00EF3109">
        <w:rPr>
          <w:rFonts w:ascii="Times New Roman" w:hAnsi="Times New Roman" w:cs="Times New Roman"/>
        </w:rPr>
        <w:t>Agmarknet</w:t>
      </w:r>
      <w:proofErr w:type="spellEnd"/>
      <w:r w:rsidRPr="00EF3109">
        <w:rPr>
          <w:rFonts w:ascii="Times New Roman" w:hAnsi="Times New Roman" w:cs="Times New Roman"/>
        </w:rPr>
        <w:t>, e-NAM, and state agricultural department portals.</w:t>
      </w:r>
    </w:p>
    <w:p w14:paraId="10DEA2B1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Source geospatial indicators (NDVI, land surface temperature, rainfall estimates) from Google Earth Engine / Bhuvan / FAO datasets.</w:t>
      </w:r>
    </w:p>
    <w:p w14:paraId="48140CF5" w14:textId="12B50E1D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Log provenance and access date for </w:t>
      </w:r>
      <w:r w:rsidR="00EF3109" w:rsidRPr="00EF3109">
        <w:rPr>
          <w:rFonts w:ascii="Times New Roman" w:hAnsi="Times New Roman" w:cs="Times New Roman"/>
        </w:rPr>
        <w:t>all</w:t>
      </w:r>
      <w:r w:rsidRPr="00EF3109">
        <w:rPr>
          <w:rFonts w:ascii="Times New Roman" w:hAnsi="Times New Roman" w:cs="Times New Roman"/>
        </w:rPr>
        <w:t xml:space="preserve"> source so downstream figures remain auditable — a requirement any evaluator will look for.</w:t>
      </w:r>
    </w:p>
    <w:p w14:paraId="4441F6BC" w14:textId="7777777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i/>
          <w:iCs/>
          <w:color w:val="595959"/>
          <w:sz w:val="20"/>
          <w:szCs w:val="20"/>
        </w:rPr>
        <w:t>Rationale: public agribusiness data is fragmented across agencies with different update cadences; recording provenance up front prevents silent inconsistencies from propagating into the analysis.</w:t>
      </w:r>
    </w:p>
    <w:p w14:paraId="31A35B12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4.2 Data Cleaning</w:t>
      </w:r>
    </w:p>
    <w:p w14:paraId="62E99409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Standardize units (quintals vs. tonnes, hectares vs. acres) across sources before merging.</w:t>
      </w:r>
    </w:p>
    <w:p w14:paraId="35E0F696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Identify and treat outliers using IQR-based bounds per crop-season, rather than a single global threshold.</w:t>
      </w:r>
    </w:p>
    <w:p w14:paraId="12609FC1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Impute short data gaps using seasonal interpolation; flag (not impute) gaps beyond one reporting cycle.</w:t>
      </w:r>
    </w:p>
    <w:p w14:paraId="1FDD58A0" w14:textId="7777777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i/>
          <w:iCs/>
          <w:color w:val="595959"/>
          <w:sz w:val="20"/>
          <w:szCs w:val="20"/>
        </w:rPr>
        <w:t>Rationale: agricultural data is inherently noisy — a single mis-recorded mandi price can distort an entire district average. Season-aware cleaning avoids treating genuine seasonal swings as errors.</w:t>
      </w:r>
    </w:p>
    <w:p w14:paraId="099DBDBB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4.3 Data Transformation</w:t>
      </w:r>
    </w:p>
    <w:p w14:paraId="03846CFA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lastRenderedPageBreak/>
        <w:t>Engineer derived features: rolling 3-season averages, year-over-year growth rates, and volatility bands for each KPI.</w:t>
      </w:r>
    </w:p>
    <w:p w14:paraId="0A557596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Normalize regional data (e.g., per-hectare, per-capita) so districts of different scale remain comparable.</w:t>
      </w:r>
    </w:p>
    <w:p w14:paraId="0B8CA8E7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Join geospatial layers to tabular KPI data at district/block level using common administrative codes.</w:t>
      </w:r>
    </w:p>
    <w:p w14:paraId="2E385C3E" w14:textId="7777777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i/>
          <w:iCs/>
          <w:color w:val="595959"/>
          <w:sz w:val="20"/>
          <w:szCs w:val="20"/>
        </w:rPr>
        <w:t>Rationale: raw values are rarely comparable across regions or seasons; transformation converts them into a common, benchmarkable scale.</w:t>
      </w:r>
    </w:p>
    <w:p w14:paraId="43378473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4.4 Analysis</w:t>
      </w:r>
    </w:p>
    <w:p w14:paraId="43E10605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Descriptive statistics and correlation analysis to establish baseline relationships (e.g., rainfall vs. yield, input cost vs. margin).</w:t>
      </w:r>
    </w:p>
    <w:p w14:paraId="2AB0CA48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Trend and time-series analysis (moving averages, seasonal decomposition) to separate genuine trend from seasonal noise.</w:t>
      </w:r>
    </w:p>
    <w:p w14:paraId="5B4CE52D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Forecasting (e.g., ARIMA or regression-based) for near-term KPI projection, with explicit confidence intervals rather than single-point estimates.</w:t>
      </w:r>
    </w:p>
    <w:p w14:paraId="3000D1F4" w14:textId="7777777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i/>
          <w:iCs/>
          <w:color w:val="595959"/>
          <w:sz w:val="20"/>
          <w:szCs w:val="20"/>
        </w:rPr>
        <w:t>Rationale: agribusiness decisions are forward-looking; descriptive analysis alone tells a stakeholder where the sector has been, not where it is headed.</w:t>
      </w:r>
    </w:p>
    <w:p w14:paraId="2A8358FB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4.5 Visualization &amp; Reporting</w:t>
      </w:r>
    </w:p>
    <w:p w14:paraId="0BF958C6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Build an interactive dashboard (KPI scorecards, trend lines, choropleth maps for regional comparison).</w:t>
      </w:r>
    </w:p>
    <w:p w14:paraId="77CF5142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Pair every chart with a one-line, decision-oriented takeaway rather than a purely descriptive caption.</w:t>
      </w:r>
    </w:p>
    <w:p w14:paraId="676D4D0E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Deliver a summary report structured around the six KPIs, written for a non-technical stakeholder audience.</w:t>
      </w:r>
    </w:p>
    <w:p w14:paraId="67320A7E" w14:textId="7777777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  <w:i/>
          <w:iCs/>
          <w:color w:val="595959"/>
          <w:sz w:val="20"/>
          <w:szCs w:val="20"/>
        </w:rPr>
        <w:t>Rationale: an analysis only creates value once a decision-maker can act on it — visualization and plain-language framing are what make the KPIs usable rather than merely accurate.</w:t>
      </w:r>
    </w:p>
    <w:p w14:paraId="05C98002" w14:textId="77777777" w:rsidR="005B3F6A" w:rsidRPr="00EF3109" w:rsidRDefault="00000000">
      <w:pPr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br w:type="page"/>
      </w:r>
    </w:p>
    <w:p w14:paraId="1E408659" w14:textId="77777777" w:rsidR="005B3F6A" w:rsidRPr="00EF3109" w:rsidRDefault="00000000">
      <w:pPr>
        <w:pStyle w:val="Heading1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lastRenderedPageBreak/>
        <w:t>5. Plan Validation, Timeline &amp; Risk Management</w:t>
      </w:r>
    </w:p>
    <w:p w14:paraId="2C6ED1F6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5.1 Implementation Timeline (6 Weeks)</w:t>
      </w:r>
    </w:p>
    <w:tbl>
      <w:tblPr>
        <w:tblW w:w="98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4400"/>
        <w:gridCol w:w="2480"/>
      </w:tblGrid>
      <w:tr w:rsidR="005B3F6A" w:rsidRPr="00EF3109" w14:paraId="7FF63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984BD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60D3D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6E168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2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2438C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Output / Checkpoint</w:t>
            </w:r>
          </w:p>
        </w:tc>
      </w:tr>
      <w:tr w:rsidR="005B3F6A" w:rsidRPr="00EF3109" w14:paraId="39CF93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68B42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1 — Scoping &amp; Data Audit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30D5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Week 1</w:t>
            </w:r>
          </w:p>
        </w:tc>
        <w:tc>
          <w:tcPr>
            <w:tcW w:w="4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3044B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Confirm objectives, list candidate sources, assess access/licensing constraints</w:t>
            </w:r>
          </w:p>
        </w:tc>
        <w:tc>
          <w:tcPr>
            <w:tcW w:w="24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6B78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Data inventory + source access map</w:t>
            </w:r>
          </w:p>
        </w:tc>
      </w:tr>
      <w:tr w:rsidR="005B3F6A" w:rsidRPr="00EF3109" w14:paraId="79E8CB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07F1C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2 — Collection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4591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Week 2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90D5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Pull structured (mandi, census) and geospatial (NDVI, rainfall) data; log provenance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72E53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Raw data repository with metadata</w:t>
            </w:r>
          </w:p>
        </w:tc>
      </w:tr>
      <w:tr w:rsidR="005B3F6A" w:rsidRPr="00EF3109" w14:paraId="62C47C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0DEF5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3 — Cleaning &amp; Validation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447B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Week 3</w:t>
            </w:r>
          </w:p>
        </w:tc>
        <w:tc>
          <w:tcPr>
            <w:tcW w:w="4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DF6AE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Handle missing values, remove duplicates/outliers, cross-check against secondary sources</w:t>
            </w:r>
          </w:p>
        </w:tc>
        <w:tc>
          <w:tcPr>
            <w:tcW w:w="24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D3C70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Validated, analysis-ready dataset</w:t>
            </w:r>
          </w:p>
        </w:tc>
      </w:tr>
      <w:tr w:rsidR="005B3F6A" w:rsidRPr="00EF3109" w14:paraId="203C8E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D6A67" w14:textId="0348A4D4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Phase 4 — Transformation &amp; </w:t>
            </w:r>
            <w:r w:rsidR="00EF3109"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Modelling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7C350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Week 4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CC25C" w14:textId="6F9684F1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Feature engineering, normalization, trend/regression/forecast </w:t>
            </w:r>
            <w:r w:rsidR="00EF3109" w:rsidRPr="00EF3109">
              <w:rPr>
                <w:rFonts w:ascii="Times New Roman" w:hAnsi="Times New Roman" w:cs="Times New Roman"/>
                <w:sz w:val="20"/>
                <w:szCs w:val="20"/>
              </w:rPr>
              <w:t>modelling</w:t>
            </w: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 per KPI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90548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KPI computation layer + model outputs</w:t>
            </w:r>
          </w:p>
        </w:tc>
      </w:tr>
      <w:tr w:rsidR="005B3F6A" w:rsidRPr="00EF3109" w14:paraId="3EFC22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FA077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5 — Visualization &amp; Reporting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BE507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Week 5</w:t>
            </w:r>
          </w:p>
        </w:tc>
        <w:tc>
          <w:tcPr>
            <w:tcW w:w="4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DF151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Build dashboards, draft narrative insights, stress-test conclusions against edge cases</w:t>
            </w:r>
          </w:p>
        </w:tc>
        <w:tc>
          <w:tcPr>
            <w:tcW w:w="24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F9DF9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Interactive dashboard + strategic report</w:t>
            </w:r>
          </w:p>
        </w:tc>
      </w:tr>
      <w:tr w:rsidR="005B3F6A" w:rsidRPr="00EF3109" w14:paraId="32B0B7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4D93F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 6 — Review &amp; Iteration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480A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Week 6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B6EAB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Stakeholder review, sensitivity checks, refine thresholds and assumptions</w:t>
            </w:r>
          </w:p>
        </w:tc>
        <w:tc>
          <w:tcPr>
            <w:tcW w:w="2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15116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Final validated deliverable</w:t>
            </w:r>
          </w:p>
        </w:tc>
      </w:tr>
    </w:tbl>
    <w:p w14:paraId="4075A812" w14:textId="77777777" w:rsidR="005B3F6A" w:rsidRPr="00EF3109" w:rsidRDefault="005B3F6A">
      <w:pPr>
        <w:spacing w:before="250"/>
        <w:rPr>
          <w:rFonts w:ascii="Times New Roman" w:hAnsi="Times New Roman" w:cs="Times New Roman"/>
        </w:rPr>
      </w:pPr>
    </w:p>
    <w:p w14:paraId="7CBD87DD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5.2 Risks &amp; Mitigation</w:t>
      </w:r>
    </w:p>
    <w:tbl>
      <w:tblPr>
        <w:tblW w:w="98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680"/>
      </w:tblGrid>
      <w:tr w:rsidR="005B3F6A" w:rsidRPr="00EF3109" w14:paraId="2DC76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1483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Risk / Challenge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9965E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Likely Impact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7782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5B3F6A" w:rsidRPr="00EF3109" w14:paraId="41AAC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A39A2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Fragmented or inconsistent public data (state-wise reporting gaps)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1D34C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Incomplete KPI coverage, biased regional comparisons</w:t>
            </w:r>
          </w:p>
        </w:tc>
        <w:tc>
          <w:tcPr>
            <w:tcW w:w="46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3BD1D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Triangulate multiple sources (</w:t>
            </w:r>
            <w:proofErr w:type="spellStart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Agmarknet</w:t>
            </w:r>
            <w:proofErr w:type="spellEnd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 xml:space="preserve">, state </w:t>
            </w:r>
            <w:proofErr w:type="spellStart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agri</w:t>
            </w:r>
            <w:proofErr w:type="spellEnd"/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-departments, satellite proxies); document confidence levels per data point</w:t>
            </w:r>
          </w:p>
        </w:tc>
      </w:tr>
      <w:tr w:rsidR="005B3F6A" w:rsidRPr="00EF3109" w14:paraId="7D7C9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1B512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Seasonality distorting period-over-period comparisons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C4B81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Misleading trend signals if not normalized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97725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Use year-over-year and crop-cycle-aligned comparisons rather than raw calendar-month comparisons</w:t>
            </w:r>
          </w:p>
        </w:tc>
      </w:tr>
      <w:tr w:rsidR="005B3F6A" w:rsidRPr="00EF3109" w14:paraId="58447A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0914C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and weather volatility (climate shocks, trade-policy shifts)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E38E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KPI thresholds become outdated quickly</w:t>
            </w:r>
          </w:p>
        </w:tc>
        <w:tc>
          <w:tcPr>
            <w:tcW w:w="46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09B58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Build rolling benchmarks (3–5 year moving averages) instead of fixed static targets</w:t>
            </w:r>
          </w:p>
        </w:tc>
      </w:tr>
      <w:tr w:rsidR="005B3F6A" w:rsidRPr="00EF3109" w14:paraId="28BF9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D544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licensing / access restrictions on premium sources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F7583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Delays or forced substitution with weaker proxies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BD3F9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Pre-identify open-access equivalents (FAO, ICRISAT, Bhuvan, e-NAM) during the scoping phase</w:t>
            </w:r>
          </w:p>
        </w:tc>
      </w:tr>
      <w:tr w:rsidR="005B3F6A" w:rsidRPr="00EF3109" w14:paraId="49D44D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59848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Stakeholder disagreement on which KPIs matter most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FEC42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Analysis paralysis, scope creep</w:t>
            </w:r>
          </w:p>
        </w:tc>
        <w:tc>
          <w:tcPr>
            <w:tcW w:w="468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5B3E" w14:textId="77777777" w:rsidR="005B3F6A" w:rsidRPr="00EF3109" w:rsidRDefault="00000000">
            <w:pPr>
              <w:rPr>
                <w:rFonts w:ascii="Times New Roman" w:hAnsi="Times New Roman" w:cs="Times New Roman"/>
              </w:rPr>
            </w:pPr>
            <w:r w:rsidRPr="00EF3109">
              <w:rPr>
                <w:rFonts w:ascii="Times New Roman" w:hAnsi="Times New Roman" w:cs="Times New Roman"/>
                <w:sz w:val="20"/>
                <w:szCs w:val="20"/>
              </w:rPr>
              <w:t>Validate the KPI shortlist against 2–3 published industry frameworks before finalizing</w:t>
            </w:r>
          </w:p>
        </w:tc>
      </w:tr>
    </w:tbl>
    <w:p w14:paraId="70A8BBBA" w14:textId="77777777" w:rsidR="005B3F6A" w:rsidRPr="00EF3109" w:rsidRDefault="005B3F6A">
      <w:pPr>
        <w:spacing w:before="250"/>
        <w:rPr>
          <w:rFonts w:ascii="Times New Roman" w:hAnsi="Times New Roman" w:cs="Times New Roman"/>
        </w:rPr>
      </w:pPr>
    </w:p>
    <w:p w14:paraId="1436D1B3" w14:textId="77777777" w:rsidR="005B3F6A" w:rsidRPr="00EF3109" w:rsidRDefault="00000000">
      <w:pPr>
        <w:pStyle w:val="Heading2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lastRenderedPageBreak/>
        <w:t>5.3 Validation Approach</w:t>
      </w:r>
    </w:p>
    <w:p w14:paraId="16176EB6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Cross-check computed KPI values for at least two districts against independently published government figures before trusting the pipeline at scale.</w:t>
      </w:r>
    </w:p>
    <w:p w14:paraId="1BFEF5D1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Run a sensitivity check: re-compute each KPI with the outlier-treatment threshold relaxed and tightened by 20% to confirm conclusions are not artifacts of a single cleaning parameter.</w:t>
      </w:r>
    </w:p>
    <w:p w14:paraId="1F290129" w14:textId="77777777" w:rsidR="005B3F6A" w:rsidRPr="00EF3109" w:rsidRDefault="00000000">
      <w:pPr>
        <w:pStyle w:val="ListParagraph"/>
        <w:numPr>
          <w:ilvl w:val="0"/>
          <w:numId w:val="1"/>
        </w:numPr>
        <w:spacing w:after="9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Hold a stakeholder review at the end of Phase 5 to confirm the KPI thresholds and narrative match domain expectations before finalizing.</w:t>
      </w:r>
    </w:p>
    <w:p w14:paraId="031E3826" w14:textId="77777777" w:rsidR="005B3F6A" w:rsidRPr="00EF3109" w:rsidRDefault="00000000">
      <w:pPr>
        <w:pStyle w:val="Heading1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>6. Conclusion</w:t>
      </w:r>
    </w:p>
    <w:p w14:paraId="395CAA66" w14:textId="089A71D7" w:rsidR="005B3F6A" w:rsidRPr="00EF3109" w:rsidRDefault="00000000">
      <w:pPr>
        <w:spacing w:after="160" w:line="276" w:lineRule="auto"/>
        <w:rPr>
          <w:rFonts w:ascii="Times New Roman" w:hAnsi="Times New Roman" w:cs="Times New Roman"/>
        </w:rPr>
      </w:pPr>
      <w:r w:rsidRPr="00EF3109">
        <w:rPr>
          <w:rFonts w:ascii="Times New Roman" w:hAnsi="Times New Roman" w:cs="Times New Roman"/>
        </w:rPr>
        <w:t xml:space="preserve">This framework deliberately </w:t>
      </w:r>
      <w:r w:rsidR="00EF3109" w:rsidRPr="00EF3109">
        <w:rPr>
          <w:rFonts w:ascii="Times New Roman" w:hAnsi="Times New Roman" w:cs="Times New Roman"/>
        </w:rPr>
        <w:t>favours</w:t>
      </w:r>
      <w:r w:rsidRPr="00EF3109">
        <w:rPr>
          <w:rFonts w:ascii="Times New Roman" w:hAnsi="Times New Roman" w:cs="Times New Roman"/>
        </w:rPr>
        <w:t xml:space="preserve"> a small, well-justified set of KPIs and a transparent, repeatable methodology over an exhaustive metric list. The six KPIs selected — Yield per Hectare, Cost of Production per Unit, Gross Margin %, Post-Harvest Loss Rate, Water Use Efficiency, and Market Price Realization Index — together give a balanced, defensible view of agribusiness performance using entirely public data sources. The five-stage methodology (collection → cleaning → transformation → analysis → visualization) with an explicit feedback loop ensures the framework can be re-applied season after season, turning a one-time analysis into a standing decision-support capability.</w:t>
      </w:r>
    </w:p>
    <w:sectPr w:rsidR="005B3F6A" w:rsidRPr="00EF3109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EB6F" w14:textId="77777777" w:rsidR="005E6C00" w:rsidRDefault="005E6C00">
      <w:r>
        <w:separator/>
      </w:r>
    </w:p>
  </w:endnote>
  <w:endnote w:type="continuationSeparator" w:id="0">
    <w:p w14:paraId="2D611DDA" w14:textId="77777777" w:rsidR="005E6C00" w:rsidRDefault="005E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60C1" w14:textId="77777777" w:rsidR="005B3F6A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F310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F3109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693B0" w14:textId="77777777" w:rsidR="005E6C00" w:rsidRDefault="005E6C00">
      <w:r>
        <w:separator/>
      </w:r>
    </w:p>
  </w:footnote>
  <w:footnote w:type="continuationSeparator" w:id="0">
    <w:p w14:paraId="5DC3DFE6" w14:textId="77777777" w:rsidR="005E6C00" w:rsidRDefault="005E6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0722" w14:textId="77777777" w:rsidR="005B3F6A" w:rsidRDefault="00000000">
    <w:pPr>
      <w:jc w:val="right"/>
    </w:pPr>
    <w:r>
      <w:rPr>
        <w:i/>
        <w:iCs/>
        <w:color w:val="595959"/>
        <w:sz w:val="16"/>
        <w:szCs w:val="16"/>
      </w:rPr>
      <w:t>Strategic Data Analysis Plan — Agribusiness Sector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3740"/>
    <w:multiLevelType w:val="hybridMultilevel"/>
    <w:tmpl w:val="B7E093D2"/>
    <w:lvl w:ilvl="0" w:tplc="86B2F0B6">
      <w:start w:val="1"/>
      <w:numFmt w:val="bullet"/>
      <w:lvlText w:val="●"/>
      <w:lvlJc w:val="left"/>
      <w:pPr>
        <w:ind w:left="720" w:hanging="360"/>
      </w:pPr>
    </w:lvl>
    <w:lvl w:ilvl="1" w:tplc="09C40544">
      <w:start w:val="1"/>
      <w:numFmt w:val="bullet"/>
      <w:lvlText w:val="○"/>
      <w:lvlJc w:val="left"/>
      <w:pPr>
        <w:ind w:left="1440" w:hanging="360"/>
      </w:pPr>
    </w:lvl>
    <w:lvl w:ilvl="2" w:tplc="4776D746">
      <w:start w:val="1"/>
      <w:numFmt w:val="bullet"/>
      <w:lvlText w:val="■"/>
      <w:lvlJc w:val="left"/>
      <w:pPr>
        <w:ind w:left="2160" w:hanging="360"/>
      </w:pPr>
    </w:lvl>
    <w:lvl w:ilvl="3" w:tplc="181A1216">
      <w:start w:val="1"/>
      <w:numFmt w:val="bullet"/>
      <w:lvlText w:val="●"/>
      <w:lvlJc w:val="left"/>
      <w:pPr>
        <w:ind w:left="2880" w:hanging="360"/>
      </w:pPr>
    </w:lvl>
    <w:lvl w:ilvl="4" w:tplc="597202BA">
      <w:start w:val="1"/>
      <w:numFmt w:val="bullet"/>
      <w:lvlText w:val="○"/>
      <w:lvlJc w:val="left"/>
      <w:pPr>
        <w:ind w:left="3600" w:hanging="360"/>
      </w:pPr>
    </w:lvl>
    <w:lvl w:ilvl="5" w:tplc="1878FBF4">
      <w:start w:val="1"/>
      <w:numFmt w:val="bullet"/>
      <w:lvlText w:val="■"/>
      <w:lvlJc w:val="left"/>
      <w:pPr>
        <w:ind w:left="4320" w:hanging="360"/>
      </w:pPr>
    </w:lvl>
    <w:lvl w:ilvl="6" w:tplc="7C3231F6">
      <w:start w:val="1"/>
      <w:numFmt w:val="bullet"/>
      <w:lvlText w:val="●"/>
      <w:lvlJc w:val="left"/>
      <w:pPr>
        <w:ind w:left="5040" w:hanging="360"/>
      </w:pPr>
    </w:lvl>
    <w:lvl w:ilvl="7" w:tplc="35E2A456">
      <w:start w:val="1"/>
      <w:numFmt w:val="bullet"/>
      <w:lvlText w:val="●"/>
      <w:lvlJc w:val="left"/>
      <w:pPr>
        <w:ind w:left="5760" w:hanging="360"/>
      </w:pPr>
    </w:lvl>
    <w:lvl w:ilvl="8" w:tplc="F274CB3E">
      <w:start w:val="1"/>
      <w:numFmt w:val="bullet"/>
      <w:lvlText w:val="●"/>
      <w:lvlJc w:val="left"/>
      <w:pPr>
        <w:ind w:left="6480" w:hanging="360"/>
      </w:pPr>
    </w:lvl>
  </w:abstractNum>
  <w:num w:numId="1" w16cid:durableId="728264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F6A"/>
    <w:rsid w:val="000F2BB8"/>
    <w:rsid w:val="005B3F6A"/>
    <w:rsid w:val="005E6C00"/>
    <w:rsid w:val="00EF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B57E"/>
  <w15:docId w15:val="{E42B11A2-961B-43EA-BEFB-07A23DAC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E8DB8-CE3F-4D3E-B0C8-21299D5CF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1876</Words>
  <Characters>10697</Characters>
  <Application>Microsoft Office Word</Application>
  <DocSecurity>0</DocSecurity>
  <Lines>89</Lines>
  <Paragraphs>25</Paragraphs>
  <ScaleCrop>false</ScaleCrop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Data Analysis Plan for the Agribusiness Sector</dc:title>
  <dc:creator>Strategic Analysis</dc:creator>
  <cp:lastModifiedBy>Dhruv Soni</cp:lastModifiedBy>
  <cp:revision>2</cp:revision>
  <dcterms:created xsi:type="dcterms:W3CDTF">2026-08-19T16:50:00Z</dcterms:created>
  <dcterms:modified xsi:type="dcterms:W3CDTF">2026-08-19T16:57:00Z</dcterms:modified>
</cp:coreProperties>
</file>