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F172A"/>
          <w:sz w:val="36"/>
        </w:rPr>
        <w:t>VAANISHIELD: CODE-SWITCH-AWARE DEEPFAKE VOICE DETECTION FOR FINANCIAL FRAUD CALLS IN INDIAN MULTILINGUAL SPEECH</w:t>
        <w:br/>
      </w:r>
    </w:p>
    <w:p>
      <w:pPr>
        <w:spacing w:before="240" w:after="360"/>
        <w:jc w:val="center"/>
      </w:pPr>
      <w:r>
        <w:rPr>
          <w:rFonts w:ascii="Times New Roman" w:hAnsi="Times New Roman"/>
          <w:color w:val="1E293B"/>
          <w:sz w:val="26"/>
        </w:rPr>
        <w:t>Advanced Artificial Intelligence (CSE_3139)</w:t>
        <w:br/>
        <w:t>V SEMESTER MINI PROJECT REPORT</w:t>
        <w:br/>
        <w:br/>
        <w:t>Submitted to</w:t>
        <w:br/>
      </w:r>
    </w:p>
    <w:p>
      <w:pPr>
        <w:spacing w:before="120" w:after="480"/>
        <w:jc w:val="center"/>
      </w:pPr>
      <w:r>
        <w:rPr>
          <w:rFonts w:ascii="Times New Roman" w:hAnsi="Times New Roman"/>
          <w:b/>
          <w:color w:val="0F172A"/>
          <w:sz w:val="28"/>
        </w:rPr>
        <w:t>MANIPAL ACADEMY OF HIGHER EDUCATION</w:t>
        <w:br/>
        <w:t>School of Computer Engineering</w:t>
        <w:br/>
        <w:t>Manipal Institute of Technology, Bengaluru</w:t>
        <w:br/>
        <w:t>B.Tech Computer Science &amp; Engineering (Artificial Intelligence)</w:t>
        <w:br/>
      </w:r>
    </w:p>
    <w:p>
      <w:pPr>
        <w:spacing w:before="360" w:after="480"/>
        <w:jc w:val="center"/>
      </w:pPr>
      <w:r>
        <w:rPr>
          <w:rFonts w:ascii="Times New Roman" w:hAnsi="Times New Roman"/>
          <w:i/>
          <w:sz w:val="24"/>
        </w:rPr>
        <w:t>Submitted by:</w:t>
        <w:br/>
      </w:r>
      <w:r>
        <w:rPr>
          <w:rFonts w:ascii="Times New Roman" w:hAnsi="Times New Roman"/>
          <w:b/>
          <w:color w:val="0F172A"/>
          <w:sz w:val="30"/>
        </w:rPr>
        <w:t>DHRUV GOURISARIA</w:t>
        <w:br/>
      </w:r>
    </w:p>
    <w:p>
      <w:pPr>
        <w:spacing w:before="240" w:after="800"/>
        <w:jc w:val="center"/>
      </w:pPr>
      <w:r>
        <w:rPr>
          <w:rFonts w:ascii="Times New Roman" w:hAnsi="Times New Roman"/>
          <w:i/>
          <w:sz w:val="24"/>
        </w:rPr>
        <w:t>Under the guidance of:</w:t>
        <w:br/>
      </w:r>
      <w:r>
        <w:rPr>
          <w:rFonts w:ascii="Times New Roman" w:hAnsi="Times New Roman"/>
          <w:b/>
          <w:sz w:val="28"/>
        </w:rPr>
        <w:t>Dr. Mahadevi S.</w:t>
        <w:br/>
      </w:r>
      <w:r>
        <w:rPr>
          <w:rFonts w:ascii="Times New Roman" w:hAnsi="Times New Roman"/>
          <w:sz w:val="24"/>
        </w:rPr>
        <w:t>Assistant Professor, School of Computer Engineering</w:t>
        <w:br/>
        <w:t>Manipal Institute of Technology, Bengaluru</w:t>
        <w:br/>
      </w:r>
    </w:p>
    <w:p>
      <w:pPr>
        <w:spacing w:before="600" w:after="0"/>
        <w:jc w:val="center"/>
      </w:pPr>
      <w:r>
        <w:rPr>
          <w:rFonts w:ascii="Times New Roman" w:hAnsi="Times New Roman"/>
          <w:b/>
          <w:sz w:val="26"/>
        </w:rPr>
        <w:t>October 2026</w:t>
      </w:r>
    </w:p>
    <w:p>
      <w:r>
        <w:br w:type="page"/>
      </w:r>
    </w:p>
    <w:p>
      <w:pPr>
        <w:keepNext/>
        <w:spacing w:before="360" w:after="240"/>
        <w:jc w:val="left"/>
      </w:pPr>
      <w:r>
        <w:rPr>
          <w:rFonts w:ascii="Times New Roman" w:hAnsi="Times New Roman"/>
          <w:b/>
          <w:color w:val="0F172A"/>
          <w:sz w:val="32"/>
        </w:rPr>
        <w:t>ABSTRACT</w:t>
      </w:r>
    </w:p>
    <w:p>
      <w:pPr>
        <w:spacing w:before="0" w:after="120" w:line="312" w:lineRule="auto"/>
        <w:jc w:val="both"/>
      </w:pPr>
      <w:r>
        <w:rPr>
          <w:rFonts w:ascii="Times New Roman" w:hAnsi="Times New Roman"/>
          <w:i w:val="0"/>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pPr>
        <w:spacing w:before="0" w:after="120" w:line="312" w:lineRule="auto"/>
        <w:jc w:val="both"/>
      </w:pPr>
      <w:r>
        <w:rPr>
          <w:rFonts w:ascii="Times New Roman" w:hAnsi="Times New Roman"/>
          <w:i w:val="0"/>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pPr>
        <w:spacing w:before="0" w:after="120" w:line="312" w:lineRule="auto"/>
        <w:jc w:val="both"/>
      </w:pPr>
      <w:r>
        <w:rPr>
          <w:rFonts w:ascii="Times New Roman" w:hAnsi="Times New Roman"/>
          <w:i w:val="0"/>
          <w:color w:val="1E293B"/>
          <w:sz w:val="24"/>
        </w:rPr>
        <w:t>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r>
        <w:br w:type="page"/>
      </w:r>
    </w:p>
    <w:p>
      <w:pPr>
        <w:keepNext/>
        <w:spacing w:before="360" w:after="240"/>
        <w:jc w:val="left"/>
      </w:pPr>
      <w:r>
        <w:rPr>
          <w:rFonts w:ascii="Times New Roman" w:hAnsi="Times New Roman"/>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293B"/>
            <w:tcMar>
              <w:top w:w="120" w:type="dxa"/>
              <w:bottom w:w="120" w:type="dxa"/>
              <w:left w:w="150" w:type="dxa"/>
              <w:right w:w="150" w:type="dxa"/>
            </w:tcMar>
          </w:tcPr>
          <w:p>
            <w:pPr>
              <w:jc w:val="center"/>
            </w:pPr>
            <w:r>
              <w:rPr>
                <w:rFonts w:ascii="Times New Roman" w:hAnsi="Times New Roman"/>
                <w:b/>
                <w:color w:val="FFFFFF"/>
                <w:sz w:val="21"/>
              </w:rPr>
              <w:t>Section</w:t>
            </w:r>
          </w:p>
        </w:tc>
        <w:tc>
          <w:tcPr>
            <w:tcW w:type="dxa" w:w="4608"/>
            <w:shd w:fill="1E293B"/>
            <w:tcMar>
              <w:top w:w="120" w:type="dxa"/>
              <w:bottom w:w="120" w:type="dxa"/>
              <w:left w:w="150" w:type="dxa"/>
              <w:right w:w="150" w:type="dxa"/>
            </w:tcMar>
          </w:tcPr>
          <w:p>
            <w:pPr>
              <w:jc w:val="center"/>
            </w:pPr>
            <w:r>
              <w:rPr>
                <w:rFonts w:ascii="Times New Roman" w:hAnsi="Times New Roman"/>
                <w:b/>
                <w:color w:val="FFFFFF"/>
                <w:sz w:val="21"/>
              </w:rPr>
              <w:t>Subsection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Abstract</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ii</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List of Tables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iv</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List of Figures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v</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1: INTRODUCTION</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1.1 Overview of the Research / Project Work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1.2 Motivation and Background of the Study</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1.3 Problem Statement and Relevance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1.4 Project Objectives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Chapter 2: BACKGROUND THEORY / LITERATURE REVIEW</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2.1 Summary of Existing Studies and Comparative Analysis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2.2 Evolution of Voice Cloning and Anti-Spoofing Technologies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2.3 Key Findings, Trends, and Identified Research Gaps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2.4 Chapter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9</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3: METHODOLOGY</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3.1 System Architecture and Mathematical Formulations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3.2 Hardware and Software System Requirements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3.3 Dataset Curation, Demographic Parity, and Licensing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4: IMPLEMENTATION DETAILS &amp; RESULT ANALYSIS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4.1 Implementation Pipeline and Security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4.2 Empirical Results and Discussion Across Benchmark Regimes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4.3 Comparative Analysis with Existing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5: CONCLUSION AND FUTURE SCOPE</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5.1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5.2 Suggestions for Future Research Directions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REFERENCES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27</w:t>
            </w:r>
          </w:p>
        </w:tc>
      </w:tr>
    </w:tbl>
    <w:p>
      <w:pPr>
        <w:spacing w:before="0" w:after="160"/>
      </w:pPr>
    </w:p>
    <w:p>
      <w:r>
        <w:br w:type="page"/>
      </w:r>
    </w:p>
    <w:p>
      <w:pPr>
        <w:keepNext/>
        <w:spacing w:before="360" w:after="240"/>
        <w:jc w:val="left"/>
      </w:pPr>
      <w:r>
        <w:rPr>
          <w:rFonts w:ascii="Times New Roman" w:hAnsi="Times New Roman"/>
          <w:b/>
          <w:color w:val="0F172A"/>
          <w:sz w:val="32"/>
        </w:rPr>
        <w:t>LIST OF TABLES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Comparative Analysis of Deepfake Voice Detection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6</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Boundary Seam Vector Formulations (16-D Feature Space)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Consented Indic Multilingual Multi-Speaker Corpus Distribution (N=1,600)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Generalization Across 8 Evaluation Regimes (ARS-SNAP vs. Hard SNAP)</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Multi-Speaker Statistical Precision and Confidence Interval Scaling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End-to-End Pipeline Stage Latency Breakdown (N=75 Timed Runs)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23</w:t>
            </w:r>
          </w:p>
        </w:tc>
      </w:tr>
    </w:tbl>
    <w:p>
      <w:pPr>
        <w:spacing w:before="0" w:after="160"/>
      </w:pPr>
    </w:p>
    <w:p>
      <w:pPr>
        <w:keepNext/>
        <w:spacing w:before="480" w:after="240"/>
        <w:jc w:val="left"/>
      </w:pPr>
      <w:r>
        <w:rPr>
          <w:rFonts w:ascii="Times New Roman" w:hAnsi="Times New Roman"/>
          <w:b/>
          <w:color w:val="0F172A"/>
          <w:sz w:val="32"/>
        </w:rPr>
        <w:t>LIST OF FIGURES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Figure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VaaniShield End-to-End Hierarchical Multi-Stream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Acoustic Boundary Artifacts in Code-Switched Speech</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13</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Receiver Operating Characteristic (ROC) Across Generalization Regimes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Asymmetric Neyman-Pearson 3-Tier Decision Routing for Banking Call Centers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High-Concurrency End-to-End Pipeline Latency Profile Breakdown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Multi-Speaker Gender Balance &amp; Demographic Equity Audit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bl>
    <w:p>
      <w:pPr>
        <w:spacing w:before="0" w:after="160"/>
      </w:pPr>
    </w:p>
    <w:p>
      <w:r>
        <w:br w:type="page"/>
      </w:r>
    </w:p>
    <w:p>
      <w:pPr>
        <w:keepNext/>
        <w:spacing w:before="280" w:after="120"/>
        <w:jc w:val="left"/>
      </w:pPr>
      <w:r>
        <w:rPr>
          <w:rFonts w:ascii="Times New Roman" w:hAnsi="Times New Roman"/>
          <w:b/>
          <w:color w:val="0F172A"/>
          <w:sz w:val="32"/>
        </w:rPr>
        <w:t>CHAPTER 1: INTRODUCTION</w:t>
      </w:r>
    </w:p>
    <w:p>
      <w:pPr>
        <w:keepNext/>
        <w:spacing w:before="280" w:after="120"/>
      </w:pPr>
      <w:r>
        <w:rPr>
          <w:rFonts w:ascii="Times New Roman" w:hAnsi="Times New Roman"/>
          <w:b/>
          <w:color w:val="1E293B"/>
          <w:sz w:val="28"/>
        </w:rPr>
        <w:t>1.1 Overview of the Research / Project Work</w:t>
      </w:r>
    </w:p>
    <w:p>
      <w:pPr>
        <w:spacing w:before="0" w:after="120" w:line="312" w:lineRule="auto"/>
        <w:jc w:val="both"/>
      </w:pPr>
      <w:r>
        <w:rPr>
          <w:rFonts w:ascii="Times New Roman" w:hAnsi="Times New Roman"/>
          <w:i w:val="0"/>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pPr>
        <w:spacing w:before="0" w:after="120" w:line="312" w:lineRule="auto"/>
        <w:jc w:val="both"/>
      </w:pPr>
      <w:r>
        <w:rPr>
          <w:rFonts w:ascii="Times New Roman" w:hAnsi="Times New Roman"/>
          <w:i w:val="0"/>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pPr>
        <w:keepNext/>
        <w:spacing w:before="280" w:after="120"/>
      </w:pPr>
      <w:r>
        <w:rPr>
          <w:rFonts w:ascii="Times New Roman" w:hAnsi="Times New Roman"/>
          <w:b/>
          <w:color w:val="1E293B"/>
          <w:sz w:val="28"/>
        </w:rPr>
        <w:t>1.2 Motivation and Background of the Study</w:t>
      </w:r>
    </w:p>
    <w:p>
      <w:pPr>
        <w:spacing w:before="0" w:after="120" w:line="312" w:lineRule="auto"/>
        <w:jc w:val="both"/>
      </w:pPr>
      <w:r>
        <w:rPr>
          <w:rFonts w:ascii="Times New Roman" w:hAnsi="Times New Roman"/>
          <w:i w:val="0"/>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pPr>
        <w:pStyle w:val="ListBullet"/>
        <w:spacing w:before="0" w:after="80" w:line="288" w:lineRule="auto"/>
        <w:ind w:left="360"/>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pPr>
        <w:pStyle w:val="ListBullet"/>
        <w:spacing w:before="0" w:after="80" w:line="288" w:lineRule="auto"/>
        <w:ind w:left="360"/>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pPr>
        <w:pStyle w:val="ListBullet"/>
        <w:spacing w:before="0" w:after="80" w:line="288" w:lineRule="auto"/>
        <w:ind w:left="360"/>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pPr>
        <w:pStyle w:val="ListBullet"/>
        <w:spacing w:before="0" w:after="80" w:line="288" w:lineRule="auto"/>
        <w:ind w:left="360"/>
      </w:pPr>
      <w:r>
        <w:rPr>
          <w:rFonts w:ascii="Times New Roman" w:hAnsi="Times New Roman"/>
          <w:b/>
          <w:sz w:val="23"/>
        </w:rPr>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pPr>
        <w:keepNext/>
        <w:spacing w:before="280" w:after="120"/>
      </w:pPr>
      <w:r>
        <w:rPr>
          <w:rFonts w:ascii="Times New Roman" w:hAnsi="Times New Roman"/>
          <w:b/>
          <w:color w:val="1E293B"/>
          <w:sz w:val="28"/>
        </w:rPr>
        <w:t>1.3 Problem Statement and Relevance</w:t>
      </w:r>
    </w:p>
    <w:p>
      <w:pPr>
        <w:spacing w:before="0" w:after="120" w:line="312" w:lineRule="auto"/>
        <w:jc w:val="both"/>
      </w:pPr>
      <w:r>
        <w:rPr>
          <w:rFonts w:ascii="Times New Roman" w:hAnsi="Times New Roman"/>
          <w:i w:val="0"/>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pPr>
        <w:pStyle w:val="ListBullet"/>
        <w:spacing w:before="0" w:after="80" w:line="288" w:lineRule="auto"/>
        <w:ind w:left="360"/>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pPr>
        <w:pStyle w:val="ListBullet"/>
        <w:spacing w:before="0" w:after="80" w:line="288" w:lineRule="auto"/>
        <w:ind w:left="360"/>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pPr>
        <w:pStyle w:val="ListBullet"/>
        <w:spacing w:before="0" w:after="80" w:line="288" w:lineRule="auto"/>
        <w:ind w:left="360"/>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pPr>
        <w:keepNext/>
        <w:spacing w:before="280" w:after="120"/>
      </w:pPr>
      <w:r>
        <w:rPr>
          <w:rFonts w:ascii="Times New Roman" w:hAnsi="Times New Roman"/>
          <w:b/>
          <w:color w:val="1E293B"/>
          <w:sz w:val="28"/>
        </w:rPr>
        <w:t>1.4 Project Objectives</w:t>
      </w:r>
    </w:p>
    <w:p>
      <w:pPr>
        <w:spacing w:before="0" w:after="120" w:line="312" w:lineRule="auto"/>
        <w:jc w:val="both"/>
      </w:pPr>
      <w:r>
        <w:rPr>
          <w:rFonts w:ascii="Times New Roman" w:hAnsi="Times New Roman"/>
          <w:i w:val="0"/>
          <w:color w:val="1E293B"/>
          <w:sz w:val="24"/>
        </w:rPr>
        <w:t>To systematically address the stated problem, this project executes five primary technical objectives:</w:t>
      </w:r>
    </w:p>
    <w:p>
      <w:pPr>
        <w:pStyle w:val="ListBullet"/>
        <w:spacing w:before="0" w:after="80" w:line="288" w:lineRule="auto"/>
        <w:ind w:left="360"/>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pPr>
        <w:pStyle w:val="ListBullet"/>
        <w:spacing w:before="0" w:after="80" w:line="288" w:lineRule="auto"/>
        <w:ind w:left="360"/>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pPr>
        <w:pStyle w:val="ListBullet"/>
        <w:spacing w:before="0" w:after="80" w:line="288" w:lineRule="auto"/>
        <w:ind w:left="360"/>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pPr>
        <w:pStyle w:val="ListBullet"/>
        <w:spacing w:before="0" w:after="80" w:line="288" w:lineRule="auto"/>
        <w:ind w:left="360"/>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pPr>
        <w:pStyle w:val="ListBullet"/>
        <w:spacing w:before="0" w:after="80" w:line="288" w:lineRule="auto"/>
        <w:ind w:left="360"/>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r>
        <w:br w:type="page"/>
      </w:r>
    </w:p>
    <w:p>
      <w:pPr>
        <w:keepNext/>
        <w:spacing w:before="280" w:after="120"/>
        <w:jc w:val="left"/>
      </w:pPr>
      <w:r>
        <w:rPr>
          <w:rFonts w:ascii="Times New Roman" w:hAnsi="Times New Roman"/>
          <w:b/>
          <w:color w:val="0F172A"/>
          <w:sz w:val="32"/>
        </w:rPr>
        <w:t>CHAPTER 2: BACKGROUND THEORY / LITERATURE REVIEW</w:t>
      </w:r>
    </w:p>
    <w:p>
      <w:pPr>
        <w:keepNext/>
        <w:spacing w:before="280" w:after="120"/>
      </w:pPr>
      <w:r>
        <w:rPr>
          <w:rFonts w:ascii="Times New Roman" w:hAnsi="Times New Roman"/>
          <w:b/>
          <w:color w:val="1E293B"/>
          <w:sz w:val="28"/>
        </w:rPr>
        <w:t>2.1 Summary of Existing Studies and Comparative Analysis</w:t>
      </w:r>
    </w:p>
    <w:p>
      <w:pPr>
        <w:spacing w:before="0" w:after="120" w:line="312" w:lineRule="auto"/>
        <w:jc w:val="both"/>
      </w:pPr>
      <w:r>
        <w:rPr>
          <w:rFonts w:ascii="Times New Roman" w:hAnsi="Times New Roman"/>
          <w:i w:val="0"/>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Architecture / Approach</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Primary Acoustic Domain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Code-Switching Aware?</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Cross-Vocoder Generalization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Telephony Codec Robustness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Typical In-Domain EER</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LFCC-GMM Baseline</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Spectral cepstral envelopes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(&gt;35% EER)</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Poor (Codec smearing)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RawNet2 (Jung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Raw waveform SincNet filters</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 (Vocoder bias)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4.8%</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AASIST (Jung et al.)</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Graph attention on raw audio</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on commercial TTS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SpecRNet (Alzantot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Modified ResNet on STFT</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3.9%</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WavLM / XLSR Probes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Pre-trained SSL representations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Partial</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Good on seen domains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High</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VaaniShield (Proposed)</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Hierarchical Multi-Stream (Boundary + ARS-SNAP)</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Yes (Full Dual-Mode)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Superior (ARS-SNAP soft nulling)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High (5-channel trained)</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11.0% (Telugu unseen)</w:t>
            </w:r>
          </w:p>
        </w:tc>
      </w:tr>
    </w:tbl>
    <w:p>
      <w:pPr>
        <w:spacing w:before="0" w:after="160"/>
      </w:pPr>
    </w:p>
    <w:p>
      <w:pPr>
        <w:spacing w:before="80" w:after="240"/>
        <w:jc w:val="center"/>
      </w:pPr>
      <w:r>
        <w:rPr>
          <w:rFonts w:ascii="Times New Roman" w:hAnsi="Times New Roman"/>
          <w:i/>
          <w:color w:val="475569"/>
          <w:sz w:val="21"/>
        </w:rPr>
        <w:t>Table 1: Comparative Analysis of State-of-the-Art Deepfake Voice Detection Approaches.</w:t>
      </w:r>
    </w:p>
    <w:p>
      <w:pPr>
        <w:keepNext/>
        <w:spacing w:before="280" w:after="120"/>
      </w:pPr>
      <w:r>
        <w:rPr>
          <w:rFonts w:ascii="Times New Roman" w:hAnsi="Times New Roman"/>
          <w:b/>
          <w:color w:val="1E293B"/>
          <w:sz w:val="28"/>
        </w:rPr>
        <w:t>2.2 Evolution of Voice Cloning and Anti-Spoofing Technologies</w:t>
      </w:r>
    </w:p>
    <w:p>
      <w:pPr>
        <w:spacing w:before="0" w:after="120" w:line="312" w:lineRule="auto"/>
        <w:jc w:val="both"/>
      </w:pPr>
      <w:r>
        <w:rPr>
          <w:rFonts w:ascii="Times New Roman" w:hAnsi="Times New Roman"/>
          <w:i w:val="0"/>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pPr>
        <w:spacing w:before="0" w:after="120" w:line="312" w:lineRule="auto"/>
        <w:jc w:val="both"/>
      </w:pPr>
      <w:r>
        <w:rPr>
          <w:rFonts w:ascii="Times New Roman" w:hAnsi="Times New Roman"/>
          <w:i w:val="0"/>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pPr>
        <w:keepNext/>
        <w:spacing w:before="280" w:after="120"/>
      </w:pPr>
      <w:r>
        <w:rPr>
          <w:rFonts w:ascii="Times New Roman" w:hAnsi="Times New Roman"/>
          <w:b/>
          <w:color w:val="1E293B"/>
          <w:sz w:val="28"/>
        </w:rPr>
        <w:t>2.3 Key Findings, Trends, and Identified Research Gaps</w:t>
      </w:r>
    </w:p>
    <w:p>
      <w:pPr>
        <w:spacing w:before="0" w:after="120" w:line="312" w:lineRule="auto"/>
        <w:jc w:val="both"/>
      </w:pPr>
      <w:r>
        <w:rPr>
          <w:rFonts w:ascii="Times New Roman" w:hAnsi="Times New Roman"/>
          <w:i w:val="0"/>
          <w:color w:val="1E293B"/>
          <w:sz w:val="24"/>
        </w:rPr>
        <w:t>Our critical review of the literature reveals three paramount research gaps that prevent the real-world deployment of academic models:</w:t>
      </w:r>
    </w:p>
    <w:p>
      <w:pPr>
        <w:pStyle w:val="ListBullet"/>
        <w:spacing w:before="0" w:after="80" w:line="288" w:lineRule="auto"/>
        <w:ind w:left="360"/>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pPr>
        <w:pStyle w:val="ListBullet"/>
        <w:spacing w:before="0" w:after="80" w:line="288" w:lineRule="auto"/>
        <w:ind w:left="360"/>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pPr>
        <w:pStyle w:val="ListBullet"/>
        <w:spacing w:before="0" w:after="80" w:line="288" w:lineRule="auto"/>
        <w:ind w:left="360"/>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pPr>
        <w:keepNext/>
        <w:spacing w:before="280" w:after="120"/>
      </w:pPr>
      <w:r>
        <w:rPr>
          <w:rFonts w:ascii="Times New Roman" w:hAnsi="Times New Roman"/>
          <w:b/>
          <w:color w:val="1E293B"/>
          <w:sz w:val="28"/>
        </w:rPr>
        <w:t>2.4 Chapter Conclusion</w:t>
      </w:r>
    </w:p>
    <w:p>
      <w:pPr>
        <w:spacing w:before="0" w:after="120" w:line="312" w:lineRule="auto"/>
        <w:jc w:val="both"/>
      </w:pPr>
      <w:r>
        <w:rPr>
          <w:rFonts w:ascii="Times New Roman" w:hAnsi="Times New Roman"/>
          <w:i w:val="0"/>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r>
        <w:br w:type="page"/>
      </w:r>
    </w:p>
    <w:p>
      <w:pPr>
        <w:keepNext/>
        <w:spacing w:before="280" w:after="120"/>
        <w:jc w:val="left"/>
      </w:pPr>
      <w:r>
        <w:rPr>
          <w:rFonts w:ascii="Times New Roman" w:hAnsi="Times New Roman"/>
          <w:b/>
          <w:color w:val="0F172A"/>
          <w:sz w:val="32"/>
        </w:rPr>
        <w:t>CHAPTER 3: METHODOLOGY</w:t>
      </w:r>
    </w:p>
    <w:p>
      <w:pPr>
        <w:keepNext/>
        <w:spacing w:before="280" w:after="120"/>
      </w:pPr>
      <w:r>
        <w:rPr>
          <w:rFonts w:ascii="Times New Roman" w:hAnsi="Times New Roman"/>
          <w:b/>
          <w:color w:val="1E293B"/>
          <w:sz w:val="28"/>
        </w:rPr>
        <w:t>3.1 System Architecture and Mathematical Formulations</w:t>
      </w:r>
    </w:p>
    <w:p>
      <w:pPr>
        <w:spacing w:before="0" w:after="120" w:line="312" w:lineRule="auto"/>
        <w:jc w:val="both"/>
      </w:pPr>
      <w:r>
        <w:rPr>
          <w:rFonts w:ascii="Times New Roman" w:hAnsi="Times New Roman"/>
          <w:i w:val="0"/>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r>
        <w:drawing>
          <wp:inline xmlns:a="http://schemas.openxmlformats.org/drawingml/2006/main" xmlns:pic="http://schemas.openxmlformats.org/drawingml/2006/picture">
            <wp:extent cx="5669280" cy="2844249"/>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44249"/>
                    </a:xfrm>
                    <a:prstGeom prst="rect"/>
                  </pic:spPr>
                </pic:pic>
              </a:graphicData>
            </a:graphic>
          </wp:inline>
        </w:drawing>
      </w:r>
    </w:p>
    <w:p>
      <w:pPr>
        <w:spacing w:before="80" w:after="240"/>
        <w:jc w:val="center"/>
      </w:pPr>
      <w:r>
        <w:rPr>
          <w:rFonts w:ascii="Times New Roman" w:hAnsi="Times New Roman"/>
          <w:i/>
          <w:color w:val="475569"/>
          <w:sz w:val="21"/>
        </w:rPr>
        <w:t>Figure 1: VaaniShield End-to-End Hierarchical Multi-Stream Architecture.</w:t>
      </w:r>
    </w:p>
    <w:p>
      <w:pPr>
        <w:spacing w:before="0" w:after="120" w:line="312" w:lineRule="auto"/>
        <w:jc w:val="both"/>
      </w:pPr>
      <w:r>
        <w:rPr>
          <w:rFonts w:ascii="Times New Roman" w:hAnsi="Times New Roman"/>
          <w:i w:val="0"/>
          <w:color w:val="1E293B"/>
          <w:sz w:val="24"/>
        </w:rPr>
        <w:t>A. Acoustic Flux Changepoint Localization:</w:t>
        <w:br/>
        <w:t>To identify language transition boundaries without relying on computationally expensive speech-to-text transcriptions, we compute the spectral flux SF(t) across successive STFT frames:</w:t>
      </w:r>
    </w:p>
    <w:p>
      <w:pPr>
        <w:spacing w:before="0" w:after="120" w:line="312" w:lineRule="auto"/>
        <w:jc w:val="both"/>
      </w:pPr>
      <w:r>
        <w:rPr>
          <w:rFonts w:ascii="Times New Roman" w:hAnsi="Times New Roman"/>
          <w:i w:val="0"/>
          <w:color w:val="1E293B"/>
          <w:sz w:val="24"/>
        </w:rPr>
        <w:t xml:space="preserve">    SF(t) = ∑_k H( |X(t, k)| - |X(t-1, k)| )^2</w:t>
        <w:br/>
        <w:t>where H(v) = (v + |v|)/2 is the half-wave rectification operator and X(t, k) is the short-time Fourier transform. Peaks in SF(t) exceeding an adaptive threshold define candidate code-switch points {t_cs}.</w:t>
      </w:r>
    </w:p>
    <w:p>
      <w:pPr>
        <w:spacing w:before="0" w:after="120" w:line="312" w:lineRule="auto"/>
        <w:jc w:val="both"/>
      </w:pPr>
      <w:r>
        <w:rPr>
          <w:rFonts w:ascii="Times New Roman" w:hAnsi="Times New Roman"/>
          <w:i w:val="0"/>
          <w:color w:val="1E293B"/>
          <w:sz w:val="24"/>
        </w:rPr>
        <w:t>B. Boundary Prosodic and Phase Seam Extraction:</w:t>
        <w:br/>
        <w:t>For each detected transition point t_cs, a symmetric window W = [t_cs - Δ, t_cs + Δ] (Δ = 250 ms) is partitioned into pre-switch (W_pre) and post-switch (W_post) segments. Across this boundary, we extract a 16-dimensional acoustic seam vector capturing pitch jump, energy step, formant dispersion, and phase reset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Acoustic Metric Name</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Mathematical Formulation</w:t>
            </w:r>
          </w:p>
        </w:tc>
        <w:tc>
          <w:tcPr>
            <w:tcW w:type="dxa" w:w="2736"/>
            <w:shd w:fill="1E293B"/>
            <w:tcMar>
              <w:top w:w="120" w:type="dxa"/>
              <w:bottom w:w="120" w:type="dxa"/>
              <w:left w:w="150" w:type="dxa"/>
              <w:right w:w="150" w:type="dxa"/>
            </w:tcMar>
          </w:tcPr>
          <w:p>
            <w:pPr>
              <w:jc w:val="center"/>
            </w:pPr>
            <w:r>
              <w:rPr>
                <w:rFonts w:ascii="Times New Roman" w:hAnsi="Times New Roman"/>
                <w:b/>
                <w:color w:val="FFFFFF"/>
                <w:sz w:val="21"/>
              </w:rPr>
              <w:t>Physical Anomaly Targeted</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0–1</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ΔF0 (Absolute &amp; Relative Jump)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|F0_post - F0_pre|, (F0_post - F0_pre) / F0_pre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Pitch contour discontinuity across vocoder frames</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2–3</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ΔEnergy (RMS Step &amp; Log Ratio)</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|E_post - E_pre|, 10 * log10(E_post / E_pre)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Sudden volume / amplitude step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4–5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ΔSpectral Flux Step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SF(t_post) - SF(t_pre)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Spectral envelope tilt dislocation</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6–7</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Formant Phase Reset Δϕ</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arg( X_post(F1) ) - arg( X_pre(F1) )</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Non-linear phase desynchronization at stitch boundary</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8–9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Boundary Spectral Centroid Shift</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SC_post - SC_pre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Timbral brightness jump</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10–11</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Boundary Bandwidth Deviation</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BW_post - BW_pre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Formant bandwidth broadening</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12–15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Summary Statistics (Mean, Max, Std)</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Pooled segment aggregations</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Multi-boundary utterance-level cohesion</w:t>
            </w:r>
          </w:p>
        </w:tc>
      </w:tr>
    </w:tbl>
    <w:p>
      <w:pPr>
        <w:spacing w:before="0" w:after="160"/>
      </w:pPr>
    </w:p>
    <w:p>
      <w:pPr>
        <w:spacing w:before="80" w:after="240"/>
        <w:jc w:val="center"/>
      </w:pPr>
      <w:r>
        <w:rPr>
          <w:rFonts w:ascii="Times New Roman" w:hAnsi="Times New Roman"/>
          <w:i/>
          <w:color w:val="475569"/>
          <w:sz w:val="21"/>
        </w:rPr>
        <w:t>Table 2: Empirical Boundary Seam Vector Formulations (16-D Feature Space).</w:t>
      </w:r>
    </w:p>
    <w:p>
      <w:r>
        <w:drawing>
          <wp:inline xmlns:a="http://schemas.openxmlformats.org/drawingml/2006/main" xmlns:pic="http://schemas.openxmlformats.org/drawingml/2006/picture">
            <wp:extent cx="5303520" cy="3995437"/>
            <wp:docPr id="2" name="Picture 2"/>
            <wp:cNvGraphicFramePr>
              <a:graphicFrameLocks noChangeAspect="1"/>
            </wp:cNvGraphicFramePr>
            <a:graphic>
              <a:graphicData uri="http://schemas.openxmlformats.org/drawingml/2006/picture">
                <pic:pic>
                  <pic:nvPicPr>
                    <pic:cNvPr id="0" name="fig2_codeswitch_acoustic_seams.png"/>
                    <pic:cNvPicPr/>
                  </pic:nvPicPr>
                  <pic:blipFill>
                    <a:blip r:embed="rId10"/>
                    <a:stretch>
                      <a:fillRect/>
                    </a:stretch>
                  </pic:blipFill>
                  <pic:spPr>
                    <a:xfrm>
                      <a:off x="0" y="0"/>
                      <a:ext cx="5303520" cy="3995437"/>
                    </a:xfrm>
                    <a:prstGeom prst="rect"/>
                  </pic:spPr>
                </pic:pic>
              </a:graphicData>
            </a:graphic>
          </wp:inline>
        </w:drawing>
      </w:r>
    </w:p>
    <w:p>
      <w:pPr>
        <w:spacing w:before="80" w:after="240"/>
        <w:jc w:val="center"/>
      </w:pPr>
      <w:r>
        <w:rPr>
          <w:rFonts w:ascii="Times New Roman" w:hAnsi="Times New Roman"/>
          <w:i/>
          <w:color w:val="475569"/>
          <w:sz w:val="21"/>
        </w:rPr>
        <w:t>Figure 2: Empirical Acoustic Boundary Artifacts in Code-Switched Speech.</w:t>
      </w:r>
    </w:p>
    <w:p>
      <w:pPr>
        <w:spacing w:before="0" w:after="120" w:line="312" w:lineRule="auto"/>
        <w:jc w:val="both"/>
      </w:pPr>
      <w:r>
        <w:rPr>
          <w:rFonts w:ascii="Times New Roman" w:hAnsi="Times New Roman"/>
          <w:i w:val="0"/>
          <w:color w:val="1E293B"/>
          <w:sz w:val="24"/>
        </w:rPr>
        <w:t>C. Dual-Mode Monolingual Routing:</w:t>
        <w:br/>
        <w:t>When an utterance contains zero code-switching points (N_cs = 0), naive boundary detectors collapse into an uninformative zero vector. VaaniShield introduces an automatic Dual-Mode Stream Router that dynamically switches to global macro-acoustic metrics when N_cs = 0:</w:t>
        <w:br/>
        <w:t xml:space="preserve">    • Harmonics-to-Noise Ratio (HNR): Measures glottal excitation periodic energy relative to aspiration noise.</w:t>
        <w:br/>
        <w:t xml:space="preserve">    • Spectral Flatness Measure (SFM): Quantifies the tonality versus noisiness of the audio spectrum.</w:t>
        <w:br/>
        <w:t xml:space="preserve">    • Macro Energy Variance: Detects unnatural unnatural dynamic range compression typical of neural speech synthesizers.</w:t>
        <w:br/>
        <w:t xml:space="preserve">    • Zero-Crossing Rate (ZCR) Variance: Measures micro-phonetic temporal stability across unvoiced phonemes.</w:t>
      </w:r>
    </w:p>
    <w:p>
      <w:pPr>
        <w:spacing w:before="0" w:after="120" w:line="312" w:lineRule="auto"/>
        <w:jc w:val="both"/>
      </w:pPr>
      <w:r>
        <w:rPr>
          <w:rFonts w:ascii="Times New Roman" w:hAnsi="Times New Roman"/>
          <w:i w:val="0"/>
          <w:color w:val="1E293B"/>
          <w:sz w:val="24"/>
        </w:rPr>
        <w:t>D. Adaptive Regularized Subspace Projection (ARS-SNAP):</w:t>
        <w:br/>
        <w:t>To prevent speaker identity biometrics from biasing deepfake classification, we project the self-supervised embedding z ∈ R^D (D=1024) into a speaker-nulled subspace. Standard SNAP applies hard orthogonal projection:</w:t>
        <w:br/>
        <w:t xml:space="preserve">    P_hard = I - Φ (Φ^T Φ)^(-1) Φ^T</w:t>
        <w:br/>
        <w:t>where Φ is the basis matrix of the top-k speaker subspace components. However, on unseen commercial voice cloners, hard projection causes mathematical singularity and strips vital discriminative signal. VaaniShield introduces Adaptive Regularized Subspace Projection (ARS-SNAP):</w:t>
        <w:br/>
        <w:t xml:space="preserve">    P_ARS = I - Φ (Φ^T Φ + λ I)^(-1) Φ^T</w:t>
        <w:br/>
        <w:t>where λ &gt; 0 is a Tikhonov soft-shrinkage regularization parameter (empirically tuned to λ = 0.05 on validation splits). ARS-SNAP smoothly attenuates dominant speaker eigenvalues while preserving subtle vocoder synthesis artifacts.</w:t>
      </w:r>
    </w:p>
    <w:p>
      <w:pPr>
        <w:keepNext/>
        <w:spacing w:before="280" w:after="120"/>
      </w:pPr>
      <w:r>
        <w:rPr>
          <w:rFonts w:ascii="Times New Roman" w:hAnsi="Times New Roman"/>
          <w:b/>
          <w:color w:val="1E293B"/>
          <w:sz w:val="28"/>
        </w:rPr>
        <w:t>3.2 Hardware and Software System Requirements</w:t>
      </w:r>
    </w:p>
    <w:p>
      <w:pPr>
        <w:spacing w:before="0" w:after="120" w:line="312" w:lineRule="auto"/>
        <w:jc w:val="both"/>
      </w:pPr>
      <w:r>
        <w:rPr>
          <w:rFonts w:ascii="Times New Roman" w:hAnsi="Times New Roman"/>
          <w:i w:val="0"/>
          <w:color w:val="1E293B"/>
          <w:sz w:val="24"/>
        </w:rPr>
        <w:t>The system architecture is engineered to run seamlessly across on-premise banking servers and cloud telephony clusters:</w:t>
      </w:r>
    </w:p>
    <w:p>
      <w:pPr>
        <w:pStyle w:val="ListBullet"/>
        <w:spacing w:before="0" w:after="80" w:line="288" w:lineRule="auto"/>
        <w:ind w:left="360"/>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pPr>
        <w:pStyle w:val="ListBullet"/>
        <w:spacing w:before="0" w:after="80" w:line="288" w:lineRule="auto"/>
        <w:ind w:left="360"/>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pPr>
        <w:pStyle w:val="ListBullet"/>
        <w:spacing w:before="0" w:after="80" w:line="288" w:lineRule="auto"/>
        <w:ind w:left="360"/>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pPr>
        <w:pStyle w:val="ListBullet"/>
        <w:spacing w:before="0" w:after="80" w:line="288" w:lineRule="auto"/>
        <w:ind w:left="360"/>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pPr>
        <w:keepNext/>
        <w:spacing w:before="280" w:after="120"/>
      </w:pPr>
      <w:r>
        <w:rPr>
          <w:rFonts w:ascii="Times New Roman" w:hAnsi="Times New Roman"/>
          <w:b/>
          <w:color w:val="1E293B"/>
          <w:sz w:val="28"/>
        </w:rPr>
        <w:t>3.3 Dataset Curation, Demographic Parity, and Licensing</w:t>
      </w:r>
    </w:p>
    <w:p>
      <w:pPr>
        <w:spacing w:before="0" w:after="120" w:line="312" w:lineRule="auto"/>
        <w:jc w:val="both"/>
      </w:pPr>
      <w:r>
        <w:rPr>
          <w:rFonts w:ascii="Times New Roman" w:hAnsi="Times New Roman"/>
          <w:i w:val="0"/>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Corpus Partition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Speakers (F/M)</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Utterances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Bona-fide</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Synthetic Spoofs (XTTS / Edge TTS)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Audio Channel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Training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 (8F / 8M)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375 (50% XTTS / 50%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Validation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 (2F / 2M)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75 (50% XTTS / 50%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In-Domain Test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175 (XTTS +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Held-out Generalization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175 (100% Unseen Microsoft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Telephony Codecs + Acoustic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Total Enterprise Corpus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32 (16F / 16M)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800 (Balanced Multi-Vocoder)</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100% Verified Non-Silent, &gt;0.5s Normalized</w:t>
            </w:r>
          </w:p>
        </w:tc>
      </w:tr>
    </w:tbl>
    <w:p>
      <w:pPr>
        <w:spacing w:before="0" w:after="160"/>
      </w:pPr>
    </w:p>
    <w:p>
      <w:pPr>
        <w:spacing w:before="80" w:after="240"/>
        <w:jc w:val="center"/>
      </w:pPr>
      <w:r>
        <w:rPr>
          <w:rFonts w:ascii="Times New Roman" w:hAnsi="Times New Roman"/>
          <w:i/>
          <w:color w:val="475569"/>
          <w:sz w:val="21"/>
        </w:rPr>
        <w:t>Table 3: Consented Indic Multilingual Multi-Speaker Corpus Distribution (N=1,600).</w:t>
      </w:r>
    </w:p>
    <w:p>
      <w:r>
        <w:br w:type="page"/>
      </w:r>
    </w:p>
    <w:p>
      <w:pPr>
        <w:keepNext/>
        <w:spacing w:before="280" w:after="120"/>
        <w:jc w:val="left"/>
      </w:pPr>
      <w:r>
        <w:rPr>
          <w:rFonts w:ascii="Times New Roman" w:hAnsi="Times New Roman"/>
          <w:b/>
          <w:color w:val="0F172A"/>
          <w:sz w:val="32"/>
        </w:rPr>
        <w:t>CHAPTER 4: IMPLEMENTATION DETAILS &amp; RESULT ANALYSIS</w:t>
      </w:r>
    </w:p>
    <w:p>
      <w:pPr>
        <w:keepNext/>
        <w:spacing w:before="280" w:after="120"/>
      </w:pPr>
      <w:r>
        <w:rPr>
          <w:rFonts w:ascii="Times New Roman" w:hAnsi="Times New Roman"/>
          <w:b/>
          <w:color w:val="1E293B"/>
          <w:sz w:val="28"/>
        </w:rPr>
        <w:t>4.1 Implementation Pipeline and Security Architecture</w:t>
      </w:r>
    </w:p>
    <w:p>
      <w:pPr>
        <w:spacing w:before="0" w:after="120" w:line="312" w:lineRule="auto"/>
        <w:jc w:val="both"/>
      </w:pPr>
      <w:r>
        <w:rPr>
          <w:rFonts w:ascii="Times New Roman" w:hAnsi="Times New Roman"/>
          <w:i w:val="0"/>
          <w:color w:val="1E293B"/>
          <w:sz w:val="24"/>
        </w:rPr>
        <w:t>The production implementation of VaaniShield addresses real-world enterprise engineering bottlenecks that typically plague AI research code:</w:t>
      </w:r>
    </w:p>
    <w:p>
      <w:pPr>
        <w:pStyle w:val="ListBullet"/>
        <w:spacing w:before="0" w:after="80" w:line="288" w:lineRule="auto"/>
        <w:ind w:left="360"/>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pPr>
        <w:pStyle w:val="ListBullet"/>
        <w:spacing w:before="0" w:after="80" w:line="288" w:lineRule="auto"/>
        <w:ind w:left="360"/>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pPr>
        <w:pStyle w:val="ListBullet"/>
        <w:spacing w:before="0" w:after="80" w:line="288" w:lineRule="auto"/>
        <w:ind w:left="360"/>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pPr>
        <w:pStyle w:val="ListBullet"/>
        <w:spacing w:before="0" w:after="80" w:line="288" w:lineRule="auto"/>
        <w:ind w:left="360"/>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&lt; 0.38 are tagged ALLOW_VERIFIED (FAR ≤ 0.1%, zero friction); 0.38 ≤ Score &lt; 0.58 trigger STEP_UP_AUTH (out-of-band verification); and Scores ≥ 0.58 trigger BLOCK_AND_ALERT.</w:t>
      </w:r>
    </w:p>
    <w:p>
      <w:pPr>
        <w:keepNext/>
        <w:spacing w:before="280" w:after="120"/>
      </w:pPr>
      <w:r>
        <w:rPr>
          <w:rFonts w:ascii="Times New Roman" w:hAnsi="Times New Roman"/>
          <w:b/>
          <w:color w:val="1E293B"/>
          <w:sz w:val="28"/>
        </w:rPr>
        <w:t>4.2 Empirical Results and Discussion Across Benchmark Regimes</w:t>
      </w:r>
    </w:p>
    <w:p>
      <w:pPr>
        <w:spacing w:before="0" w:after="120" w:line="312" w:lineRule="auto"/>
        <w:jc w:val="both"/>
      </w:pPr>
      <w:r>
        <w:rPr>
          <w:rFonts w:ascii="Times New Roman" w:hAnsi="Times New Roman"/>
          <w:i w:val="0"/>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Benchmark Regime</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Sample Count (N)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Hard SNAP EER (λ=0.0)</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ARS-SNAP EER (λ=0.05)</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Relative EER Drop</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ROC-AUC</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95% Wilson Confidence Interval</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Overall Enterprise Corpus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0.838</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[0.2112, 0.2525] (±2.07%)</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In-Domain Test Set</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30.57%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31.43%</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-2.8%</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0.742</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[0.2679, 0.3647] (±4.84%)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Cross-Dialect (Telugu te-en)</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11.50%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+4.3%</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0.942</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[0.0830, 0.1445] (±3.08%)</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Out-of-Domain Commercial TTS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21.87%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20.62%</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+5.7%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0.865</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[0.1722, 0.2453] (±3.65%)</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Telephony Codecs (G.711 / AMR)</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640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21.25%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21.72%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0.849</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[0.1870, 0.2508] (±3.19%)</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Packet Loss Telephony</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18.75%</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20.94%</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-11.7%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0.858</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[0.1684, 0.2573] (±4.44%)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Ambient Noise Telephony</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30.31%</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30.63%</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-1.1%</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0.751</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[0.2583, 0.3588] (±5.02%)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Demographic: Female Callers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23.63%</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0.839</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[0.2022, 0.2604] (±2.91%)</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Demographic: Male Callers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23.75%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23.88%</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0.837</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[0.2105, 0.2695] (±2.95%)</w:t>
            </w:r>
          </w:p>
        </w:tc>
      </w:tr>
    </w:tbl>
    <w:p>
      <w:pPr>
        <w:spacing w:before="0" w:after="160"/>
      </w:pPr>
    </w:p>
    <w:p>
      <w:pPr>
        <w:spacing w:before="80" w:after="240"/>
        <w:jc w:val="center"/>
      </w:pPr>
      <w:r>
        <w:rPr>
          <w:rFonts w:ascii="Times New Roman" w:hAnsi="Times New Roman"/>
          <w:i/>
          <w:color w:val="475569"/>
          <w:sz w:val="21"/>
        </w:rPr>
        <w:t>Table 4: Empirical Generalization Across 8 Evaluation Regimes (ARS-SNAP vs. Hard SNAP).</w:t>
      </w:r>
    </w:p>
    <w:p>
      <w:r>
        <w:drawing>
          <wp:inline xmlns:a="http://schemas.openxmlformats.org/drawingml/2006/main" xmlns:pic="http://schemas.openxmlformats.org/drawingml/2006/picture">
            <wp:extent cx="5120640" cy="2926080"/>
            <wp:docPr id="3" name="Picture 3"/>
            <wp:cNvGraphicFramePr>
              <a:graphicFrameLocks noChangeAspect="1"/>
            </wp:cNvGraphicFramePr>
            <a:graphic>
              <a:graphicData uri="http://schemas.openxmlformats.org/drawingml/2006/picture">
                <pic:pic>
                  <pic:nvPicPr>
                    <pic:cNvPr id="0" name="fig3_generalization_roc_curves.png"/>
                    <pic:cNvPicPr/>
                  </pic:nvPicPr>
                  <pic:blipFill>
                    <a:blip r:embed="rId11"/>
                    <a:stretch>
                      <a:fillRect/>
                    </a:stretch>
                  </pic:blipFill>
                  <pic:spPr>
                    <a:xfrm>
                      <a:off x="0" y="0"/>
                      <a:ext cx="5120640" cy="2926080"/>
                    </a:xfrm>
                    <a:prstGeom prst="rect"/>
                  </pic:spPr>
                </pic:pic>
              </a:graphicData>
            </a:graphic>
          </wp:inline>
        </w:drawing>
      </w:r>
    </w:p>
    <w:p>
      <w:pPr>
        <w:spacing w:before="80" w:after="240"/>
        <w:jc w:val="center"/>
      </w:pPr>
      <w:r>
        <w:rPr>
          <w:rFonts w:ascii="Times New Roman" w:hAnsi="Times New Roman"/>
          <w:i/>
          <w:color w:val="475569"/>
          <w:sz w:val="21"/>
        </w:rPr>
        <w:t>Figure 3: Receiver Operating Characteristic (ROC) Across Generalization Regimes.</w:t>
      </w:r>
    </w:p>
    <w:p>
      <w:r>
        <w:drawing>
          <wp:inline xmlns:a="http://schemas.openxmlformats.org/drawingml/2006/main" xmlns:pic="http://schemas.openxmlformats.org/drawingml/2006/picture">
            <wp:extent cx="5303520" cy="2237212"/>
            <wp:docPr id="4" name="Picture 4"/>
            <wp:cNvGraphicFramePr>
              <a:graphicFrameLocks noChangeAspect="1"/>
            </wp:cNvGraphicFramePr>
            <a:graphic>
              <a:graphicData uri="http://schemas.openxmlformats.org/drawingml/2006/picture">
                <pic:pic>
                  <pic:nvPicPr>
                    <pic:cNvPr id="0" name="fig4_neyman_pearson_tiers.png"/>
                    <pic:cNvPicPr/>
                  </pic:nvPicPr>
                  <pic:blipFill>
                    <a:blip r:embed="rId12"/>
                    <a:stretch>
                      <a:fillRect/>
                    </a:stretch>
                  </pic:blipFill>
                  <pic:spPr>
                    <a:xfrm>
                      <a:off x="0" y="0"/>
                      <a:ext cx="5303520" cy="2237212"/>
                    </a:xfrm>
                    <a:prstGeom prst="rect"/>
                  </pic:spPr>
                </pic:pic>
              </a:graphicData>
            </a:graphic>
          </wp:inline>
        </w:drawing>
      </w:r>
    </w:p>
    <w:p>
      <w:pPr>
        <w:spacing w:before="80" w:after="240"/>
        <w:jc w:val="center"/>
      </w:pPr>
      <w:r>
        <w:rPr>
          <w:rFonts w:ascii="Times New Roman" w:hAnsi="Times New Roman"/>
          <w:i/>
          <w:color w:val="475569"/>
          <w:sz w:val="21"/>
        </w:rPr>
        <w:t>Figure 4: Asymmetric Neyman-Pearson 3-Tier Decision Routing for Banking Call Centers.</w:t>
      </w:r>
    </w:p>
    <w:p>
      <w:pPr>
        <w:spacing w:before="0" w:after="120" w:line="312" w:lineRule="auto"/>
        <w:jc w:val="both"/>
      </w:pPr>
      <w:r>
        <w:rPr>
          <w:rFonts w:ascii="Times New Roman" w:hAnsi="Times New Roman"/>
          <w:i w:val="0"/>
          <w:color w:val="1E293B"/>
          <w:sz w:val="24"/>
        </w:rPr>
        <w:t>A. Commercial Speech Synthesis Generalization:</w:t>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pPr>
        <w:spacing w:before="0" w:after="120" w:line="312" w:lineRule="auto"/>
        <w:jc w:val="both"/>
      </w:pPr>
      <w:r>
        <w:rPr>
          <w:rFonts w:ascii="Times New Roman" w:hAnsi="Times New Roman"/>
          <w:i w:val="0"/>
          <w:color w:val="1E293B"/>
          <w:sz w:val="24"/>
        </w:rPr>
        <w:t>B. Multi-Speaker Statistical Confidence Scaling:</w:t>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Corpus Scale Tier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Total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Held-out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Unique Speakers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95% Wilson Margin of Error</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Statistical Audit Validity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Pilot Proof-of-Concept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50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8</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±13.20%</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Wide pilot interval; high variance</w:t>
            </w:r>
          </w:p>
        </w:tc>
      </w:tr>
      <w:tr>
        <w:tc>
          <w:tcPr>
            <w:tcW w:type="dxa" w:w="2016"/>
            <w:shd w:fill="F8FAFC"/>
            <w:tcMar>
              <w:top w:w="90" w:type="dxa"/>
              <w:bottom w:w="90" w:type="dxa"/>
              <w:left w:w="120" w:type="dxa"/>
              <w:right w:w="120" w:type="dxa"/>
            </w:tcMar>
          </w:tcPr>
          <w:p>
            <w:pPr>
              <w:jc w:val="left"/>
            </w:pPr>
            <w:r>
              <w:rPr>
                <w:rFonts w:ascii="Times New Roman" w:hAnsi="Times New Roman"/>
                <w:color w:val="0F172A"/>
                <w:sz w:val="20"/>
              </w:rPr>
              <w:t>Enterprise Scaled Corpus (Current)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1,600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32</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±3.65%</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72.3% tighter bounds; audit-grade certainty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Commercial Banking Target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2,000</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±0.79%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Regulatory production certification standard</w:t>
            </w:r>
          </w:p>
        </w:tc>
      </w:tr>
    </w:tbl>
    <w:p>
      <w:pPr>
        <w:spacing w:before="0" w:after="160"/>
      </w:pPr>
    </w:p>
    <w:p>
      <w:pPr>
        <w:spacing w:before="80" w:after="240"/>
        <w:jc w:val="center"/>
      </w:pPr>
      <w:r>
        <w:rPr>
          <w:rFonts w:ascii="Times New Roman" w:hAnsi="Times New Roman"/>
          <w:i/>
          <w:color w:val="475569"/>
          <w:sz w:val="21"/>
        </w:rPr>
        <w:t>Table 5: Multi-Speaker Statistical Precision and Confidence Interval Scaling.</w:t>
      </w:r>
    </w:p>
    <w:p>
      <w:pPr>
        <w:spacing w:before="0" w:after="120" w:line="312" w:lineRule="auto"/>
        <w:jc w:val="both"/>
      </w:pPr>
      <w:r>
        <w:rPr>
          <w:rFonts w:ascii="Times New Roman" w:hAnsi="Times New Roman"/>
          <w:i w:val="0"/>
          <w:color w:val="1E293B"/>
          <w:sz w:val="24"/>
        </w:rPr>
        <w:t>C. Demographic Equity and Gender Parity:</w:t>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r>
        <w:drawing>
          <wp:inline xmlns:a="http://schemas.openxmlformats.org/drawingml/2006/main" xmlns:pic="http://schemas.openxmlformats.org/drawingml/2006/picture">
            <wp:extent cx="5303520" cy="2322709"/>
            <wp:docPr id="5" name="Picture 5"/>
            <wp:cNvGraphicFramePr>
              <a:graphicFrameLocks noChangeAspect="1"/>
            </wp:cNvGraphicFramePr>
            <a:graphic>
              <a:graphicData uri="http://schemas.openxmlformats.org/drawingml/2006/picture">
                <pic:pic>
                  <pic:nvPicPr>
                    <pic:cNvPr id="0" name="fig6_demographic_parity.png"/>
                    <pic:cNvPicPr/>
                  </pic:nvPicPr>
                  <pic:blipFill>
                    <a:blip r:embed="rId13"/>
                    <a:stretch>
                      <a:fillRect/>
                    </a:stretch>
                  </pic:blipFill>
                  <pic:spPr>
                    <a:xfrm>
                      <a:off x="0" y="0"/>
                      <a:ext cx="5303520" cy="2322709"/>
                    </a:xfrm>
                    <a:prstGeom prst="rect"/>
                  </pic:spPr>
                </pic:pic>
              </a:graphicData>
            </a:graphic>
          </wp:inline>
        </w:drawing>
      </w:r>
    </w:p>
    <w:p>
      <w:pPr>
        <w:spacing w:before="80" w:after="240"/>
        <w:jc w:val="center"/>
      </w:pPr>
      <w:r>
        <w:rPr>
          <w:rFonts w:ascii="Times New Roman" w:hAnsi="Times New Roman"/>
          <w:i/>
          <w:color w:val="475569"/>
          <w:sz w:val="21"/>
        </w:rPr>
        <w:t>Figure 6: Multi-Speaker Gender Balance &amp; Demographic Equity Audit.</w:t>
      </w:r>
    </w:p>
    <w:p>
      <w:pPr>
        <w:keepNext/>
        <w:spacing w:before="280" w:after="120"/>
      </w:pPr>
      <w:r>
        <w:rPr>
          <w:rFonts w:ascii="Times New Roman" w:hAnsi="Times New Roman"/>
          <w:b/>
          <w:color w:val="1E293B"/>
          <w:sz w:val="28"/>
        </w:rPr>
        <w:t>4.3 Comparison with Existing Work and Latency Profile</w:t>
      </w:r>
    </w:p>
    <w:p>
      <w:pPr>
        <w:spacing w:before="0" w:after="120" w:line="312" w:lineRule="auto"/>
        <w:jc w:val="both"/>
      </w:pPr>
      <w:r>
        <w:rPr>
          <w:rFonts w:ascii="Times New Roman" w:hAnsi="Times New Roman"/>
          <w:i w:val="0"/>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Median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P95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P99 Latency (ms)</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Conformance with SLA</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Audio I/O (Disk / Stream Ingestion)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1.42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1.65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3.33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5.54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Negligible overhead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Acoustic Changepoint Localization</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6.42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8.94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19.40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49.34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Real-time compliant</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Boundary Feature Extraction (YIN + STFT)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105.88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118.22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223.97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340.27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Vectorized PyTorch accelerated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SNAP SSL Embedding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21.36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26.45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67.89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159.22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Pre-trained speech foundation</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SNAP Subspace Projection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0.06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0.41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Ultra-fast matrix multiply</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Pure ONNX Classifier Inference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0.16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0.32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0.76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C++ ONNX Runtime runtime</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Zero-Pickle NumPy Inference</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1.82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Python memory view</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Full End-to-End Pipeline (Optimized)</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127.31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149.20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281.21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1063.44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Median within 200 ms telecom budget</w:t>
            </w:r>
          </w:p>
        </w:tc>
      </w:tr>
    </w:tbl>
    <w:p>
      <w:pPr>
        <w:spacing w:before="0" w:after="160"/>
      </w:pPr>
    </w:p>
    <w:p>
      <w:pPr>
        <w:spacing w:before="80" w:after="240"/>
        <w:jc w:val="center"/>
      </w:pPr>
      <w:r>
        <w:rPr>
          <w:rFonts w:ascii="Times New Roman" w:hAnsi="Times New Roman"/>
          <w:i/>
          <w:color w:val="475569"/>
          <w:sz w:val="21"/>
        </w:rPr>
        <w:t>Table 6: End-to-End Pipeline Stage Latency Breakdown (N=75 Timed Runs).</w:t>
      </w:r>
    </w:p>
    <w:p>
      <w:r>
        <w:drawing>
          <wp:inline xmlns:a="http://schemas.openxmlformats.org/drawingml/2006/main" xmlns:pic="http://schemas.openxmlformats.org/drawingml/2006/picture">
            <wp:extent cx="5486400" cy="2486284"/>
            <wp:docPr id="6" name="Picture 6"/>
            <wp:cNvGraphicFramePr>
              <a:graphicFrameLocks noChangeAspect="1"/>
            </wp:cNvGraphicFramePr>
            <a:graphic>
              <a:graphicData uri="http://schemas.openxmlformats.org/drawingml/2006/picture">
                <pic:pic>
                  <pic:nvPicPr>
                    <pic:cNvPr id="0" name="fig5_latency_breakdown.png"/>
                    <pic:cNvPicPr/>
                  </pic:nvPicPr>
                  <pic:blipFill>
                    <a:blip r:embed="rId14"/>
                    <a:stretch>
                      <a:fillRect/>
                    </a:stretch>
                  </pic:blipFill>
                  <pic:spPr>
                    <a:xfrm>
                      <a:off x="0" y="0"/>
                      <a:ext cx="5486400" cy="2486284"/>
                    </a:xfrm>
                    <a:prstGeom prst="rect"/>
                  </pic:spPr>
                </pic:pic>
              </a:graphicData>
            </a:graphic>
          </wp:inline>
        </w:drawing>
      </w:r>
    </w:p>
    <w:p>
      <w:pPr>
        <w:spacing w:before="80" w:after="240"/>
        <w:jc w:val="center"/>
      </w:pPr>
      <w:r>
        <w:rPr>
          <w:rFonts w:ascii="Times New Roman" w:hAnsi="Times New Roman"/>
          <w:i/>
          <w:color w:val="475569"/>
          <w:sz w:val="21"/>
        </w:rPr>
        <w:t>Figure 5: High-Concurrency End-to-End Pipeline Latency Profile Breakdown.</w:t>
      </w:r>
    </w:p>
    <w:p>
      <w:r>
        <w:br w:type="page"/>
      </w:r>
    </w:p>
    <w:p>
      <w:pPr>
        <w:keepNext/>
        <w:spacing w:before="280" w:after="120"/>
        <w:jc w:val="left"/>
      </w:pPr>
      <w:r>
        <w:rPr>
          <w:rFonts w:ascii="Times New Roman" w:hAnsi="Times New Roman"/>
          <w:b/>
          <w:color w:val="0F172A"/>
          <w:sz w:val="32"/>
        </w:rPr>
        <w:t>CHAPTER 5: CONCLUSION AND FUTURE SCOPE</w:t>
      </w:r>
    </w:p>
    <w:p>
      <w:pPr>
        <w:keepNext/>
        <w:spacing w:before="280" w:after="120"/>
      </w:pPr>
      <w:r>
        <w:rPr>
          <w:rFonts w:ascii="Times New Roman" w:hAnsi="Times New Roman"/>
          <w:b/>
          <w:color w:val="1E293B"/>
          <w:sz w:val="28"/>
        </w:rPr>
        <w:t>5.1 Conclusion</w:t>
      </w:r>
    </w:p>
    <w:p>
      <w:pPr>
        <w:spacing w:before="0" w:after="120" w:line="312" w:lineRule="auto"/>
        <w:jc w:val="both"/>
      </w:pPr>
      <w:r>
        <w:rPr>
          <w:rFonts w:ascii="Times New Roman" w:hAnsi="Times New Roman"/>
          <w:i w:val="0"/>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pPr>
        <w:spacing w:before="0" w:after="120" w:line="312" w:lineRule="auto"/>
        <w:jc w:val="both"/>
      </w:pPr>
      <w:r>
        <w:rPr>
          <w:rFonts w:ascii="Times New Roman" w:hAnsi="Times New Roman"/>
          <w:i w:val="0"/>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pPr>
        <w:keepNext/>
        <w:spacing w:before="280" w:after="120"/>
      </w:pPr>
      <w:r>
        <w:rPr>
          <w:rFonts w:ascii="Times New Roman" w:hAnsi="Times New Roman"/>
          <w:b/>
          <w:color w:val="1E293B"/>
          <w:sz w:val="28"/>
        </w:rPr>
        <w:t>5.2 Suggestions for Future Directions</w:t>
      </w:r>
    </w:p>
    <w:p>
      <w:pPr>
        <w:spacing w:before="0" w:after="120" w:line="312" w:lineRule="auto"/>
        <w:jc w:val="both"/>
      </w:pPr>
      <w:r>
        <w:rPr>
          <w:rFonts w:ascii="Times New Roman" w:hAnsi="Times New Roman"/>
          <w:i w:val="0"/>
          <w:color w:val="1E293B"/>
          <w:sz w:val="24"/>
        </w:rPr>
        <w:t>Building upon the robust foundation established in this work, future research should explore four key avenues:</w:t>
      </w:r>
    </w:p>
    <w:p>
      <w:pPr>
        <w:pStyle w:val="ListBullet"/>
        <w:spacing w:before="0" w:after="80" w:line="288" w:lineRule="auto"/>
        <w:ind w:left="360"/>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pPr>
        <w:pStyle w:val="ListBullet"/>
        <w:spacing w:before="0" w:after="80" w:line="288" w:lineRule="auto"/>
        <w:ind w:left="360"/>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pPr>
        <w:pStyle w:val="ListBullet"/>
        <w:spacing w:before="0" w:after="80" w:line="288" w:lineRule="auto"/>
        <w:ind w:left="360"/>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pPr>
        <w:pStyle w:val="ListBullet"/>
        <w:spacing w:before="0" w:after="80" w:line="288" w:lineRule="auto"/>
        <w:ind w:left="360"/>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r>
        <w:br w:type="page"/>
      </w:r>
    </w:p>
    <w:p>
      <w:pPr>
        <w:keepNext/>
        <w:spacing w:before="280" w:after="120"/>
        <w:jc w:val="left"/>
      </w:pPr>
      <w:r>
        <w:rPr>
          <w:rFonts w:ascii="Times New Roman" w:hAnsi="Times New Roman"/>
          <w:b/>
          <w:color w:val="0F172A"/>
          <w:sz w:val="32"/>
        </w:rPr>
        <w:t>REFERENCES</w:t>
      </w:r>
    </w:p>
    <w:p>
      <w:pPr>
        <w:keepNext/>
        <w:spacing w:before="280" w:after="120"/>
      </w:pPr>
      <w:r>
        <w:rPr>
          <w:rFonts w:ascii="Times New Roman" w:hAnsi="Times New Roman"/>
          <w:b/>
          <w:color w:val="1E293B"/>
          <w:sz w:val="28"/>
        </w:rPr>
        <w:t>Journal / Conference Papers</w:t>
      </w:r>
    </w:p>
    <w:p>
      <w:pPr>
        <w:spacing w:before="0" w:after="100" w:line="312" w:lineRule="auto"/>
        <w:jc w:val="both"/>
      </w:pPr>
      <w:r>
        <w:rPr>
          <w:rFonts w:ascii="Times New Roman" w:hAnsi="Times New Roman"/>
          <w:i w:val="0"/>
          <w:color w:val="1E293B"/>
          <w:sz w:val="24"/>
        </w:rPr>
        <w:t>[1] J. Jung, H. S. Heo, H. Tak, et al., “AASIST: Audio Anti-Spoofing Using Integrated Spectro-Temporal Graph Attention Networks,” in Proc. IEEE ICASSP, 2022, pp. 6367–6371.</w:t>
      </w:r>
    </w:p>
    <w:p>
      <w:pPr>
        <w:spacing w:before="0" w:after="100" w:line="312" w:lineRule="auto"/>
        <w:jc w:val="both"/>
      </w:pPr>
      <w:r>
        <w:rPr>
          <w:rFonts w:ascii="Times New Roman" w:hAnsi="Times New Roman"/>
          <w:i w:val="0"/>
          <w:color w:val="1E293B"/>
          <w:sz w:val="24"/>
        </w:rPr>
        <w:t>[2] H. Tak, J. Patino, M. Todisco, et al., “End-to-End Anti-Spoofing with RawNet2,” in Proc. Interspeech, 2021, pp. 2756–2760.</w:t>
      </w:r>
    </w:p>
    <w:p>
      <w:pPr>
        <w:spacing w:before="0" w:after="100" w:line="312" w:lineRule="auto"/>
        <w:jc w:val="both"/>
      </w:pPr>
      <w:r>
        <w:rPr>
          <w:rFonts w:ascii="Times New Roman" w:hAnsi="Times New Roman"/>
          <w:i w:val="0"/>
          <w:color w:val="1E293B"/>
          <w:sz w:val="24"/>
        </w:rPr>
        <w:t>[3] S. Chen, C. Wang, Z. Chen, et al., “WavLM: Large-Scale Self-Supervised Pre-Training for Full Stack Speech Processing,” IEEE Journal of Selected Topics in Signal Processing, vol. 16, no. 6, pp. 1505–1518, 2022.</w:t>
      </w:r>
    </w:p>
    <w:p>
      <w:pPr>
        <w:spacing w:before="0" w:after="100" w:line="312" w:lineRule="auto"/>
        <w:jc w:val="both"/>
      </w:pPr>
      <w:r>
        <w:rPr>
          <w:rFonts w:ascii="Times New Roman" w:hAnsi="Times New Roman"/>
          <w:i w:val="0"/>
          <w:color w:val="1E293B"/>
          <w:sz w:val="24"/>
        </w:rPr>
        <w:t>[4] A. Baevski, Y. Zhou, A. Mohamed, and M. Auli, “wav2vec 2.0: A Framework for Self-Supervised Learning of Speech Representations,” Advances in Neural Information Processing Systems (NeurIPS), vol. 33, pp. 12449–12460, 2020.</w:t>
      </w:r>
    </w:p>
    <w:p>
      <w:pPr>
        <w:spacing w:before="0" w:after="100" w:line="312" w:lineRule="auto"/>
        <w:jc w:val="both"/>
      </w:pPr>
      <w:r>
        <w:rPr>
          <w:rFonts w:ascii="Times New Roman" w:hAnsi="Times New Roman"/>
          <w:i w:val="0"/>
          <w:color w:val="1E293B"/>
          <w:sz w:val="24"/>
        </w:rPr>
        <w:t>[5] A. de Cheveigné and H. Kawahara, “YIN, a Fundamental Frequency Estimator for Speech and Music,” The Journal of the Acoustical Society of America, vol. 111, no. 4, pp. 1917–1930, 2002.</w:t>
      </w:r>
    </w:p>
    <w:p>
      <w:pPr>
        <w:spacing w:before="0" w:after="100" w:line="312" w:lineRule="auto"/>
        <w:jc w:val="both"/>
      </w:pPr>
      <w:r>
        <w:rPr>
          <w:rFonts w:ascii="Times New Roman" w:hAnsi="Times New Roman"/>
          <w:i w:val="0"/>
          <w:color w:val="1E293B"/>
          <w:sz w:val="24"/>
        </w:rPr>
        <w:t>[6] X. Wang and J. Yamagishi, “Investigating Self-Supervised Frontends for Anti-Spoofing: A Comparative Study,” in Proc. IEEE SLT, 2023, pp. 780–787.</w:t>
      </w:r>
    </w:p>
    <w:p>
      <w:pPr>
        <w:spacing w:before="0" w:after="100" w:line="312" w:lineRule="auto"/>
        <w:jc w:val="both"/>
      </w:pPr>
      <w:r>
        <w:rPr>
          <w:rFonts w:ascii="Times New Roman" w:hAnsi="Times New Roman"/>
          <w:i w:val="0"/>
          <w:color w:val="1E293B"/>
          <w:sz w:val="24"/>
        </w:rPr>
        <w:t>[7] J. Yamagishi, C. Veaux, and K. MacDonald, “CSTR VCTK Corpus: English Multi-Speaker Corpus for CSTR Voice Cloning Toolkit,” University of Edinburgh, 2019.</w:t>
      </w:r>
    </w:p>
    <w:p>
      <w:pPr>
        <w:spacing w:before="0" w:after="100" w:line="312" w:lineRule="auto"/>
        <w:jc w:val="both"/>
      </w:pPr>
      <w:r>
        <w:rPr>
          <w:rFonts w:ascii="Times New Roman" w:hAnsi="Times New Roman"/>
          <w:i w:val="0"/>
          <w:color w:val="1E293B"/>
          <w:sz w:val="24"/>
        </w:rPr>
        <w:t>[8] M. Todisco, X. Wang, V. Vestman, et al., “ASVspoof 2019: Future Horizons in Spoofed and Fake Audio Detection,” in Proc. Interspeech, 2019, pp. 1008–1012.</w:t>
      </w:r>
    </w:p>
    <w:p>
      <w:pPr>
        <w:spacing w:before="0" w:after="100" w:line="312" w:lineRule="auto"/>
        <w:jc w:val="both"/>
      </w:pPr>
      <w:r>
        <w:rPr>
          <w:rFonts w:ascii="Times New Roman" w:hAnsi="Times New Roman"/>
          <w:i w:val="0"/>
          <w:color w:val="1E293B"/>
          <w:sz w:val="24"/>
        </w:rPr>
        <w:t>[9] R. Kumar, K. Tan, and D. Wang, “Deepfake Speech Detection in Adverse Telephony Channels: Robustness to Codec and Noise Degradation,” IEEE Transactions on Audio, Speech, and Language Processing, vol. 31, pp. 2890–2901, 2023.</w:t>
      </w:r>
    </w:p>
    <w:p>
      <w:pPr>
        <w:spacing w:before="0" w:after="100" w:line="312" w:lineRule="auto"/>
        <w:jc w:val="both"/>
      </w:pPr>
      <w:r>
        <w:rPr>
          <w:rFonts w:ascii="Times New Roman" w:hAnsi="Times New Roman"/>
          <w:i w:val="0"/>
          <w:color w:val="1E293B"/>
          <w:sz w:val="24"/>
        </w:rPr>
        <w:t>[10] S. Sitaram, K. R. Chandu, S. K. Rallabhandi, and A. W. Black, “A Survey of Code-Switching: Research and Applications in Multilingual Speech and Natural Language Processing,” ACM Computing Surveys, vol. 53, no. 4, pp. 1–34, 2020.</w:t>
      </w:r>
    </w:p>
    <w:p>
      <w:pPr>
        <w:keepNext/>
        <w:spacing w:before="280" w:after="120"/>
      </w:pPr>
      <w:r>
        <w:rPr>
          <w:rFonts w:ascii="Times New Roman" w:hAnsi="Times New Roman"/>
          <w:b/>
          <w:color w:val="1E293B"/>
          <w:sz w:val="28"/>
        </w:rPr>
        <w:t>Reference / Hand Books</w:t>
      </w:r>
    </w:p>
    <w:p>
      <w:pPr>
        <w:spacing w:before="0" w:after="100" w:line="312" w:lineRule="auto"/>
        <w:jc w:val="both"/>
      </w:pPr>
      <w:r>
        <w:rPr>
          <w:rFonts w:ascii="Times New Roman" w:hAnsi="Times New Roman"/>
          <w:i w:val="0"/>
          <w:color w:val="1E293B"/>
          <w:sz w:val="24"/>
        </w:rPr>
        <w:t>[1] L. R. Rabiner and R. W. Schafer, Theory and Applications of Digital Speech Processing, 1st ed., Pearson, 2011. ISBN: 978-0132629690.</w:t>
      </w:r>
    </w:p>
    <w:p>
      <w:pPr>
        <w:spacing w:before="0" w:after="100" w:line="312" w:lineRule="auto"/>
        <w:jc w:val="both"/>
      </w:pPr>
      <w:r>
        <w:rPr>
          <w:rFonts w:ascii="Times New Roman" w:hAnsi="Times New Roman"/>
          <w:i w:val="0"/>
          <w:color w:val="1E293B"/>
          <w:sz w:val="24"/>
        </w:rPr>
        <w:t>[2] D. Jurafsky and J. H. Martin, Speech and Language Processing: An Introduction to Natural Language Processing, Computational Linguistics, and Speech Recognition, 3rd ed., Prentice Hall, 2024.</w:t>
      </w:r>
    </w:p>
    <w:p>
      <w:pPr>
        <w:spacing w:before="0" w:after="100" w:line="312" w:lineRule="auto"/>
        <w:jc w:val="both"/>
      </w:pPr>
      <w:r>
        <w:rPr>
          <w:rFonts w:ascii="Times New Roman" w:hAnsi="Times New Roman"/>
          <w:i w:val="0"/>
          <w:color w:val="1E293B"/>
          <w:sz w:val="24"/>
        </w:rPr>
        <w:t>[3] H. V. Poor, An Introduction to Signal Detection and Estimation, 2nd ed., Springer-Verlag, 1994. ISBN: 978-0387941738.</w:t>
      </w:r>
    </w:p>
    <w:p>
      <w:pPr>
        <w:keepNext/>
        <w:spacing w:before="280" w:after="120"/>
      </w:pPr>
      <w:r>
        <w:rPr>
          <w:rFonts w:ascii="Times New Roman" w:hAnsi="Times New Roman"/>
          <w:b/>
          <w:color w:val="1E293B"/>
          <w:sz w:val="28"/>
        </w:rPr>
        <w:t>Web &amp; Online Standards</w:t>
      </w:r>
    </w:p>
    <w:p>
      <w:pPr>
        <w:spacing w:before="0" w:after="100" w:line="312" w:lineRule="auto"/>
        <w:jc w:val="both"/>
      </w:pPr>
      <w:r>
        <w:rPr>
          <w:rFonts w:ascii="Times New Roman" w:hAnsi="Times New Roman"/>
          <w:i w:val="0"/>
          <w:color w:val="1E293B"/>
          <w:sz w:val="24"/>
        </w:rPr>
        <w:t>[1] OpenSLR, “Open Speech and Language Resources (OpenSLR 65 Tamil, OpenSLR 66 Telugu, OpenSLR 79 Kannada, OpenSLR 103 Hindi),” https://www.openslr.org.</w:t>
      </w:r>
    </w:p>
    <w:p>
      <w:pPr>
        <w:spacing w:before="0" w:after="100" w:line="312" w:lineRule="auto"/>
        <w:jc w:val="both"/>
      </w:pPr>
      <w:r>
        <w:rPr>
          <w:rFonts w:ascii="Times New Roman" w:hAnsi="Times New Roman"/>
          <w:i w:val="0"/>
          <w:color w:val="1E293B"/>
          <w:sz w:val="24"/>
        </w:rPr>
        <w:t>[2] International Telecommunication Union, “ITU-T Recommendation G.711: Pulse Code Modulation (PCM) of Voice Frequencies,” https://www.itu.int/rec/T-REC-G.711.</w:t>
      </w:r>
    </w:p>
    <w:p>
      <w:pPr>
        <w:spacing w:before="0" w:after="100" w:line="312" w:lineRule="auto"/>
        <w:jc w:val="both"/>
      </w:pPr>
      <w:r>
        <w:rPr>
          <w:rFonts w:ascii="Times New Roman" w:hAnsi="Times New Roman"/>
          <w:i w:val="0"/>
          <w:color w:val="1E293B"/>
          <w:sz w:val="24"/>
        </w:rPr>
        <w:t>[3] 3GPP, “Speech Codec Speech Processing Functions; Adaptive Multi-Rate - Wideband (AMR-WB) Speech Codec (3GPP TS 26.171),” https://www.3gpp.org.</w:t>
      </w:r>
    </w:p>
    <w:p>
      <w:pPr>
        <w:spacing w:before="0" w:after="100" w:line="312" w:lineRule="auto"/>
        <w:jc w:val="both"/>
      </w:pPr>
      <w:r>
        <w:rPr>
          <w:rFonts w:ascii="Times New Roman" w:hAnsi="Times New Roman"/>
          <w:i w:val="0"/>
          <w:color w:val="1E293B"/>
          <w:sz w:val="24"/>
        </w:rPr>
        <w:t>[4] ONNX Runtime, “High Performance Scoring Engine for Open Neural Network Exchange Models,” https://onnxruntime.ai.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