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Aptos Display" w:hAnsi="Aptos Display"/>
          <w:b/>
          <w:color w:val="007F86"/>
          <w:sz w:val="30"/>
        </w:rPr>
        <w:t>SHOPSPHERE</w:t>
      </w:r>
    </w:p>
    <w:p>
      <w:pPr>
        <w:pStyle w:val="Title"/>
        <w:jc w:val="center"/>
      </w:pPr>
      <w:r>
        <w:t>Retail E-Commerce Analytics Platform</w:t>
      </w:r>
    </w:p>
    <w:p>
      <w:pPr>
        <w:jc w:val="center"/>
      </w:pPr>
      <w:r>
        <w:rPr>
          <w:b/>
          <w:color w:val="41505F"/>
          <w:sz w:val="30"/>
        </w:rPr>
        <w:t>Initial Solution Design Document</w:t>
      </w:r>
    </w:p>
    <w:p>
      <w:pPr>
        <w:spacing w:before="200"/>
        <w:jc w:val="center"/>
      </w:pPr>
      <w:r>
        <w:rPr>
          <w:sz w:val="20"/>
        </w:rPr>
        <w:t>AI-Based Cloud Data Engineer Hackathon  |  Use Case 2</w:t>
      </w:r>
    </w:p>
    <w:p>
      <w:pPr>
        <w:spacing w:before="500"/>
        <w:jc w:val="center"/>
      </w:pPr>
      <w:r>
        <w:rPr>
          <w:sz w:val="18"/>
        </w:rPr>
        <w:t>Version 0.1  •  Proposed design before implementation  •  10 October 2026</w:t>
      </w:r>
    </w:p>
    <w:p/>
    <w:tbl>
      <w:tblPr>
        <w:tblStyle w:val="TableGrid"/>
        <w:tblW w:type="auto" w:w="0"/>
        <w:tblLook w:firstColumn="1" w:firstRow="1" w:lastColumn="0" w:lastRow="0" w:noHBand="0" w:noVBand="1" w:val="04A0"/>
      </w:tblPr>
      <w:tblGrid>
        <w:gridCol w:w="10166"/>
      </w:tblGrid>
      <w:tr>
        <w:tc>
          <w:tcPr>
            <w:tcW w:type="dxa" w:w="10166"/>
            <w:shd w:fill="EAF3F5"/>
          </w:tcPr>
          <w:p>
            <w:pPr>
              <w:spacing w:after="80"/>
            </w:pPr>
            <w:r/>
            <w:r>
              <w:rPr>
                <w:b/>
                <w:color w:val="17365D"/>
                <w:sz w:val="22"/>
              </w:rPr>
              <w:t>Design intent</w:t>
              <w:br/>
            </w:r>
            <w:r>
              <w:t>Build a repeatable, auditable pipeline that turns seven raw operational extracts into cleansed, well-modelled analytical tables and business KPIs. The design prioritizes traceability, sensible handling of imperfect data, and financial reconciliation over unnecessary infrastructure complexity.</w:t>
            </w:r>
          </w:p>
        </w:tc>
      </w:tr>
    </w:tbl>
    <w:p>
      <w:r>
        <w:br w:type="page"/>
      </w:r>
    </w:p>
    <w:p>
      <w:pPr>
        <w:pStyle w:val="Heading1"/>
      </w:pPr>
      <w:r>
        <w:t>1. Executive Summary</w:t>
      </w:r>
    </w:p>
    <w:p>
      <w:r>
        <w:t>ShopSphere’s customer, product, order, payment, return, and supplier data comes from separate systems. The proposed solution will preserve raw inputs, profile and standardize the data, enforce quality and referential checks, build a dimensional model, and calculate the required analytics from a single curated layer.</w:t>
      </w:r>
    </w:p>
    <w:p>
      <w:pPr>
        <w:pStyle w:val="ListBullet"/>
        <w:spacing w:after="40"/>
      </w:pPr>
      <w:r>
        <w:t>Proposed implementation: Python with pandas for file ingestion and transformations; SQL/SQLite or DuckDB for analytical modelling and KPI queries, depending on the team’s fastest working environment.</w:t>
      </w:r>
    </w:p>
    <w:p>
      <w:pPr>
        <w:pStyle w:val="ListBullet"/>
        <w:spacing w:after="40"/>
      </w:pPr>
      <w:r>
        <w:t>Cloud-neutral design: the same logical layers can map to object storage, managed ETL, and a cloud warehouse if deployment were required.</w:t>
      </w:r>
    </w:p>
    <w:p>
      <w:pPr>
        <w:pStyle w:val="ListBullet"/>
        <w:spacing w:after="40"/>
      </w:pPr>
      <w:r>
        <w:t>Execution strategy: establish a shared data contract early, develop quality rules and KPI modules in parallel, then integrate and validate end-to-end.</w:t>
      </w:r>
    </w:p>
    <w:p>
      <w:pPr>
        <w:pStyle w:val="ListBullet"/>
        <w:spacing w:after="40"/>
      </w:pPr>
      <w:r>
        <w:t>Scope: all eight required KPIs are targeted. The optional margin-risk KPI is a stretch goal only after core data quality, reconciliation, and KPI outputs are stable.</w:t>
      </w:r>
    </w:p>
    <w:p>
      <w:pPr>
        <w:pStyle w:val="Heading2"/>
      </w:pPr>
      <w:r>
        <w:t>Objectives</w:t>
      </w:r>
    </w:p>
    <w:p>
      <w:pPr>
        <w:pStyle w:val="ListBullet"/>
        <w:spacing w:after="40"/>
      </w:pPr>
      <w:r>
        <w:t>Retain source data unchanged and make every transformation traceable.</w:t>
      </w:r>
    </w:p>
    <w:p>
      <w:pPr>
        <w:pStyle w:val="ListBullet"/>
        <w:spacing w:after="40"/>
      </w:pPr>
      <w:r>
        <w:t>Identify duplicates, invalid values, inconsistent formats, missing fields, and broken references.</w:t>
      </w:r>
    </w:p>
    <w:p>
      <w:pPr>
        <w:pStyle w:val="ListBullet"/>
        <w:spacing w:after="40"/>
      </w:pPr>
      <w:r>
        <w:t>Produce a clear fact/dimension model with a documented approach to customer attribute history.</w:t>
      </w:r>
    </w:p>
    <w:p>
      <w:pPr>
        <w:pStyle w:val="ListBullet"/>
        <w:spacing w:after="40"/>
      </w:pPr>
      <w:r>
        <w:t>Calculate the required KPIs using explicit, testable business definitions.</w:t>
      </w:r>
    </w:p>
    <w:p>
      <w:pPr>
        <w:pStyle w:val="ListBullet"/>
        <w:spacing w:after="40"/>
      </w:pPr>
      <w:r>
        <w:t>Document assumptions, exceptions, validation evidence, and responsible AI usage.</w:t>
      </w:r>
    </w:p>
    <w:p>
      <w:pPr>
        <w:pStyle w:val="Heading1"/>
      </w:pPr>
      <w:r>
        <w:t>2. Source Inputs and Scope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vAlign w:val="center"/>
            <w:shd w:fill="17365D"/>
          </w:tcPr>
          <w:p>
            <w:pPr>
              <w:spacing w:after="0"/>
            </w:pPr>
            <w:r/>
            <w:r>
              <w:rPr>
                <w:rFonts w:ascii="Aptos" w:hAnsi="Aptos"/>
                <w:b/>
                <w:color w:val="FFFFFF"/>
                <w:sz w:val="16"/>
              </w:rPr>
              <w:t>Input file</w:t>
            </w:r>
          </w:p>
        </w:tc>
        <w:tc>
          <w:tcPr>
            <w:tcW w:type="dxa" w:w="2088"/>
            <w:vAlign w:val="center"/>
            <w:shd w:fill="17365D"/>
          </w:tcPr>
          <w:p>
            <w:pPr>
              <w:spacing w:after="0"/>
            </w:pPr>
            <w:r/>
            <w:r>
              <w:rPr>
                <w:rFonts w:ascii="Aptos" w:hAnsi="Aptos"/>
                <w:b/>
                <w:color w:val="FFFFFF"/>
                <w:sz w:val="16"/>
              </w:rPr>
              <w:t>Business entity</w:t>
            </w:r>
          </w:p>
        </w:tc>
        <w:tc>
          <w:tcPr>
            <w:tcW w:type="dxa" w:w="1080"/>
            <w:vAlign w:val="center"/>
            <w:shd w:fill="17365D"/>
          </w:tcPr>
          <w:p>
            <w:pPr>
              <w:spacing w:after="0"/>
            </w:pPr>
            <w:r/>
            <w:r>
              <w:rPr>
                <w:rFonts w:ascii="Aptos" w:hAnsi="Aptos"/>
                <w:b/>
                <w:color w:val="FFFFFF"/>
                <w:sz w:val="16"/>
              </w:rPr>
              <w:t>Approx. rows</w:t>
            </w:r>
          </w:p>
        </w:tc>
        <w:tc>
          <w:tcPr>
            <w:tcW w:type="dxa" w:w="4752"/>
            <w:vAlign w:val="center"/>
            <w:shd w:fill="17365D"/>
          </w:tcPr>
          <w:p>
            <w:pPr>
              <w:spacing w:after="0"/>
            </w:pPr>
            <w:r/>
            <w:r>
              <w:rPr>
                <w:rFonts w:ascii="Aptos" w:hAnsi="Aptos"/>
                <w:b/>
                <w:color w:val="FFFFFF"/>
                <w:sz w:val="16"/>
              </w:rPr>
              <w:t>Key relationship / use</w:t>
            </w:r>
          </w:p>
        </w:tc>
      </w:tr>
      <w:tr>
        <w:tc>
          <w:tcPr>
            <w:tcW w:type="dxa" w:w="2160"/>
            <w:vAlign w:val="center"/>
          </w:tcPr>
          <w:p>
            <w:pPr>
              <w:spacing w:after="0"/>
            </w:pPr>
            <w:r/>
            <w:r>
              <w:rPr>
                <w:rFonts w:ascii="Aptos" w:hAnsi="Aptos"/>
                <w:b w:val="0"/>
                <w:sz w:val="16"/>
              </w:rPr>
              <w:t>customers.csv</w:t>
            </w:r>
          </w:p>
        </w:tc>
        <w:tc>
          <w:tcPr>
            <w:tcW w:type="dxa" w:w="2088"/>
            <w:vAlign w:val="center"/>
          </w:tcPr>
          <w:p>
            <w:pPr>
              <w:spacing w:after="0"/>
            </w:pPr>
            <w:r/>
            <w:r>
              <w:rPr>
                <w:rFonts w:ascii="Aptos" w:hAnsi="Aptos"/>
                <w:b w:val="0"/>
                <w:sz w:val="16"/>
              </w:rPr>
              <w:t>CRM customer master</w:t>
            </w:r>
          </w:p>
        </w:tc>
        <w:tc>
          <w:tcPr>
            <w:tcW w:type="dxa" w:w="1080"/>
            <w:vAlign w:val="center"/>
          </w:tcPr>
          <w:p>
            <w:pPr>
              <w:spacing w:after="0"/>
            </w:pPr>
            <w:r/>
            <w:r>
              <w:rPr>
                <w:rFonts w:ascii="Aptos" w:hAnsi="Aptos"/>
                <w:b w:val="0"/>
                <w:sz w:val="16"/>
              </w:rPr>
              <w:t>~163</w:t>
            </w:r>
          </w:p>
        </w:tc>
        <w:tc>
          <w:tcPr>
            <w:tcW w:type="dxa" w:w="4752"/>
            <w:vAlign w:val="center"/>
          </w:tcPr>
          <w:p>
            <w:pPr>
              <w:spacing w:after="0"/>
            </w:pPr>
            <w:r/>
            <w:r>
              <w:rPr>
                <w:rFonts w:ascii="Aptos" w:hAnsi="Aptos"/>
                <w:b w:val="0"/>
                <w:sz w:val="16"/>
              </w:rPr>
              <w:t>Customer dimension; segment and signup attributes</w:t>
            </w:r>
          </w:p>
        </w:tc>
      </w:tr>
      <w:tr>
        <w:tc>
          <w:tcPr>
            <w:tcW w:type="dxa" w:w="2160"/>
            <w:vAlign w:val="center"/>
            <w:shd w:fill="F1F5F8"/>
          </w:tcPr>
          <w:p>
            <w:pPr>
              <w:spacing w:after="0"/>
            </w:pPr>
            <w:r/>
            <w:r>
              <w:rPr>
                <w:rFonts w:ascii="Aptos" w:hAnsi="Aptos"/>
                <w:b w:val="0"/>
                <w:sz w:val="16"/>
              </w:rPr>
              <w:t>suppliers.json</w:t>
            </w:r>
          </w:p>
        </w:tc>
        <w:tc>
          <w:tcPr>
            <w:tcW w:type="dxa" w:w="2088"/>
            <w:vAlign w:val="center"/>
            <w:shd w:fill="F1F5F8"/>
          </w:tcPr>
          <w:p>
            <w:pPr>
              <w:spacing w:after="0"/>
            </w:pPr>
            <w:r/>
            <w:r>
              <w:rPr>
                <w:rFonts w:ascii="Aptos" w:hAnsi="Aptos"/>
                <w:b w:val="0"/>
                <w:sz w:val="16"/>
              </w:rPr>
              <w:t>Supplier master</w:t>
            </w:r>
          </w:p>
        </w:tc>
        <w:tc>
          <w:tcPr>
            <w:tcW w:type="dxa" w:w="1080"/>
            <w:vAlign w:val="center"/>
            <w:shd w:fill="F1F5F8"/>
          </w:tcPr>
          <w:p>
            <w:pPr>
              <w:spacing w:after="0"/>
            </w:pPr>
            <w:r/>
            <w:r>
              <w:rPr>
                <w:rFonts w:ascii="Aptos" w:hAnsi="Aptos"/>
                <w:b w:val="0"/>
                <w:sz w:val="16"/>
              </w:rPr>
              <w:t>~19</w:t>
            </w:r>
          </w:p>
        </w:tc>
        <w:tc>
          <w:tcPr>
            <w:tcW w:type="dxa" w:w="4752"/>
            <w:vAlign w:val="center"/>
            <w:shd w:fill="F1F5F8"/>
          </w:tcPr>
          <w:p>
            <w:pPr>
              <w:spacing w:after="0"/>
            </w:pPr>
            <w:r/>
            <w:r>
              <w:rPr>
                <w:rFonts w:ascii="Aptos" w:hAnsi="Aptos"/>
                <w:b w:val="0"/>
                <w:sz w:val="16"/>
              </w:rPr>
              <w:t>Supplier dimension; supplier performance</w:t>
            </w:r>
          </w:p>
        </w:tc>
      </w:tr>
      <w:tr>
        <w:tc>
          <w:tcPr>
            <w:tcW w:type="dxa" w:w="2160"/>
            <w:vAlign w:val="center"/>
          </w:tcPr>
          <w:p>
            <w:pPr>
              <w:spacing w:after="0"/>
            </w:pPr>
            <w:r/>
            <w:r>
              <w:rPr>
                <w:rFonts w:ascii="Aptos" w:hAnsi="Aptos"/>
                <w:b w:val="0"/>
                <w:sz w:val="16"/>
              </w:rPr>
              <w:t>products.csv</w:t>
            </w:r>
          </w:p>
        </w:tc>
        <w:tc>
          <w:tcPr>
            <w:tcW w:type="dxa" w:w="2088"/>
            <w:vAlign w:val="center"/>
          </w:tcPr>
          <w:p>
            <w:pPr>
              <w:spacing w:after="0"/>
            </w:pPr>
            <w:r/>
            <w:r>
              <w:rPr>
                <w:rFonts w:ascii="Aptos" w:hAnsi="Aptos"/>
                <w:b w:val="0"/>
                <w:sz w:val="16"/>
              </w:rPr>
              <w:t>Product catalogue</w:t>
            </w:r>
          </w:p>
        </w:tc>
        <w:tc>
          <w:tcPr>
            <w:tcW w:type="dxa" w:w="1080"/>
            <w:vAlign w:val="center"/>
          </w:tcPr>
          <w:p>
            <w:pPr>
              <w:spacing w:after="0"/>
            </w:pPr>
            <w:r/>
            <w:r>
              <w:rPr>
                <w:rFonts w:ascii="Aptos" w:hAnsi="Aptos"/>
                <w:b w:val="0"/>
                <w:sz w:val="16"/>
              </w:rPr>
              <w:t>~75</w:t>
            </w:r>
          </w:p>
        </w:tc>
        <w:tc>
          <w:tcPr>
            <w:tcW w:type="dxa" w:w="4752"/>
            <w:vAlign w:val="center"/>
          </w:tcPr>
          <w:p>
            <w:pPr>
              <w:spacing w:after="0"/>
            </w:pPr>
            <w:r/>
            <w:r>
              <w:rPr>
                <w:rFonts w:ascii="Aptos" w:hAnsi="Aptos"/>
                <w:b w:val="0"/>
                <w:sz w:val="16"/>
              </w:rPr>
              <w:t>Product dimension; category, prices, supplier</w:t>
            </w:r>
          </w:p>
        </w:tc>
      </w:tr>
      <w:tr>
        <w:tc>
          <w:tcPr>
            <w:tcW w:type="dxa" w:w="2160"/>
            <w:vAlign w:val="center"/>
            <w:shd w:fill="F1F5F8"/>
          </w:tcPr>
          <w:p>
            <w:pPr>
              <w:spacing w:after="0"/>
            </w:pPr>
            <w:r/>
            <w:r>
              <w:rPr>
                <w:rFonts w:ascii="Aptos" w:hAnsi="Aptos"/>
                <w:b w:val="0"/>
                <w:sz w:val="16"/>
              </w:rPr>
              <w:t>orders.csv</w:t>
            </w:r>
          </w:p>
        </w:tc>
        <w:tc>
          <w:tcPr>
            <w:tcW w:type="dxa" w:w="2088"/>
            <w:vAlign w:val="center"/>
            <w:shd w:fill="F1F5F8"/>
          </w:tcPr>
          <w:p>
            <w:pPr>
              <w:spacing w:after="0"/>
            </w:pPr>
            <w:r/>
            <w:r>
              <w:rPr>
                <w:rFonts w:ascii="Aptos" w:hAnsi="Aptos"/>
                <w:b w:val="0"/>
                <w:sz w:val="16"/>
              </w:rPr>
              <w:t>Order headers</w:t>
            </w:r>
          </w:p>
        </w:tc>
        <w:tc>
          <w:tcPr>
            <w:tcW w:type="dxa" w:w="1080"/>
            <w:vAlign w:val="center"/>
            <w:shd w:fill="F1F5F8"/>
          </w:tcPr>
          <w:p>
            <w:pPr>
              <w:spacing w:after="0"/>
            </w:pPr>
            <w:r/>
            <w:r>
              <w:rPr>
                <w:rFonts w:ascii="Aptos" w:hAnsi="Aptos"/>
                <w:b w:val="0"/>
                <w:sz w:val="16"/>
              </w:rPr>
              <w:t>~323</w:t>
            </w:r>
          </w:p>
        </w:tc>
        <w:tc>
          <w:tcPr>
            <w:tcW w:type="dxa" w:w="4752"/>
            <w:vAlign w:val="center"/>
            <w:shd w:fill="F1F5F8"/>
          </w:tcPr>
          <w:p>
            <w:pPr>
              <w:spacing w:after="0"/>
            </w:pPr>
            <w:r/>
            <w:r>
              <w:rPr>
                <w:rFonts w:ascii="Aptos" w:hAnsi="Aptos"/>
                <w:b w:val="0"/>
                <w:sz w:val="16"/>
              </w:rPr>
              <w:t>Order/customer/channel/status/date context</w:t>
            </w:r>
          </w:p>
        </w:tc>
      </w:tr>
      <w:tr>
        <w:tc>
          <w:tcPr>
            <w:tcW w:type="dxa" w:w="2160"/>
            <w:vAlign w:val="center"/>
          </w:tcPr>
          <w:p>
            <w:pPr>
              <w:spacing w:after="0"/>
            </w:pPr>
            <w:r/>
            <w:r>
              <w:rPr>
                <w:rFonts w:ascii="Aptos" w:hAnsi="Aptos"/>
                <w:b w:val="0"/>
                <w:sz w:val="16"/>
              </w:rPr>
              <w:t>order_items.csv</w:t>
            </w:r>
          </w:p>
        </w:tc>
        <w:tc>
          <w:tcPr>
            <w:tcW w:type="dxa" w:w="2088"/>
            <w:vAlign w:val="center"/>
          </w:tcPr>
          <w:p>
            <w:pPr>
              <w:spacing w:after="0"/>
            </w:pPr>
            <w:r/>
            <w:r>
              <w:rPr>
                <w:rFonts w:ascii="Aptos" w:hAnsi="Aptos"/>
                <w:b w:val="0"/>
                <w:sz w:val="16"/>
              </w:rPr>
              <w:t>Order lines</w:t>
            </w:r>
          </w:p>
        </w:tc>
        <w:tc>
          <w:tcPr>
            <w:tcW w:type="dxa" w:w="1080"/>
            <w:vAlign w:val="center"/>
          </w:tcPr>
          <w:p>
            <w:pPr>
              <w:spacing w:after="0"/>
            </w:pPr>
            <w:r/>
            <w:r>
              <w:rPr>
                <w:rFonts w:ascii="Aptos" w:hAnsi="Aptos"/>
                <w:b w:val="0"/>
                <w:sz w:val="16"/>
              </w:rPr>
              <w:t>~800</w:t>
            </w:r>
          </w:p>
        </w:tc>
        <w:tc>
          <w:tcPr>
            <w:tcW w:type="dxa" w:w="4752"/>
            <w:vAlign w:val="center"/>
          </w:tcPr>
          <w:p>
            <w:pPr>
              <w:spacing w:after="0"/>
            </w:pPr>
            <w:r/>
            <w:r>
              <w:rPr>
                <w:rFonts w:ascii="Aptos" w:hAnsi="Aptos"/>
                <w:b w:val="0"/>
                <w:sz w:val="16"/>
              </w:rPr>
              <w:t>Primary sales fact grain; quantities, discounts, line totals</w:t>
            </w:r>
          </w:p>
        </w:tc>
      </w:tr>
      <w:tr>
        <w:tc>
          <w:tcPr>
            <w:tcW w:type="dxa" w:w="2160"/>
            <w:vAlign w:val="center"/>
            <w:shd w:fill="F1F5F8"/>
          </w:tcPr>
          <w:p>
            <w:pPr>
              <w:spacing w:after="0"/>
            </w:pPr>
            <w:r/>
            <w:r>
              <w:rPr>
                <w:rFonts w:ascii="Aptos" w:hAnsi="Aptos"/>
                <w:b w:val="0"/>
                <w:sz w:val="16"/>
              </w:rPr>
              <w:t>payments.csv</w:t>
            </w:r>
          </w:p>
        </w:tc>
        <w:tc>
          <w:tcPr>
            <w:tcW w:type="dxa" w:w="2088"/>
            <w:vAlign w:val="center"/>
            <w:shd w:fill="F1F5F8"/>
          </w:tcPr>
          <w:p>
            <w:pPr>
              <w:spacing w:after="0"/>
            </w:pPr>
            <w:r/>
            <w:r>
              <w:rPr>
                <w:rFonts w:ascii="Aptos" w:hAnsi="Aptos"/>
                <w:b w:val="0"/>
                <w:sz w:val="16"/>
              </w:rPr>
              <w:t>Payment events</w:t>
            </w:r>
          </w:p>
        </w:tc>
        <w:tc>
          <w:tcPr>
            <w:tcW w:type="dxa" w:w="1080"/>
            <w:vAlign w:val="center"/>
            <w:shd w:fill="F1F5F8"/>
          </w:tcPr>
          <w:p>
            <w:pPr>
              <w:spacing w:after="0"/>
            </w:pPr>
            <w:r/>
            <w:r>
              <w:rPr>
                <w:rFonts w:ascii="Aptos" w:hAnsi="Aptos"/>
                <w:b w:val="0"/>
                <w:sz w:val="16"/>
              </w:rPr>
              <w:t>~330</w:t>
            </w:r>
          </w:p>
        </w:tc>
        <w:tc>
          <w:tcPr>
            <w:tcW w:type="dxa" w:w="4752"/>
            <w:vAlign w:val="center"/>
            <w:shd w:fill="F1F5F8"/>
          </w:tcPr>
          <w:p>
            <w:pPr>
              <w:spacing w:after="0"/>
            </w:pPr>
            <w:r/>
            <w:r>
              <w:rPr>
                <w:rFonts w:ascii="Aptos" w:hAnsi="Aptos"/>
                <w:b w:val="0"/>
                <w:sz w:val="16"/>
              </w:rPr>
              <w:t>Order-level payment reconciliation</w:t>
            </w:r>
          </w:p>
        </w:tc>
      </w:tr>
      <w:tr>
        <w:tc>
          <w:tcPr>
            <w:tcW w:type="dxa" w:w="2160"/>
            <w:vAlign w:val="center"/>
          </w:tcPr>
          <w:p>
            <w:pPr>
              <w:spacing w:after="0"/>
            </w:pPr>
            <w:r/>
            <w:r>
              <w:rPr>
                <w:rFonts w:ascii="Aptos" w:hAnsi="Aptos"/>
                <w:b w:val="0"/>
                <w:sz w:val="16"/>
              </w:rPr>
              <w:t>returns.csv</w:t>
            </w:r>
          </w:p>
        </w:tc>
        <w:tc>
          <w:tcPr>
            <w:tcW w:type="dxa" w:w="2088"/>
            <w:vAlign w:val="center"/>
          </w:tcPr>
          <w:p>
            <w:pPr>
              <w:spacing w:after="0"/>
            </w:pPr>
            <w:r/>
            <w:r>
              <w:rPr>
                <w:rFonts w:ascii="Aptos" w:hAnsi="Aptos"/>
                <w:b w:val="0"/>
                <w:sz w:val="16"/>
              </w:rPr>
              <w:t>Return/refund events</w:t>
            </w:r>
          </w:p>
        </w:tc>
        <w:tc>
          <w:tcPr>
            <w:tcW w:type="dxa" w:w="1080"/>
            <w:vAlign w:val="center"/>
          </w:tcPr>
          <w:p>
            <w:pPr>
              <w:spacing w:after="0"/>
            </w:pPr>
            <w:r/>
            <w:r>
              <w:rPr>
                <w:rFonts w:ascii="Aptos" w:hAnsi="Aptos"/>
                <w:b w:val="0"/>
                <w:sz w:val="16"/>
              </w:rPr>
              <w:t>~68</w:t>
            </w:r>
          </w:p>
        </w:tc>
        <w:tc>
          <w:tcPr>
            <w:tcW w:type="dxa" w:w="4752"/>
            <w:vAlign w:val="center"/>
          </w:tcPr>
          <w:p>
            <w:pPr>
              <w:spacing w:after="0"/>
            </w:pPr>
            <w:r/>
            <w:r>
              <w:rPr>
                <w:rFonts w:ascii="Aptos" w:hAnsi="Aptos"/>
                <w:b w:val="0"/>
                <w:sz w:val="16"/>
              </w:rPr>
              <w:t>Order-line returns and refunded amounts</w:t>
            </w:r>
          </w:p>
        </w:tc>
      </w:tr>
    </w:tbl>
    <w:p>
      <w:pPr>
        <w:spacing w:after="20"/>
      </w:pPr>
    </w:p>
    <w:p>
      <w:r>
        <w:t>The input files are expected to contain deliberate data-quality issues. Their actual locations and counts will be established through profiling; this document does not assume that any particular defect is present in a specific row.</w:t>
      </w:r>
    </w:p>
    <w:p>
      <w:pPr>
        <w:pStyle w:val="Heading1"/>
      </w:pPr>
      <w:r>
        <w:t>3. Proposed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17365D"/>
          </w:tcPr>
          <w:p>
            <w:pPr>
              <w:spacing w:after="0"/>
            </w:pPr>
            <w:r/>
            <w:r>
              <w:rPr>
                <w:rFonts w:ascii="Aptos" w:hAnsi="Aptos"/>
                <w:b/>
                <w:color w:val="FFFFFF"/>
                <w:sz w:val="16"/>
              </w:rPr>
              <w:t>Layer</w:t>
            </w:r>
          </w:p>
        </w:tc>
        <w:tc>
          <w:tcPr>
            <w:tcW w:type="dxa" w:w="3600"/>
            <w:vAlign w:val="center"/>
            <w:shd w:fill="17365D"/>
          </w:tcPr>
          <w:p>
            <w:pPr>
              <w:spacing w:after="0"/>
            </w:pPr>
            <w:r/>
            <w:r>
              <w:rPr>
                <w:rFonts w:ascii="Aptos" w:hAnsi="Aptos"/>
                <w:b/>
                <w:color w:val="FFFFFF"/>
                <w:sz w:val="16"/>
              </w:rPr>
              <w:t>Purpose</w:t>
            </w:r>
          </w:p>
        </w:tc>
        <w:tc>
          <w:tcPr>
            <w:tcW w:type="dxa" w:w="4752"/>
            <w:vAlign w:val="center"/>
            <w:shd w:fill="17365D"/>
          </w:tcPr>
          <w:p>
            <w:pPr>
              <w:spacing w:after="0"/>
            </w:pPr>
            <w:r/>
            <w:r>
              <w:rPr>
                <w:rFonts w:ascii="Aptos" w:hAnsi="Aptos"/>
                <w:b/>
                <w:color w:val="FFFFFF"/>
                <w:sz w:val="16"/>
              </w:rPr>
              <w:t>Core controls / outputs</w:t>
            </w:r>
          </w:p>
        </w:tc>
      </w:tr>
      <w:tr>
        <w:tc>
          <w:tcPr>
            <w:tcW w:type="dxa" w:w="1728"/>
            <w:vAlign w:val="center"/>
          </w:tcPr>
          <w:p>
            <w:pPr>
              <w:spacing w:after="0"/>
            </w:pPr>
            <w:r/>
            <w:r>
              <w:rPr>
                <w:rFonts w:ascii="Aptos" w:hAnsi="Aptos"/>
                <w:b w:val="0"/>
                <w:sz w:val="16"/>
              </w:rPr>
              <w:t>1. Raw / Bronze</w:t>
            </w:r>
          </w:p>
        </w:tc>
        <w:tc>
          <w:tcPr>
            <w:tcW w:type="dxa" w:w="3600"/>
            <w:vAlign w:val="center"/>
          </w:tcPr>
          <w:p>
            <w:pPr>
              <w:spacing w:after="0"/>
            </w:pPr>
            <w:r/>
            <w:r>
              <w:rPr>
                <w:rFonts w:ascii="Aptos" w:hAnsi="Aptos"/>
                <w:b w:val="0"/>
                <w:sz w:val="16"/>
              </w:rPr>
              <w:t>Load source files without modifying source values.</w:t>
            </w:r>
          </w:p>
        </w:tc>
        <w:tc>
          <w:tcPr>
            <w:tcW w:type="dxa" w:w="4752"/>
            <w:vAlign w:val="center"/>
          </w:tcPr>
          <w:p>
            <w:pPr>
              <w:spacing w:after="0"/>
            </w:pPr>
            <w:r/>
            <w:r>
              <w:rPr>
                <w:rFonts w:ascii="Aptos" w:hAnsi="Aptos"/>
                <w:b w:val="0"/>
                <w:sz w:val="16"/>
              </w:rPr>
              <w:t>Original files retained; source filename, load timestamp, batch ID, source row number; raw row counts.</w:t>
            </w:r>
          </w:p>
        </w:tc>
      </w:tr>
      <w:tr>
        <w:tc>
          <w:tcPr>
            <w:tcW w:type="dxa" w:w="1728"/>
            <w:vAlign w:val="center"/>
            <w:shd w:fill="F1F5F8"/>
          </w:tcPr>
          <w:p>
            <w:pPr>
              <w:spacing w:after="0"/>
            </w:pPr>
            <w:r/>
            <w:r>
              <w:rPr>
                <w:rFonts w:ascii="Aptos" w:hAnsi="Aptos"/>
                <w:b w:val="0"/>
                <w:sz w:val="16"/>
              </w:rPr>
              <w:t>2. Profile &amp; Clean / Silver</w:t>
            </w:r>
          </w:p>
        </w:tc>
        <w:tc>
          <w:tcPr>
            <w:tcW w:type="dxa" w:w="3600"/>
            <w:vAlign w:val="center"/>
            <w:shd w:fill="F1F5F8"/>
          </w:tcPr>
          <w:p>
            <w:pPr>
              <w:spacing w:after="0"/>
            </w:pPr>
            <w:r/>
            <w:r>
              <w:rPr>
                <w:rFonts w:ascii="Aptos" w:hAnsi="Aptos"/>
                <w:b w:val="0"/>
                <w:sz w:val="16"/>
              </w:rPr>
              <w:t>Parse types, standardize formats, deduplicate and validate relationships.</w:t>
            </w:r>
          </w:p>
        </w:tc>
        <w:tc>
          <w:tcPr>
            <w:tcW w:type="dxa" w:w="4752"/>
            <w:vAlign w:val="center"/>
            <w:shd w:fill="F1F5F8"/>
          </w:tcPr>
          <w:p>
            <w:pPr>
              <w:spacing w:after="0"/>
            </w:pPr>
            <w:r/>
            <w:r>
              <w:rPr>
                <w:rFonts w:ascii="Aptos" w:hAnsi="Aptos"/>
                <w:b w:val="0"/>
                <w:sz w:val="16"/>
              </w:rPr>
              <w:t>Rule-based transformations; accepted records; rejects/quarantine with reason codes; before/after counts.</w:t>
            </w:r>
          </w:p>
        </w:tc>
      </w:tr>
      <w:tr>
        <w:tc>
          <w:tcPr>
            <w:tcW w:type="dxa" w:w="1728"/>
            <w:vAlign w:val="center"/>
          </w:tcPr>
          <w:p>
            <w:pPr>
              <w:spacing w:after="0"/>
            </w:pPr>
            <w:r/>
            <w:r>
              <w:rPr>
                <w:rFonts w:ascii="Aptos" w:hAnsi="Aptos"/>
                <w:b w:val="0"/>
                <w:sz w:val="16"/>
              </w:rPr>
              <w:t>3. Curated / Gold</w:t>
            </w:r>
          </w:p>
        </w:tc>
        <w:tc>
          <w:tcPr>
            <w:tcW w:type="dxa" w:w="3600"/>
            <w:vAlign w:val="center"/>
          </w:tcPr>
          <w:p>
            <w:pPr>
              <w:spacing w:after="0"/>
            </w:pPr>
            <w:r/>
            <w:r>
              <w:rPr>
                <w:rFonts w:ascii="Aptos" w:hAnsi="Aptos"/>
                <w:b w:val="0"/>
                <w:sz w:val="16"/>
              </w:rPr>
              <w:t>Create analytics-ready fact and dimension tables.</w:t>
            </w:r>
          </w:p>
        </w:tc>
        <w:tc>
          <w:tcPr>
            <w:tcW w:type="dxa" w:w="4752"/>
            <w:vAlign w:val="center"/>
          </w:tcPr>
          <w:p>
            <w:pPr>
              <w:spacing w:after="0"/>
            </w:pPr>
            <w:r/>
            <w:r>
              <w:rPr>
                <w:rFonts w:ascii="Aptos" w:hAnsi="Aptos"/>
                <w:b w:val="0"/>
                <w:sz w:val="16"/>
              </w:rPr>
              <w:t>Conformed dimensions, order-line sales fact, return/payment aggregates; documented customer SCD approach.</w:t>
            </w:r>
          </w:p>
        </w:tc>
      </w:tr>
      <w:tr>
        <w:tc>
          <w:tcPr>
            <w:tcW w:type="dxa" w:w="1728"/>
            <w:vAlign w:val="center"/>
            <w:shd w:fill="F1F5F8"/>
          </w:tcPr>
          <w:p>
            <w:pPr>
              <w:spacing w:after="0"/>
            </w:pPr>
            <w:r/>
            <w:r>
              <w:rPr>
                <w:rFonts w:ascii="Aptos" w:hAnsi="Aptos"/>
                <w:b w:val="0"/>
                <w:sz w:val="16"/>
              </w:rPr>
              <w:t>4. KPI / Reporting</w:t>
            </w:r>
          </w:p>
        </w:tc>
        <w:tc>
          <w:tcPr>
            <w:tcW w:type="dxa" w:w="3600"/>
            <w:vAlign w:val="center"/>
            <w:shd w:fill="F1F5F8"/>
          </w:tcPr>
          <w:p>
            <w:pPr>
              <w:spacing w:after="0"/>
            </w:pPr>
            <w:r/>
            <w:r>
              <w:rPr>
                <w:rFonts w:ascii="Aptos" w:hAnsi="Aptos"/>
                <w:b w:val="0"/>
                <w:sz w:val="16"/>
              </w:rPr>
              <w:t>Calculate the eight business measures from curated tables.</w:t>
            </w:r>
          </w:p>
        </w:tc>
        <w:tc>
          <w:tcPr>
            <w:tcW w:type="dxa" w:w="4752"/>
            <w:vAlign w:val="center"/>
            <w:shd w:fill="F1F5F8"/>
          </w:tcPr>
          <w:p>
            <w:pPr>
              <w:spacing w:after="0"/>
            </w:pPr>
            <w:r/>
            <w:r>
              <w:rPr>
                <w:rFonts w:ascii="Aptos" w:hAnsi="Aptos"/>
                <w:b w:val="0"/>
                <w:sz w:val="16"/>
              </w:rPr>
              <w:t>Reproducible SQL/Python outputs, reconciliation summaries, KPI files or simple dashboard.</w:t>
            </w:r>
          </w:p>
        </w:tc>
      </w:tr>
      <w:tr>
        <w:tc>
          <w:tcPr>
            <w:tcW w:type="dxa" w:w="1728"/>
            <w:vAlign w:val="center"/>
          </w:tcPr>
          <w:p>
            <w:pPr>
              <w:spacing w:after="0"/>
            </w:pPr>
            <w:r/>
            <w:r>
              <w:rPr>
                <w:rFonts w:ascii="Aptos" w:hAnsi="Aptos"/>
                <w:b w:val="0"/>
                <w:sz w:val="16"/>
              </w:rPr>
              <w:t>5. Governance / Evidence</w:t>
            </w:r>
          </w:p>
        </w:tc>
        <w:tc>
          <w:tcPr>
            <w:tcW w:type="dxa" w:w="3600"/>
            <w:vAlign w:val="center"/>
          </w:tcPr>
          <w:p>
            <w:pPr>
              <w:spacing w:after="0"/>
            </w:pPr>
            <w:r/>
            <w:r>
              <w:rPr>
                <w:rFonts w:ascii="Aptos" w:hAnsi="Aptos"/>
                <w:b w:val="0"/>
                <w:sz w:val="16"/>
              </w:rPr>
              <w:t>Make quality and decisions reviewable.</w:t>
            </w:r>
          </w:p>
        </w:tc>
        <w:tc>
          <w:tcPr>
            <w:tcW w:type="dxa" w:w="4752"/>
            <w:vAlign w:val="center"/>
          </w:tcPr>
          <w:p>
            <w:pPr>
              <w:spacing w:after="0"/>
            </w:pPr>
            <w:r/>
            <w:r>
              <w:rPr>
                <w:rFonts w:ascii="Aptos" w:hAnsi="Aptos"/>
                <w:b w:val="0"/>
                <w:sz w:val="16"/>
              </w:rPr>
              <w:t>README, assumptions log, data-quality report, tests, AI usage and validation log.</w:t>
            </w:r>
          </w:p>
        </w:tc>
      </w:tr>
    </w:tbl>
    <w:p>
      <w:pPr>
        <w:spacing w:after="20"/>
      </w:pPr>
    </w:p>
    <w:p>
      <w:pPr>
        <w:pStyle w:val="Heading2"/>
      </w:pPr>
      <w:r>
        <w:t>Logical data flow</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7365D"/>
          </w:tcPr>
          <w:p>
            <w:pPr>
              <w:spacing w:after="60"/>
              <w:jc w:val="center"/>
            </w:pPr>
            <w:r/>
            <w:r>
              <w:rPr>
                <w:b/>
                <w:color w:val="FFFFFF"/>
                <w:sz w:val="16"/>
              </w:rPr>
              <w:t>RAW INPUTS</w:t>
              <w:br/>
            </w:r>
            <w:r>
              <w:rPr>
                <w:color w:val="FFFFFF"/>
                <w:sz w:val="14"/>
              </w:rPr>
              <w:t>7 CSV/JSON files</w:t>
            </w:r>
          </w:p>
        </w:tc>
        <w:tc>
          <w:tcPr>
            <w:tcW w:type="dxa" w:w="2033"/>
            <w:shd w:fill="1D6878"/>
          </w:tcPr>
          <w:p>
            <w:pPr>
              <w:spacing w:after="60"/>
              <w:jc w:val="center"/>
            </w:pPr>
            <w:r/>
            <w:r>
              <w:rPr>
                <w:b/>
                <w:color w:val="FFFFFF"/>
                <w:sz w:val="16"/>
              </w:rPr>
              <w:t>PROFILE</w:t>
              <w:br/>
            </w:r>
            <w:r>
              <w:rPr>
                <w:color w:val="FFFFFF"/>
                <w:sz w:val="14"/>
              </w:rPr>
              <w:t>Counts, types, anomalies</w:t>
            </w:r>
          </w:p>
        </w:tc>
        <w:tc>
          <w:tcPr>
            <w:tcW w:type="dxa" w:w="2033"/>
            <w:shd w:fill="007F86"/>
          </w:tcPr>
          <w:p>
            <w:pPr>
              <w:spacing w:after="60"/>
              <w:jc w:val="center"/>
            </w:pPr>
            <w:r/>
            <w:r>
              <w:rPr>
                <w:b/>
                <w:color w:val="FFFFFF"/>
                <w:sz w:val="16"/>
              </w:rPr>
              <w:t>CLEANSE</w:t>
              <w:br/>
            </w:r>
            <w:r>
              <w:rPr>
                <w:color w:val="FFFFFF"/>
                <w:sz w:val="14"/>
              </w:rPr>
              <w:t>Standardize, validate, quarantine</w:t>
            </w:r>
          </w:p>
        </w:tc>
        <w:tc>
          <w:tcPr>
            <w:tcW w:type="dxa" w:w="2033"/>
            <w:shd w:fill="1D6878"/>
          </w:tcPr>
          <w:p>
            <w:pPr>
              <w:spacing w:after="60"/>
              <w:jc w:val="center"/>
            </w:pPr>
            <w:r/>
            <w:r>
              <w:rPr>
                <w:b/>
                <w:color w:val="FFFFFF"/>
                <w:sz w:val="16"/>
              </w:rPr>
              <w:t>MODEL</w:t>
              <w:br/>
            </w:r>
            <w:r>
              <w:rPr>
                <w:color w:val="FFFFFF"/>
                <w:sz w:val="14"/>
              </w:rPr>
              <w:t>Facts + dimensions</w:t>
            </w:r>
          </w:p>
        </w:tc>
        <w:tc>
          <w:tcPr>
            <w:tcW w:type="dxa" w:w="2033"/>
            <w:shd w:fill="17365D"/>
          </w:tcPr>
          <w:p>
            <w:pPr>
              <w:spacing w:after="60"/>
              <w:jc w:val="center"/>
            </w:pPr>
            <w:r/>
            <w:r>
              <w:rPr>
                <w:b/>
                <w:color w:val="FFFFFF"/>
                <w:sz w:val="16"/>
              </w:rPr>
              <w:t>ANALYZE</w:t>
              <w:br/>
            </w:r>
            <w:r>
              <w:rPr>
                <w:color w:val="FFFFFF"/>
                <w:sz w:val="14"/>
              </w:rPr>
              <w:t>8 KPIs + evidence</w:t>
            </w:r>
          </w:p>
        </w:tc>
      </w:tr>
    </w:tbl>
    <w:p>
      <w:r>
        <w:t>Implementation note: for this short assessment, the layers may be implemented as folders/tables in a local environment. The separation is logical and auditable; it does not require deploying cloud services.</w:t>
      </w:r>
    </w:p>
    <w:p>
      <w:pPr>
        <w:pStyle w:val="Heading1"/>
      </w:pPr>
      <w:r>
        <w:t>4. Data Model Proposal</w:t>
      </w:r>
    </w:p>
    <w:p>
      <w:r>
        <w:t>The analytical grain will be explicit. Sales measures will be calculated at order-line grain before aggregation, while payment and return events will be aggregated independently before being joined to avoid row multiplication.</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7365D"/>
          </w:tcPr>
          <w:p>
            <w:pPr>
              <w:spacing w:after="0"/>
            </w:pPr>
            <w:r/>
            <w:r>
              <w:rPr>
                <w:rFonts w:ascii="Aptos" w:hAnsi="Aptos"/>
                <w:b/>
                <w:color w:val="FFFFFF"/>
                <w:sz w:val="15"/>
              </w:rPr>
              <w:t>Table</w:t>
            </w:r>
          </w:p>
        </w:tc>
        <w:tc>
          <w:tcPr>
            <w:tcW w:type="dxa" w:w="2592"/>
            <w:vAlign w:val="center"/>
            <w:shd w:fill="17365D"/>
          </w:tcPr>
          <w:p>
            <w:pPr>
              <w:spacing w:after="0"/>
            </w:pPr>
            <w:r/>
            <w:r>
              <w:rPr>
                <w:rFonts w:ascii="Aptos" w:hAnsi="Aptos"/>
                <w:b/>
                <w:color w:val="FFFFFF"/>
                <w:sz w:val="15"/>
              </w:rPr>
              <w:t>Proposed grain / key</w:t>
            </w:r>
          </w:p>
        </w:tc>
        <w:tc>
          <w:tcPr>
            <w:tcW w:type="dxa" w:w="5544"/>
            <w:vAlign w:val="center"/>
            <w:shd w:fill="17365D"/>
          </w:tcPr>
          <w:p>
            <w:pPr>
              <w:spacing w:after="0"/>
            </w:pPr>
            <w:r/>
            <w:r>
              <w:rPr>
                <w:rFonts w:ascii="Aptos" w:hAnsi="Aptos"/>
                <w:b/>
                <w:color w:val="FFFFFF"/>
                <w:sz w:val="15"/>
              </w:rPr>
              <w:t>Main fields and relationships</w:t>
            </w:r>
          </w:p>
        </w:tc>
      </w:tr>
      <w:tr>
        <w:tc>
          <w:tcPr>
            <w:tcW w:type="dxa" w:w="1944"/>
            <w:vAlign w:val="center"/>
          </w:tcPr>
          <w:p>
            <w:pPr>
              <w:spacing w:after="0"/>
            </w:pPr>
            <w:r/>
            <w:r>
              <w:rPr>
                <w:rFonts w:ascii="Aptos" w:hAnsi="Aptos"/>
                <w:b w:val="0"/>
                <w:sz w:val="15"/>
              </w:rPr>
              <w:t>dim_customer</w:t>
            </w:r>
          </w:p>
        </w:tc>
        <w:tc>
          <w:tcPr>
            <w:tcW w:type="dxa" w:w="2592"/>
            <w:vAlign w:val="center"/>
          </w:tcPr>
          <w:p>
            <w:pPr>
              <w:spacing w:after="0"/>
            </w:pPr>
            <w:r/>
            <w:r>
              <w:rPr>
                <w:rFonts w:ascii="Aptos" w:hAnsi="Aptos"/>
                <w:b w:val="0"/>
                <w:sz w:val="15"/>
              </w:rPr>
              <w:t>One row per customer version; customer_id + effective dates</w:t>
            </w:r>
          </w:p>
        </w:tc>
        <w:tc>
          <w:tcPr>
            <w:tcW w:type="dxa" w:w="5544"/>
            <w:vAlign w:val="center"/>
          </w:tcPr>
          <w:p>
            <w:pPr>
              <w:spacing w:after="0"/>
            </w:pPr>
            <w:r/>
            <w:r>
              <w:rPr>
                <w:rFonts w:ascii="Aptos" w:hAnsi="Aptos"/>
                <w:b w:val="0"/>
                <w:sz w:val="15"/>
              </w:rPr>
              <w:t>Customer attributes, standardized segment, active flag, signup date, effective_from, effective_to, is_current.</w:t>
            </w:r>
          </w:p>
        </w:tc>
      </w:tr>
      <w:tr>
        <w:tc>
          <w:tcPr>
            <w:tcW w:type="dxa" w:w="1944"/>
            <w:vAlign w:val="center"/>
            <w:shd w:fill="F1F5F8"/>
          </w:tcPr>
          <w:p>
            <w:pPr>
              <w:spacing w:after="0"/>
            </w:pPr>
            <w:r/>
            <w:r>
              <w:rPr>
                <w:rFonts w:ascii="Aptos" w:hAnsi="Aptos"/>
                <w:b w:val="0"/>
                <w:sz w:val="15"/>
              </w:rPr>
              <w:t>dim_product</w:t>
            </w:r>
          </w:p>
        </w:tc>
        <w:tc>
          <w:tcPr>
            <w:tcW w:type="dxa" w:w="2592"/>
            <w:vAlign w:val="center"/>
            <w:shd w:fill="F1F5F8"/>
          </w:tcPr>
          <w:p>
            <w:pPr>
              <w:spacing w:after="0"/>
            </w:pPr>
            <w:r/>
            <w:r>
              <w:rPr>
                <w:rFonts w:ascii="Aptos" w:hAnsi="Aptos"/>
                <w:b w:val="0"/>
                <w:sz w:val="15"/>
              </w:rPr>
              <w:t>One row per product_id (or version if needed)</w:t>
            </w:r>
          </w:p>
        </w:tc>
        <w:tc>
          <w:tcPr>
            <w:tcW w:type="dxa" w:w="5544"/>
            <w:vAlign w:val="center"/>
            <w:shd w:fill="F1F5F8"/>
          </w:tcPr>
          <w:p>
            <w:pPr>
              <w:spacing w:after="0"/>
            </w:pPr>
            <w:r/>
            <w:r>
              <w:rPr>
                <w:rFonts w:ascii="Aptos" w:hAnsi="Aptos"/>
                <w:b w:val="0"/>
                <w:sz w:val="15"/>
              </w:rPr>
              <w:t>Product name, normalized category/subcategory, list price, cost price, supplier_id, active flag.</w:t>
            </w:r>
          </w:p>
        </w:tc>
      </w:tr>
      <w:tr>
        <w:tc>
          <w:tcPr>
            <w:tcW w:type="dxa" w:w="1944"/>
            <w:vAlign w:val="center"/>
          </w:tcPr>
          <w:p>
            <w:pPr>
              <w:spacing w:after="0"/>
            </w:pPr>
            <w:r/>
            <w:r>
              <w:rPr>
                <w:rFonts w:ascii="Aptos" w:hAnsi="Aptos"/>
                <w:b w:val="0"/>
                <w:sz w:val="15"/>
              </w:rPr>
              <w:t>dim_supplier</w:t>
            </w:r>
          </w:p>
        </w:tc>
        <w:tc>
          <w:tcPr>
            <w:tcW w:type="dxa" w:w="2592"/>
            <w:vAlign w:val="center"/>
          </w:tcPr>
          <w:p>
            <w:pPr>
              <w:spacing w:after="0"/>
            </w:pPr>
            <w:r/>
            <w:r>
              <w:rPr>
                <w:rFonts w:ascii="Aptos" w:hAnsi="Aptos"/>
                <w:b w:val="0"/>
                <w:sz w:val="15"/>
              </w:rPr>
              <w:t>One row per supplier_id</w:t>
            </w:r>
          </w:p>
        </w:tc>
        <w:tc>
          <w:tcPr>
            <w:tcW w:type="dxa" w:w="5544"/>
            <w:vAlign w:val="center"/>
          </w:tcPr>
          <w:p>
            <w:pPr>
              <w:spacing w:after="0"/>
            </w:pPr>
            <w:r/>
            <w:r>
              <w:rPr>
                <w:rFonts w:ascii="Aptos" w:hAnsi="Aptos"/>
                <w:b w:val="0"/>
                <w:sz w:val="15"/>
              </w:rPr>
              <w:t>Supplier name/country, normalized rating, preferred flag, contract start date.</w:t>
            </w:r>
          </w:p>
        </w:tc>
      </w:tr>
      <w:tr>
        <w:tc>
          <w:tcPr>
            <w:tcW w:type="dxa" w:w="1944"/>
            <w:vAlign w:val="center"/>
            <w:shd w:fill="F1F5F8"/>
          </w:tcPr>
          <w:p>
            <w:pPr>
              <w:spacing w:after="0"/>
            </w:pPr>
            <w:r/>
            <w:r>
              <w:rPr>
                <w:rFonts w:ascii="Aptos" w:hAnsi="Aptos"/>
                <w:b w:val="0"/>
                <w:sz w:val="15"/>
              </w:rPr>
              <w:t>dim_date</w:t>
            </w:r>
          </w:p>
        </w:tc>
        <w:tc>
          <w:tcPr>
            <w:tcW w:type="dxa" w:w="2592"/>
            <w:vAlign w:val="center"/>
            <w:shd w:fill="F1F5F8"/>
          </w:tcPr>
          <w:p>
            <w:pPr>
              <w:spacing w:after="0"/>
            </w:pPr>
            <w:r/>
            <w:r>
              <w:rPr>
                <w:rFonts w:ascii="Aptos" w:hAnsi="Aptos"/>
                <w:b w:val="0"/>
                <w:sz w:val="15"/>
              </w:rPr>
              <w:t>One row per calendar date (optional helper)</w:t>
            </w:r>
          </w:p>
        </w:tc>
        <w:tc>
          <w:tcPr>
            <w:tcW w:type="dxa" w:w="5544"/>
            <w:vAlign w:val="center"/>
            <w:shd w:fill="F1F5F8"/>
          </w:tcPr>
          <w:p>
            <w:pPr>
              <w:spacing w:after="0"/>
            </w:pPr>
            <w:r/>
            <w:r>
              <w:rPr>
                <w:rFonts w:ascii="Aptos" w:hAnsi="Aptos"/>
                <w:b w:val="0"/>
                <w:sz w:val="15"/>
              </w:rPr>
              <w:t>Date, month, year, month key; supports monthly trends.</w:t>
            </w:r>
          </w:p>
        </w:tc>
      </w:tr>
      <w:tr>
        <w:tc>
          <w:tcPr>
            <w:tcW w:type="dxa" w:w="1944"/>
            <w:vAlign w:val="center"/>
          </w:tcPr>
          <w:p>
            <w:pPr>
              <w:spacing w:after="0"/>
            </w:pPr>
            <w:r/>
            <w:r>
              <w:rPr>
                <w:rFonts w:ascii="Aptos" w:hAnsi="Aptos"/>
                <w:b w:val="0"/>
                <w:sz w:val="15"/>
              </w:rPr>
              <w:t>fact_order_item</w:t>
            </w:r>
          </w:p>
        </w:tc>
        <w:tc>
          <w:tcPr>
            <w:tcW w:type="dxa" w:w="2592"/>
            <w:vAlign w:val="center"/>
          </w:tcPr>
          <w:p>
            <w:pPr>
              <w:spacing w:after="0"/>
            </w:pPr>
            <w:r/>
            <w:r>
              <w:rPr>
                <w:rFonts w:ascii="Aptos" w:hAnsi="Aptos"/>
                <w:b w:val="0"/>
                <w:sz w:val="15"/>
              </w:rPr>
              <w:t>One row per unique order_item_id</w:t>
            </w:r>
          </w:p>
        </w:tc>
        <w:tc>
          <w:tcPr>
            <w:tcW w:type="dxa" w:w="5544"/>
            <w:vAlign w:val="center"/>
          </w:tcPr>
          <w:p>
            <w:pPr>
              <w:spacing w:after="0"/>
            </w:pPr>
            <w:r/>
            <w:r>
              <w:rPr>
                <w:rFonts w:ascii="Aptos" w:hAnsi="Aptos"/>
                <w:b w:val="0"/>
                <w:sz w:val="15"/>
              </w:rPr>
              <w:t>order_id, customer/product/date keys, quantity, unit price, discount, validated line revenue, order status/channel via order join.</w:t>
            </w:r>
          </w:p>
        </w:tc>
      </w:tr>
      <w:tr>
        <w:tc>
          <w:tcPr>
            <w:tcW w:type="dxa" w:w="1944"/>
            <w:vAlign w:val="center"/>
            <w:shd w:fill="F1F5F8"/>
          </w:tcPr>
          <w:p>
            <w:pPr>
              <w:spacing w:after="0"/>
            </w:pPr>
            <w:r/>
            <w:r>
              <w:rPr>
                <w:rFonts w:ascii="Aptos" w:hAnsi="Aptos"/>
                <w:b w:val="0"/>
                <w:sz w:val="15"/>
              </w:rPr>
              <w:t>fact_return</w:t>
            </w:r>
          </w:p>
        </w:tc>
        <w:tc>
          <w:tcPr>
            <w:tcW w:type="dxa" w:w="2592"/>
            <w:vAlign w:val="center"/>
            <w:shd w:fill="F1F5F8"/>
          </w:tcPr>
          <w:p>
            <w:pPr>
              <w:spacing w:after="0"/>
            </w:pPr>
            <w:r/>
            <w:r>
              <w:rPr>
                <w:rFonts w:ascii="Aptos" w:hAnsi="Aptos"/>
                <w:b w:val="0"/>
                <w:sz w:val="15"/>
              </w:rPr>
              <w:t>One row per return_id</w:t>
            </w:r>
          </w:p>
        </w:tc>
        <w:tc>
          <w:tcPr>
            <w:tcW w:type="dxa" w:w="5544"/>
            <w:vAlign w:val="center"/>
            <w:shd w:fill="F1F5F8"/>
          </w:tcPr>
          <w:p>
            <w:pPr>
              <w:spacing w:after="0"/>
            </w:pPr>
            <w:r/>
            <w:r>
              <w:rPr>
                <w:rFonts w:ascii="Aptos" w:hAnsi="Aptos"/>
                <w:b w:val="0"/>
                <w:sz w:val="15"/>
              </w:rPr>
              <w:t>order_item_id, return date/status, refund amount; link to order line.</w:t>
            </w:r>
          </w:p>
        </w:tc>
      </w:tr>
      <w:tr>
        <w:tc>
          <w:tcPr>
            <w:tcW w:type="dxa" w:w="1944"/>
            <w:vAlign w:val="center"/>
          </w:tcPr>
          <w:p>
            <w:pPr>
              <w:spacing w:after="0"/>
            </w:pPr>
            <w:r/>
            <w:r>
              <w:rPr>
                <w:rFonts w:ascii="Aptos" w:hAnsi="Aptos"/>
                <w:b w:val="0"/>
                <w:sz w:val="15"/>
              </w:rPr>
              <w:t>fact_payment</w:t>
            </w:r>
          </w:p>
        </w:tc>
        <w:tc>
          <w:tcPr>
            <w:tcW w:type="dxa" w:w="2592"/>
            <w:vAlign w:val="center"/>
          </w:tcPr>
          <w:p>
            <w:pPr>
              <w:spacing w:after="0"/>
            </w:pPr>
            <w:r/>
            <w:r>
              <w:rPr>
                <w:rFonts w:ascii="Aptos" w:hAnsi="Aptos"/>
                <w:b w:val="0"/>
                <w:sz w:val="15"/>
              </w:rPr>
              <w:t>One row per payment_id</w:t>
            </w:r>
          </w:p>
        </w:tc>
        <w:tc>
          <w:tcPr>
            <w:tcW w:type="dxa" w:w="5544"/>
            <w:vAlign w:val="center"/>
          </w:tcPr>
          <w:p>
            <w:pPr>
              <w:spacing w:after="0"/>
            </w:pPr>
            <w:r/>
            <w:r>
              <w:rPr>
                <w:rFonts w:ascii="Aptos" w:hAnsi="Aptos"/>
                <w:b w:val="0"/>
                <w:sz w:val="15"/>
              </w:rPr>
              <w:t>order_id, payment date/status/method, amount; preserve multiple payment events.</w:t>
            </w:r>
          </w:p>
        </w:tc>
      </w:tr>
      <w:tr>
        <w:tc>
          <w:tcPr>
            <w:tcW w:type="dxa" w:w="1944"/>
            <w:vAlign w:val="center"/>
            <w:shd w:fill="F1F5F8"/>
          </w:tcPr>
          <w:p>
            <w:pPr>
              <w:spacing w:after="0"/>
            </w:pPr>
            <w:r/>
            <w:r>
              <w:rPr>
                <w:rFonts w:ascii="Aptos" w:hAnsi="Aptos"/>
                <w:b w:val="0"/>
                <w:sz w:val="15"/>
              </w:rPr>
              <w:t>KPI aggregates/views</w:t>
            </w:r>
          </w:p>
        </w:tc>
        <w:tc>
          <w:tcPr>
            <w:tcW w:type="dxa" w:w="2592"/>
            <w:vAlign w:val="center"/>
            <w:shd w:fill="F1F5F8"/>
          </w:tcPr>
          <w:p>
            <w:pPr>
              <w:spacing w:after="0"/>
            </w:pPr>
            <w:r/>
            <w:r>
              <w:rPr>
                <w:rFonts w:ascii="Aptos" w:hAnsi="Aptos"/>
                <w:b w:val="0"/>
                <w:sz w:val="15"/>
              </w:rPr>
              <w:t>Metric-specific grain</w:t>
            </w:r>
          </w:p>
        </w:tc>
        <w:tc>
          <w:tcPr>
            <w:tcW w:type="dxa" w:w="5544"/>
            <w:vAlign w:val="center"/>
            <w:shd w:fill="F1F5F8"/>
          </w:tcPr>
          <w:p>
            <w:pPr>
              <w:spacing w:after="0"/>
            </w:pPr>
            <w:r/>
            <w:r>
              <w:rPr>
                <w:rFonts w:ascii="Aptos" w:hAnsi="Aptos"/>
                <w:b w:val="0"/>
                <w:sz w:val="15"/>
              </w:rPr>
              <w:t>Monthly category, customer lifetime value, segment, channel/month, product return, supplier, repeat purchase, payment reconciliation.</w:t>
            </w:r>
          </w:p>
        </w:tc>
      </w:tr>
    </w:tbl>
    <w:p>
      <w:pPr>
        <w:spacing w:after="20"/>
      </w:pPr>
    </w:p>
    <w:p>
      <w:pPr>
        <w:pStyle w:val="Heading2"/>
      </w:pPr>
      <w:r>
        <w:t>Relationship overview</w:t>
      </w:r>
    </w:p>
    <w:p>
      <w:pPr>
        <w:pStyle w:val="ListBullet"/>
        <w:spacing w:after="40"/>
      </w:pPr>
      <w:r>
        <w:t>Customer 1-to-many Orders; Order 1-to-many Order Items.</w:t>
      </w:r>
    </w:p>
    <w:p>
      <w:pPr>
        <w:pStyle w:val="ListBullet"/>
        <w:spacing w:after="40"/>
      </w:pPr>
      <w:r>
        <w:t>Product 1-to-many Order Items; Supplier 1-to-many Products.</w:t>
      </w:r>
    </w:p>
    <w:p>
      <w:pPr>
        <w:pStyle w:val="ListBullet"/>
        <w:spacing w:after="40"/>
      </w:pPr>
      <w:r>
        <w:t>Order 1-to-many Payments; Order Item 1-to-many Return records (subject to validation of the source key).</w:t>
      </w:r>
    </w:p>
    <w:p>
      <w:pPr>
        <w:pStyle w:val="ListBullet"/>
        <w:spacing w:after="40"/>
      </w:pPr>
      <w:r>
        <w:t>Never join raw payment rows and raw return rows directly to order items in one unaggregated query. Aggregate each at its natural grain first to prevent fan-out and double counting.</w:t>
      </w:r>
    </w:p>
    <w:p>
      <w:pPr>
        <w:pStyle w:val="Heading2"/>
      </w:pPr>
      <w:r>
        <w:t>Customer history</w:t>
      </w:r>
    </w:p>
    <w:p>
      <w:r>
        <w:t>Proposed approach: use a Type 2-style customer dimension if the available records support meaningful historical changes. Track attributes such as segment or address with effective_from, effective_to, and is_current. If the supplied file only contains a single current snapshot and no reliable history, document that limitation and implement a current-state dimension rather than fabricating historical versions.</w:t>
      </w:r>
    </w:p>
    <w:p>
      <w:pPr>
        <w:pStyle w:val="Heading1"/>
      </w:pPr>
      <w:r>
        <w:t>5. Pipeline Processing Plan</w:t>
      </w:r>
    </w:p>
    <w:p>
      <w:pPr>
        <w:pStyle w:val="ListNumber"/>
        <w:spacing w:after="40"/>
      </w:pPr>
      <w:r>
        <w:t>Ingest: read each file with explicit parsing options; attach batch/source metadata; record raw counts and schema.</w:t>
      </w:r>
    </w:p>
    <w:p>
      <w:pPr>
        <w:pStyle w:val="ListNumber"/>
        <w:spacing w:after="40"/>
      </w:pPr>
      <w:r>
        <w:t>Profile: inspect null/blank rates, distinct keys, duplicate keys, data types, category/status variants, numeric ranges, and foreign-key coverage.</w:t>
      </w:r>
    </w:p>
    <w:p>
      <w:pPr>
        <w:pStyle w:val="ListNumber"/>
        <w:spacing w:after="40"/>
      </w:pPr>
      <w:r>
        <w:t>Standardize: trim strings; normalize casing and category/channel/status labels; parse dates; normalize boolean values; safely parse numeric/currency fields.</w:t>
      </w:r>
    </w:p>
    <w:p>
      <w:pPr>
        <w:pStyle w:val="ListNumber"/>
        <w:spacing w:after="40"/>
      </w:pPr>
      <w:r>
        <w:t>Resolve duplicates: remove exact duplicates; for conflicting records, apply a deterministic winner rule only when defensible (e.g., trusted status/timestamp); otherwise quarantine or flag for review.</w:t>
      </w:r>
    </w:p>
    <w:p>
      <w:pPr>
        <w:pStyle w:val="ListNumber"/>
        <w:spacing w:after="40"/>
      </w:pPr>
      <w:r>
        <w:t>Validate: check primary-key uniqueness, non-negative quantities/amounts where appropriate, valid discount/rating ranges, logical date order, and foreign-key integrity.</w:t>
      </w:r>
    </w:p>
    <w:p>
      <w:pPr>
        <w:pStyle w:val="ListNumber"/>
        <w:spacing w:after="40"/>
      </w:pPr>
      <w:r>
        <w:t>Curate: publish dimensions and facts; retain rejected rows with rule IDs/reasons; record before/after counts.</w:t>
      </w:r>
    </w:p>
    <w:p>
      <w:pPr>
        <w:pStyle w:val="ListNumber"/>
        <w:spacing w:after="40"/>
      </w:pPr>
      <w:r>
        <w:t>Aggregate: compute independent order-line revenue, return/refund, and payment totals; then calculate KPIs from the curated model.</w:t>
      </w:r>
    </w:p>
    <w:p>
      <w:pPr>
        <w:pStyle w:val="ListNumber"/>
        <w:spacing w:after="40"/>
      </w:pPr>
      <w:r>
        <w:t>Validate &amp; rerun: execute a clean end-to-end run, compare row counts and control totals, and confirm deterministic/idempotent outputs.</w:t>
      </w:r>
    </w:p>
    <w:p>
      <w:pPr>
        <w:pStyle w:val="Heading1"/>
      </w:pPr>
      <w:r>
        <w:t>6. Initial Business Rules and Assumptions to Validate</w:t>
      </w:r>
    </w:p>
    <w:p>
      <w:r>
        <w:t>These are proposed rules for discussion, not final findings. We will confirm or revise them after inspecting the actual data and record any change in the assumptions log.</w:t>
      </w:r>
    </w:p>
    <w:tbl>
      <w:tblPr>
        <w:tblStyle w:val="TableGrid"/>
        <w:tblW w:type="auto" w:w="0"/>
        <w:jc w:val="center"/>
        <w:tblLook w:firstColumn="1" w:firstRow="1" w:lastColumn="0" w:lastRow="0" w:noHBand="0" w:noVBand="1" w:val="04A0"/>
      </w:tblPr>
      <w:tblGrid>
        <w:gridCol w:w="3389"/>
        <w:gridCol w:w="3389"/>
        <w:gridCol w:w="3389"/>
      </w:tblGrid>
      <w:tr>
        <w:tc>
          <w:tcPr>
            <w:tcW w:type="dxa" w:w="1656"/>
            <w:vAlign w:val="center"/>
            <w:shd w:fill="17365D"/>
          </w:tcPr>
          <w:p>
            <w:pPr>
              <w:spacing w:after="0"/>
            </w:pPr>
            <w:r/>
            <w:r>
              <w:rPr>
                <w:rFonts w:ascii="Aptos" w:hAnsi="Aptos"/>
                <w:b/>
                <w:color w:val="FFFFFF"/>
                <w:sz w:val="15"/>
              </w:rPr>
              <w:t>Area</w:t>
            </w:r>
          </w:p>
        </w:tc>
        <w:tc>
          <w:tcPr>
            <w:tcW w:type="dxa" w:w="4464"/>
            <w:vAlign w:val="center"/>
            <w:shd w:fill="17365D"/>
          </w:tcPr>
          <w:p>
            <w:pPr>
              <w:spacing w:after="0"/>
            </w:pPr>
            <w:r/>
            <w:r>
              <w:rPr>
                <w:rFonts w:ascii="Aptos" w:hAnsi="Aptos"/>
                <w:b/>
                <w:color w:val="FFFFFF"/>
                <w:sz w:val="15"/>
              </w:rPr>
              <w:t>Initial proposed rule</w:t>
            </w:r>
          </w:p>
        </w:tc>
        <w:tc>
          <w:tcPr>
            <w:tcW w:type="dxa" w:w="3960"/>
            <w:vAlign w:val="center"/>
            <w:shd w:fill="17365D"/>
          </w:tcPr>
          <w:p>
            <w:pPr>
              <w:spacing w:after="0"/>
            </w:pPr>
            <w:r/>
            <w:r>
              <w:rPr>
                <w:rFonts w:ascii="Aptos" w:hAnsi="Aptos"/>
                <w:b/>
                <w:color w:val="FFFFFF"/>
                <w:sz w:val="15"/>
              </w:rPr>
              <w:t>Validation / caveat</w:t>
            </w:r>
          </w:p>
        </w:tc>
      </w:tr>
      <w:tr>
        <w:tc>
          <w:tcPr>
            <w:tcW w:type="dxa" w:w="1656"/>
            <w:vAlign w:val="center"/>
          </w:tcPr>
          <w:p>
            <w:pPr>
              <w:spacing w:after="0"/>
            </w:pPr>
            <w:r/>
            <w:r>
              <w:rPr>
                <w:rFonts w:ascii="Aptos" w:hAnsi="Aptos"/>
                <w:b w:val="0"/>
                <w:sz w:val="15"/>
              </w:rPr>
              <w:t>Order eligibility</w:t>
            </w:r>
          </w:p>
        </w:tc>
        <w:tc>
          <w:tcPr>
            <w:tcW w:type="dxa" w:w="4464"/>
            <w:vAlign w:val="center"/>
          </w:tcPr>
          <w:p>
            <w:pPr>
              <w:spacing w:after="0"/>
            </w:pPr>
            <w:r/>
            <w:r>
              <w:rPr>
                <w:rFonts w:ascii="Aptos" w:hAnsi="Aptos"/>
                <w:b w:val="0"/>
                <w:sz w:val="15"/>
              </w:rPr>
              <w:t>Use completed orders for customer net lifetime value and repeat-purchase rate.</w:t>
            </w:r>
          </w:p>
        </w:tc>
        <w:tc>
          <w:tcPr>
            <w:tcW w:type="dxa" w:w="3960"/>
            <w:vAlign w:val="center"/>
          </w:tcPr>
          <w:p>
            <w:pPr>
              <w:spacing w:after="0"/>
            </w:pPr>
            <w:r/>
            <w:r>
              <w:rPr>
                <w:rFonts w:ascii="Aptos" w:hAnsi="Aptos"/>
                <w:b w:val="0"/>
                <w:sz w:val="15"/>
              </w:rPr>
              <w:t>Normalize status values first; confirm treatment of returned orders and partial returns.</w:t>
            </w:r>
          </w:p>
        </w:tc>
      </w:tr>
      <w:tr>
        <w:tc>
          <w:tcPr>
            <w:tcW w:type="dxa" w:w="1656"/>
            <w:vAlign w:val="center"/>
            <w:shd w:fill="F1F5F8"/>
          </w:tcPr>
          <w:p>
            <w:pPr>
              <w:spacing w:after="0"/>
            </w:pPr>
            <w:r/>
            <w:r>
              <w:rPr>
                <w:rFonts w:ascii="Aptos" w:hAnsi="Aptos"/>
                <w:b w:val="0"/>
                <w:sz w:val="15"/>
              </w:rPr>
              <w:t>Line revenue</w:t>
            </w:r>
          </w:p>
        </w:tc>
        <w:tc>
          <w:tcPr>
            <w:tcW w:type="dxa" w:w="4464"/>
            <w:vAlign w:val="center"/>
            <w:shd w:fill="F1F5F8"/>
          </w:tcPr>
          <w:p>
            <w:pPr>
              <w:spacing w:after="0"/>
            </w:pPr>
            <w:r/>
            <w:r>
              <w:rPr>
                <w:rFonts w:ascii="Aptos" w:hAnsi="Aptos"/>
                <w:b w:val="0"/>
                <w:sz w:val="15"/>
              </w:rPr>
              <w:t>Prefer recomputing gross line value from quantity × unit_price and applying discount_pct; compare against supplied line_total.</w:t>
            </w:r>
          </w:p>
        </w:tc>
        <w:tc>
          <w:tcPr>
            <w:tcW w:type="dxa" w:w="3960"/>
            <w:vAlign w:val="center"/>
            <w:shd w:fill="F1F5F8"/>
          </w:tcPr>
          <w:p>
            <w:pPr>
              <w:spacing w:after="0"/>
            </w:pPr>
            <w:r/>
            <w:r>
              <w:rPr>
                <w:rFonts w:ascii="Aptos" w:hAnsi="Aptos"/>
                <w:b w:val="0"/>
                <w:sz w:val="15"/>
              </w:rPr>
              <w:t>Determine whether line_total is pre- or post-discount; inspect examples and document the selected source of truth.</w:t>
            </w:r>
          </w:p>
        </w:tc>
      </w:tr>
      <w:tr>
        <w:tc>
          <w:tcPr>
            <w:tcW w:type="dxa" w:w="1656"/>
            <w:vAlign w:val="center"/>
          </w:tcPr>
          <w:p>
            <w:pPr>
              <w:spacing w:after="0"/>
            </w:pPr>
            <w:r/>
            <w:r>
              <w:rPr>
                <w:rFonts w:ascii="Aptos" w:hAnsi="Aptos"/>
                <w:b w:val="0"/>
                <w:sz w:val="15"/>
              </w:rPr>
              <w:t>Discount</w:t>
            </w:r>
          </w:p>
        </w:tc>
        <w:tc>
          <w:tcPr>
            <w:tcW w:type="dxa" w:w="4464"/>
            <w:vAlign w:val="center"/>
          </w:tcPr>
          <w:p>
            <w:pPr>
              <w:spacing w:after="0"/>
            </w:pPr>
            <w:r/>
            <w:r>
              <w:rPr>
                <w:rFonts w:ascii="Aptos" w:hAnsi="Aptos"/>
                <w:b w:val="0"/>
                <w:sz w:val="15"/>
              </w:rPr>
              <w:t>Treat discount_pct as a percentage only after confirming scale (e.g., 10 means 10%, not 0.10).</w:t>
            </w:r>
          </w:p>
        </w:tc>
        <w:tc>
          <w:tcPr>
            <w:tcW w:type="dxa" w:w="3960"/>
            <w:vAlign w:val="center"/>
          </w:tcPr>
          <w:p>
            <w:pPr>
              <w:spacing w:after="0"/>
            </w:pPr>
            <w:r/>
            <w:r>
              <w:rPr>
                <w:rFonts w:ascii="Aptos" w:hAnsi="Aptos"/>
                <w:b w:val="0"/>
                <w:sz w:val="15"/>
              </w:rPr>
              <w:t>Check range and compare calculated values to source totals.</w:t>
            </w:r>
          </w:p>
        </w:tc>
      </w:tr>
      <w:tr>
        <w:tc>
          <w:tcPr>
            <w:tcW w:type="dxa" w:w="1656"/>
            <w:vAlign w:val="center"/>
            <w:shd w:fill="F1F5F8"/>
          </w:tcPr>
          <w:p>
            <w:pPr>
              <w:spacing w:after="0"/>
            </w:pPr>
            <w:r/>
            <w:r>
              <w:rPr>
                <w:rFonts w:ascii="Aptos" w:hAnsi="Aptos"/>
                <w:b w:val="0"/>
                <w:sz w:val="15"/>
              </w:rPr>
              <w:t>Net revenue</w:t>
            </w:r>
          </w:p>
        </w:tc>
        <w:tc>
          <w:tcPr>
            <w:tcW w:type="dxa" w:w="4464"/>
            <w:vAlign w:val="center"/>
            <w:shd w:fill="F1F5F8"/>
          </w:tcPr>
          <w:p>
            <w:pPr>
              <w:spacing w:after="0"/>
            </w:pPr>
            <w:r/>
            <w:r>
              <w:rPr>
                <w:rFonts w:ascii="Aptos" w:hAnsi="Aptos"/>
                <w:b w:val="0"/>
                <w:sz w:val="15"/>
              </w:rPr>
              <w:t>Net revenue = eligible line revenue after discount minus valid refund amounts attributed to the line.</w:t>
            </w:r>
          </w:p>
        </w:tc>
        <w:tc>
          <w:tcPr>
            <w:tcW w:type="dxa" w:w="3960"/>
            <w:vAlign w:val="center"/>
            <w:shd w:fill="F1F5F8"/>
          </w:tcPr>
          <w:p>
            <w:pPr>
              <w:spacing w:after="0"/>
            </w:pPr>
            <w:r/>
            <w:r>
              <w:rPr>
                <w:rFonts w:ascii="Aptos" w:hAnsi="Aptos"/>
                <w:b w:val="0"/>
                <w:sz w:val="15"/>
              </w:rPr>
              <w:t>Use return_status to decide which refunds are realized; do not subtract both a returned-order total and the same refund again.</w:t>
            </w:r>
          </w:p>
        </w:tc>
      </w:tr>
      <w:tr>
        <w:tc>
          <w:tcPr>
            <w:tcW w:type="dxa" w:w="1656"/>
            <w:vAlign w:val="center"/>
          </w:tcPr>
          <w:p>
            <w:pPr>
              <w:spacing w:after="0"/>
            </w:pPr>
            <w:r/>
            <w:r>
              <w:rPr>
                <w:rFonts w:ascii="Aptos" w:hAnsi="Aptos"/>
                <w:b w:val="0"/>
                <w:sz w:val="15"/>
              </w:rPr>
              <w:t>Return rate</w:t>
            </w:r>
          </w:p>
        </w:tc>
        <w:tc>
          <w:tcPr>
            <w:tcW w:type="dxa" w:w="4464"/>
            <w:vAlign w:val="center"/>
          </w:tcPr>
          <w:p>
            <w:pPr>
              <w:spacing w:after="0"/>
            </w:pPr>
            <w:r/>
            <w:r>
              <w:rPr>
                <w:rFonts w:ascii="Aptos" w:hAnsi="Aptos"/>
                <w:b w:val="0"/>
                <w:sz w:val="15"/>
              </w:rPr>
              <w:t>Returned quantity ÷ ordered quantity at product level.</w:t>
            </w:r>
          </w:p>
        </w:tc>
        <w:tc>
          <w:tcPr>
            <w:tcW w:type="dxa" w:w="3960"/>
            <w:vAlign w:val="center"/>
          </w:tcPr>
          <w:p>
            <w:pPr>
              <w:spacing w:after="0"/>
            </w:pPr>
            <w:r/>
            <w:r>
              <w:rPr>
                <w:rFonts w:ascii="Aptos" w:hAnsi="Aptos"/>
                <w:b w:val="0"/>
                <w:sz w:val="15"/>
              </w:rPr>
              <w:t>If only return events and refund amounts exist, verify whether returned quantity can be inferred reliably; do not equate return-row count with quantity.</w:t>
            </w:r>
          </w:p>
        </w:tc>
      </w:tr>
      <w:tr>
        <w:tc>
          <w:tcPr>
            <w:tcW w:type="dxa" w:w="1656"/>
            <w:vAlign w:val="center"/>
            <w:shd w:fill="F1F5F8"/>
          </w:tcPr>
          <w:p>
            <w:pPr>
              <w:spacing w:after="0"/>
            </w:pPr>
            <w:r/>
            <w:r>
              <w:rPr>
                <w:rFonts w:ascii="Aptos" w:hAnsi="Aptos"/>
                <w:b w:val="0"/>
                <w:sz w:val="15"/>
              </w:rPr>
              <w:t>Payments</w:t>
            </w:r>
          </w:p>
        </w:tc>
        <w:tc>
          <w:tcPr>
            <w:tcW w:type="dxa" w:w="4464"/>
            <w:vAlign w:val="center"/>
            <w:shd w:fill="F1F5F8"/>
          </w:tcPr>
          <w:p>
            <w:pPr>
              <w:spacing w:after="0"/>
            </w:pPr>
            <w:r/>
            <w:r>
              <w:rPr>
                <w:rFonts w:ascii="Aptos" w:hAnsi="Aptos"/>
                <w:b w:val="0"/>
                <w:sz w:val="15"/>
              </w:rPr>
              <w:t>Compare sum of successful payment amounts per order to the computed order total; separately flag no successful payment, under/over-payment, duplicate/conflicting events.</w:t>
            </w:r>
          </w:p>
        </w:tc>
        <w:tc>
          <w:tcPr>
            <w:tcW w:type="dxa" w:w="3960"/>
            <w:vAlign w:val="center"/>
            <w:shd w:fill="F1F5F8"/>
          </w:tcPr>
          <w:p>
            <w:pPr>
              <w:spacing w:after="0"/>
            </w:pPr>
            <w:r/>
            <w:r>
              <w:rPr>
                <w:rFonts w:ascii="Aptos" w:hAnsi="Aptos"/>
                <w:b w:val="0"/>
                <w:sz w:val="15"/>
              </w:rPr>
              <w:t>Normalize payment statuses; decide treatment of failed, pending, reversed, and duplicate events from observed values.</w:t>
            </w:r>
          </w:p>
        </w:tc>
      </w:tr>
      <w:tr>
        <w:tc>
          <w:tcPr>
            <w:tcW w:type="dxa" w:w="1656"/>
            <w:vAlign w:val="center"/>
          </w:tcPr>
          <w:p>
            <w:pPr>
              <w:spacing w:after="0"/>
            </w:pPr>
            <w:r/>
            <w:r>
              <w:rPr>
                <w:rFonts w:ascii="Aptos" w:hAnsi="Aptos"/>
                <w:b w:val="0"/>
                <w:sz w:val="15"/>
              </w:rPr>
              <w:t>Orphan references</w:t>
            </w:r>
          </w:p>
        </w:tc>
        <w:tc>
          <w:tcPr>
            <w:tcW w:type="dxa" w:w="4464"/>
            <w:vAlign w:val="center"/>
          </w:tcPr>
          <w:p>
            <w:pPr>
              <w:spacing w:after="0"/>
            </w:pPr>
            <w:r/>
            <w:r>
              <w:rPr>
                <w:rFonts w:ascii="Aptos" w:hAnsi="Aptos"/>
                <w:b w:val="0"/>
                <w:sz w:val="15"/>
              </w:rPr>
              <w:t>Do not silently drop rows. Quarantine or retain with an explicit unknown/unmatched key according to KPI needs.</w:t>
            </w:r>
          </w:p>
        </w:tc>
        <w:tc>
          <w:tcPr>
            <w:tcW w:type="dxa" w:w="3960"/>
            <w:vAlign w:val="center"/>
          </w:tcPr>
          <w:p>
            <w:pPr>
              <w:spacing w:after="0"/>
            </w:pPr>
            <w:r/>
            <w:r>
              <w:rPr>
                <w:rFonts w:ascii="Aptos" w:hAnsi="Aptos"/>
                <w:b w:val="0"/>
                <w:sz w:val="15"/>
              </w:rPr>
              <w:t>Report counts and assess whether a KPI can still be computed safely.</w:t>
            </w:r>
          </w:p>
        </w:tc>
      </w:tr>
      <w:tr>
        <w:tc>
          <w:tcPr>
            <w:tcW w:type="dxa" w:w="1656"/>
            <w:vAlign w:val="center"/>
            <w:shd w:fill="F1F5F8"/>
          </w:tcPr>
          <w:p>
            <w:pPr>
              <w:spacing w:after="0"/>
            </w:pPr>
            <w:r/>
            <w:r>
              <w:rPr>
                <w:rFonts w:ascii="Aptos" w:hAnsi="Aptos"/>
                <w:b w:val="0"/>
                <w:sz w:val="15"/>
              </w:rPr>
              <w:t>Conflicting keys</w:t>
            </w:r>
          </w:p>
        </w:tc>
        <w:tc>
          <w:tcPr>
            <w:tcW w:type="dxa" w:w="4464"/>
            <w:vAlign w:val="center"/>
            <w:shd w:fill="F1F5F8"/>
          </w:tcPr>
          <w:p>
            <w:pPr>
              <w:spacing w:after="0"/>
            </w:pPr>
            <w:r/>
            <w:r>
              <w:rPr>
                <w:rFonts w:ascii="Aptos" w:hAnsi="Aptos"/>
                <w:b w:val="0"/>
                <w:sz w:val="15"/>
              </w:rPr>
              <w:t>Use a documented deterministic winner rule only when evidence supports it; otherwise flag/quarantine.</w:t>
            </w:r>
          </w:p>
        </w:tc>
        <w:tc>
          <w:tcPr>
            <w:tcW w:type="dxa" w:w="3960"/>
            <w:vAlign w:val="center"/>
            <w:shd w:fill="F1F5F8"/>
          </w:tcPr>
          <w:p>
            <w:pPr>
              <w:spacing w:after="0"/>
            </w:pPr>
            <w:r/>
            <w:r>
              <w:rPr>
                <w:rFonts w:ascii="Aptos" w:hAnsi="Aptos"/>
                <w:b w:val="0"/>
                <w:sz w:val="15"/>
              </w:rPr>
              <w:t>Do not invent recency or trust fields that are not present.</w:t>
            </w:r>
          </w:p>
        </w:tc>
      </w:tr>
      <w:tr>
        <w:tc>
          <w:tcPr>
            <w:tcW w:type="dxa" w:w="1656"/>
            <w:vAlign w:val="center"/>
          </w:tcPr>
          <w:p>
            <w:pPr>
              <w:spacing w:after="0"/>
            </w:pPr>
            <w:r/>
            <w:r>
              <w:rPr>
                <w:rFonts w:ascii="Aptos" w:hAnsi="Aptos"/>
                <w:b w:val="0"/>
                <w:sz w:val="15"/>
              </w:rPr>
              <w:t>Supplier rating</w:t>
            </w:r>
          </w:p>
        </w:tc>
        <w:tc>
          <w:tcPr>
            <w:tcW w:type="dxa" w:w="4464"/>
            <w:vAlign w:val="center"/>
          </w:tcPr>
          <w:p>
            <w:pPr>
              <w:spacing w:after="0"/>
            </w:pPr>
            <w:r/>
            <w:r>
              <w:rPr>
                <w:rFonts w:ascii="Aptos" w:hAnsi="Aptos"/>
                <w:b w:val="0"/>
                <w:sz w:val="15"/>
              </w:rPr>
              <w:t>Normalize rating values to a common scale before combining with other scorecard measures.</w:t>
            </w:r>
          </w:p>
        </w:tc>
        <w:tc>
          <w:tcPr>
            <w:tcW w:type="dxa" w:w="3960"/>
            <w:vAlign w:val="center"/>
          </w:tcPr>
          <w:p>
            <w:pPr>
              <w:spacing w:after="0"/>
            </w:pPr>
            <w:r/>
            <w:r>
              <w:rPr>
                <w:rFonts w:ascii="Aptos" w:hAnsi="Aptos"/>
                <w:b w:val="0"/>
                <w:sz w:val="15"/>
              </w:rPr>
              <w:t>Infer the scale only from observed values and document the normalization.</w:t>
            </w:r>
          </w:p>
        </w:tc>
      </w:tr>
      <w:tr>
        <w:tc>
          <w:tcPr>
            <w:tcW w:type="dxa" w:w="1656"/>
            <w:vAlign w:val="center"/>
            <w:shd w:fill="F1F5F8"/>
          </w:tcPr>
          <w:p>
            <w:pPr>
              <w:spacing w:after="0"/>
            </w:pPr>
            <w:r/>
            <w:r>
              <w:rPr>
                <w:rFonts w:ascii="Aptos" w:hAnsi="Aptos"/>
                <w:b w:val="0"/>
                <w:sz w:val="15"/>
              </w:rPr>
              <w:t>Customer segment</w:t>
            </w:r>
          </w:p>
        </w:tc>
        <w:tc>
          <w:tcPr>
            <w:tcW w:type="dxa" w:w="4464"/>
            <w:vAlign w:val="center"/>
            <w:shd w:fill="F1F5F8"/>
          </w:tcPr>
          <w:p>
            <w:pPr>
              <w:spacing w:after="0"/>
            </w:pPr>
            <w:r/>
            <w:r>
              <w:rPr>
                <w:rFonts w:ascii="Aptos" w:hAnsi="Aptos"/>
                <w:b w:val="0"/>
                <w:sz w:val="15"/>
              </w:rPr>
              <w:t>Standardize known segment labels while preserving an explicit Unknown/Unclassified bucket where needed.</w:t>
            </w:r>
          </w:p>
        </w:tc>
        <w:tc>
          <w:tcPr>
            <w:tcW w:type="dxa" w:w="3960"/>
            <w:vAlign w:val="center"/>
            <w:shd w:fill="F1F5F8"/>
          </w:tcPr>
          <w:p>
            <w:pPr>
              <w:spacing w:after="0"/>
            </w:pPr>
            <w:r/>
            <w:r>
              <w:rPr>
                <w:rFonts w:ascii="Aptos" w:hAnsi="Aptos"/>
                <w:b w:val="0"/>
                <w:sz w:val="15"/>
              </w:rPr>
              <w:t>Do not assign a segment based on spend unless clearly separated from the source-assigned segment.</w:t>
            </w:r>
          </w:p>
        </w:tc>
      </w:tr>
    </w:tbl>
    <w:p>
      <w:pPr>
        <w:spacing w:after="20"/>
      </w:pPr>
    </w:p>
    <w:p>
      <w:pPr>
        <w:pStyle w:val="Heading1"/>
      </w:pPr>
      <w:r>
        <w:t>7. KPI Delivery Plan</w:t>
      </w:r>
    </w:p>
    <w:tbl>
      <w:tblPr>
        <w:tblStyle w:val="TableGrid"/>
        <w:tblW w:type="auto" w:w="0"/>
        <w:jc w:val="center"/>
        <w:tblLook w:firstColumn="1" w:firstRow="1" w:lastColumn="0" w:lastRow="0" w:noHBand="0" w:noVBand="1" w:val="04A0"/>
      </w:tblPr>
      <w:tblGrid>
        <w:gridCol w:w="3389"/>
        <w:gridCol w:w="3389"/>
        <w:gridCol w:w="3389"/>
      </w:tblGrid>
      <w:tr>
        <w:tc>
          <w:tcPr>
            <w:tcW w:type="dxa" w:w="648"/>
            <w:vAlign w:val="center"/>
            <w:shd w:fill="17365D"/>
          </w:tcPr>
          <w:p>
            <w:pPr>
              <w:spacing w:after="0"/>
            </w:pPr>
            <w:r/>
            <w:r>
              <w:rPr>
                <w:rFonts w:ascii="Aptos" w:hAnsi="Aptos"/>
                <w:b/>
                <w:color w:val="FFFFFF"/>
                <w:sz w:val="15"/>
              </w:rPr>
              <w:t>#</w:t>
            </w:r>
          </w:p>
        </w:tc>
        <w:tc>
          <w:tcPr>
            <w:tcW w:type="dxa" w:w="2880"/>
            <w:vAlign w:val="center"/>
            <w:shd w:fill="17365D"/>
          </w:tcPr>
          <w:p>
            <w:pPr>
              <w:spacing w:after="0"/>
            </w:pPr>
            <w:r/>
            <w:r>
              <w:rPr>
                <w:rFonts w:ascii="Aptos" w:hAnsi="Aptos"/>
                <w:b/>
                <w:color w:val="FFFFFF"/>
                <w:sz w:val="15"/>
              </w:rPr>
              <w:t>KPI</w:t>
            </w:r>
          </w:p>
        </w:tc>
        <w:tc>
          <w:tcPr>
            <w:tcW w:type="dxa" w:w="6552"/>
            <w:vAlign w:val="center"/>
            <w:shd w:fill="17365D"/>
          </w:tcPr>
          <w:p>
            <w:pPr>
              <w:spacing w:after="0"/>
            </w:pPr>
            <w:r/>
            <w:r>
              <w:rPr>
                <w:rFonts w:ascii="Aptos" w:hAnsi="Aptos"/>
                <w:b/>
                <w:color w:val="FFFFFF"/>
                <w:sz w:val="15"/>
              </w:rPr>
              <w:t>Planned method / key validation</w:t>
            </w:r>
          </w:p>
        </w:tc>
      </w:tr>
      <w:tr>
        <w:tc>
          <w:tcPr>
            <w:tcW w:type="dxa" w:w="648"/>
            <w:vAlign w:val="center"/>
          </w:tcPr>
          <w:p>
            <w:pPr>
              <w:spacing w:after="0"/>
            </w:pPr>
            <w:r/>
            <w:r>
              <w:rPr>
                <w:rFonts w:ascii="Aptos" w:hAnsi="Aptos"/>
                <w:b w:val="0"/>
                <w:sz w:val="15"/>
              </w:rPr>
              <w:t>1</w:t>
            </w:r>
          </w:p>
        </w:tc>
        <w:tc>
          <w:tcPr>
            <w:tcW w:type="dxa" w:w="2880"/>
            <w:vAlign w:val="center"/>
          </w:tcPr>
          <w:p>
            <w:pPr>
              <w:spacing w:after="0"/>
            </w:pPr>
            <w:r/>
            <w:r>
              <w:rPr>
                <w:rFonts w:ascii="Aptos" w:hAnsi="Aptos"/>
                <w:b w:val="0"/>
                <w:sz w:val="15"/>
              </w:rPr>
              <w:t>Monthly net revenue by product category</w:t>
            </w:r>
          </w:p>
        </w:tc>
        <w:tc>
          <w:tcPr>
            <w:tcW w:type="dxa" w:w="6552"/>
            <w:vAlign w:val="center"/>
          </w:tcPr>
          <w:p>
            <w:pPr>
              <w:spacing w:after="0"/>
            </w:pPr>
            <w:r/>
            <w:r>
              <w:rPr>
                <w:rFonts w:ascii="Aptos" w:hAnsi="Aptos"/>
                <w:b w:val="0"/>
                <w:sz w:val="15"/>
              </w:rPr>
              <w:t>Aggregate validated order-line revenue by month/category, less attributed valid refunds; reconcile totals to line-level controls.</w:t>
            </w:r>
          </w:p>
        </w:tc>
      </w:tr>
      <w:tr>
        <w:tc>
          <w:tcPr>
            <w:tcW w:type="dxa" w:w="648"/>
            <w:vAlign w:val="center"/>
            <w:shd w:fill="F1F5F8"/>
          </w:tcPr>
          <w:p>
            <w:pPr>
              <w:spacing w:after="0"/>
            </w:pPr>
            <w:r/>
            <w:r>
              <w:rPr>
                <w:rFonts w:ascii="Aptos" w:hAnsi="Aptos"/>
                <w:b w:val="0"/>
                <w:sz w:val="15"/>
              </w:rPr>
              <w:t>2</w:t>
            </w:r>
          </w:p>
        </w:tc>
        <w:tc>
          <w:tcPr>
            <w:tcW w:type="dxa" w:w="2880"/>
            <w:vAlign w:val="center"/>
            <w:shd w:fill="F1F5F8"/>
          </w:tcPr>
          <w:p>
            <w:pPr>
              <w:spacing w:after="0"/>
            </w:pPr>
            <w:r/>
            <w:r>
              <w:rPr>
                <w:rFonts w:ascii="Aptos" w:hAnsi="Aptos"/>
                <w:b w:val="0"/>
                <w:sz w:val="15"/>
              </w:rPr>
              <w:t>Top 10 customers by net lifetime value</w:t>
            </w:r>
          </w:p>
        </w:tc>
        <w:tc>
          <w:tcPr>
            <w:tcW w:type="dxa" w:w="6552"/>
            <w:vAlign w:val="center"/>
            <w:shd w:fill="F1F5F8"/>
          </w:tcPr>
          <w:p>
            <w:pPr>
              <w:spacing w:after="0"/>
            </w:pPr>
            <w:r/>
            <w:r>
              <w:rPr>
                <w:rFonts w:ascii="Aptos" w:hAnsi="Aptos"/>
                <w:b w:val="0"/>
                <w:sz w:val="15"/>
              </w:rPr>
              <w:t>Sum net spend from completed orders per customer; explicitly report treatment of orphan/ambiguous customer references.</w:t>
            </w:r>
          </w:p>
        </w:tc>
      </w:tr>
      <w:tr>
        <w:tc>
          <w:tcPr>
            <w:tcW w:type="dxa" w:w="648"/>
            <w:vAlign w:val="center"/>
          </w:tcPr>
          <w:p>
            <w:pPr>
              <w:spacing w:after="0"/>
            </w:pPr>
            <w:r/>
            <w:r>
              <w:rPr>
                <w:rFonts w:ascii="Aptos" w:hAnsi="Aptos"/>
                <w:b w:val="0"/>
                <w:sz w:val="15"/>
              </w:rPr>
              <w:t>3</w:t>
            </w:r>
          </w:p>
        </w:tc>
        <w:tc>
          <w:tcPr>
            <w:tcW w:type="dxa" w:w="2880"/>
            <w:vAlign w:val="center"/>
          </w:tcPr>
          <w:p>
            <w:pPr>
              <w:spacing w:after="0"/>
            </w:pPr>
            <w:r/>
            <w:r>
              <w:rPr>
                <w:rFonts w:ascii="Aptos" w:hAnsi="Aptos"/>
                <w:b w:val="0"/>
                <w:sz w:val="15"/>
              </w:rPr>
              <w:t>Customer segment profile</w:t>
            </w:r>
          </w:p>
        </w:tc>
        <w:tc>
          <w:tcPr>
            <w:tcW w:type="dxa" w:w="6552"/>
            <w:vAlign w:val="center"/>
          </w:tcPr>
          <w:p>
            <w:pPr>
              <w:spacing w:after="0"/>
            </w:pPr>
            <w:r/>
            <w:r>
              <w:rPr>
                <w:rFonts w:ascii="Aptos" w:hAnsi="Aptos"/>
                <w:b w:val="0"/>
                <w:sz w:val="15"/>
              </w:rPr>
              <w:t>Standardized segment; customer count and average order value per segment; define denominator and order eligibility.</w:t>
            </w:r>
          </w:p>
        </w:tc>
      </w:tr>
      <w:tr>
        <w:tc>
          <w:tcPr>
            <w:tcW w:type="dxa" w:w="648"/>
            <w:vAlign w:val="center"/>
            <w:shd w:fill="F1F5F8"/>
          </w:tcPr>
          <w:p>
            <w:pPr>
              <w:spacing w:after="0"/>
            </w:pPr>
            <w:r/>
            <w:r>
              <w:rPr>
                <w:rFonts w:ascii="Aptos" w:hAnsi="Aptos"/>
                <w:b w:val="0"/>
                <w:sz w:val="15"/>
              </w:rPr>
              <w:t>4</w:t>
            </w:r>
          </w:p>
        </w:tc>
        <w:tc>
          <w:tcPr>
            <w:tcW w:type="dxa" w:w="2880"/>
            <w:vAlign w:val="center"/>
            <w:shd w:fill="F1F5F8"/>
          </w:tcPr>
          <w:p>
            <w:pPr>
              <w:spacing w:after="0"/>
            </w:pPr>
            <w:r/>
            <w:r>
              <w:rPr>
                <w:rFonts w:ascii="Aptos" w:hAnsi="Aptos"/>
                <w:b w:val="0"/>
                <w:sz w:val="15"/>
              </w:rPr>
              <w:t>MoM order volume and revenue growth by channel</w:t>
            </w:r>
          </w:p>
        </w:tc>
        <w:tc>
          <w:tcPr>
            <w:tcW w:type="dxa" w:w="6552"/>
            <w:vAlign w:val="center"/>
            <w:shd w:fill="F1F5F8"/>
          </w:tcPr>
          <w:p>
            <w:pPr>
              <w:spacing w:after="0"/>
            </w:pPr>
            <w:r/>
            <w:r>
              <w:rPr>
                <w:rFonts w:ascii="Aptos" w:hAnsi="Aptos"/>
                <w:b w:val="0"/>
                <w:sz w:val="15"/>
              </w:rPr>
              <w:t>Standardize Web/App/Store channel labels; aggregate by month/channel; use lag/window calculation and handle zero/absent prior-month values explicitly.</w:t>
            </w:r>
          </w:p>
        </w:tc>
      </w:tr>
      <w:tr>
        <w:tc>
          <w:tcPr>
            <w:tcW w:type="dxa" w:w="648"/>
            <w:vAlign w:val="center"/>
          </w:tcPr>
          <w:p>
            <w:pPr>
              <w:spacing w:after="0"/>
            </w:pPr>
            <w:r/>
            <w:r>
              <w:rPr>
                <w:rFonts w:ascii="Aptos" w:hAnsi="Aptos"/>
                <w:b w:val="0"/>
                <w:sz w:val="15"/>
              </w:rPr>
              <w:t>5</w:t>
            </w:r>
          </w:p>
        </w:tc>
        <w:tc>
          <w:tcPr>
            <w:tcW w:type="dxa" w:w="2880"/>
            <w:vAlign w:val="center"/>
          </w:tcPr>
          <w:p>
            <w:pPr>
              <w:spacing w:after="0"/>
            </w:pPr>
            <w:r/>
            <w:r>
              <w:rPr>
                <w:rFonts w:ascii="Aptos" w:hAnsi="Aptos"/>
                <w:b w:val="0"/>
                <w:sz w:val="15"/>
              </w:rPr>
              <w:t>Product return rate: top/bottom 10</w:t>
            </w:r>
          </w:p>
        </w:tc>
        <w:tc>
          <w:tcPr>
            <w:tcW w:type="dxa" w:w="6552"/>
            <w:vAlign w:val="center"/>
          </w:tcPr>
          <w:p>
            <w:pPr>
              <w:spacing w:after="0"/>
            </w:pPr>
            <w:r/>
            <w:r>
              <w:rPr>
                <w:rFonts w:ascii="Aptos" w:hAnsi="Aptos"/>
                <w:b w:val="0"/>
                <w:sz w:val="15"/>
              </w:rPr>
              <w:t>Aggregate returned quantity and ordered quantity by product; apply a minimum-volume threshold and disclose it.</w:t>
            </w:r>
          </w:p>
        </w:tc>
      </w:tr>
      <w:tr>
        <w:tc>
          <w:tcPr>
            <w:tcW w:type="dxa" w:w="648"/>
            <w:vAlign w:val="center"/>
            <w:shd w:fill="F1F5F8"/>
          </w:tcPr>
          <w:p>
            <w:pPr>
              <w:spacing w:after="0"/>
            </w:pPr>
            <w:r/>
            <w:r>
              <w:rPr>
                <w:rFonts w:ascii="Aptos" w:hAnsi="Aptos"/>
                <w:b w:val="0"/>
                <w:sz w:val="15"/>
              </w:rPr>
              <w:t>6</w:t>
            </w:r>
          </w:p>
        </w:tc>
        <w:tc>
          <w:tcPr>
            <w:tcW w:type="dxa" w:w="2880"/>
            <w:vAlign w:val="center"/>
            <w:shd w:fill="F1F5F8"/>
          </w:tcPr>
          <w:p>
            <w:pPr>
              <w:spacing w:after="0"/>
            </w:pPr>
            <w:r/>
            <w:r>
              <w:rPr>
                <w:rFonts w:ascii="Aptos" w:hAnsi="Aptos"/>
                <w:b w:val="0"/>
                <w:sz w:val="15"/>
              </w:rPr>
              <w:t>Supplier performance scorecard</w:t>
            </w:r>
          </w:p>
        </w:tc>
        <w:tc>
          <w:tcPr>
            <w:tcW w:type="dxa" w:w="6552"/>
            <w:vAlign w:val="center"/>
            <w:shd w:fill="F1F5F8"/>
          </w:tcPr>
          <w:p>
            <w:pPr>
              <w:spacing w:after="0"/>
            </w:pPr>
            <w:r/>
            <w:r>
              <w:rPr>
                <w:rFonts w:ascii="Aptos" w:hAnsi="Aptos"/>
                <w:b w:val="0"/>
                <w:sz w:val="15"/>
              </w:rPr>
              <w:t>Combine product revenue contribution, product return rate, and normalized supplier quality rating; document component scaling/weighting.</w:t>
            </w:r>
          </w:p>
        </w:tc>
      </w:tr>
      <w:tr>
        <w:tc>
          <w:tcPr>
            <w:tcW w:type="dxa" w:w="648"/>
            <w:vAlign w:val="center"/>
          </w:tcPr>
          <w:p>
            <w:pPr>
              <w:spacing w:after="0"/>
            </w:pPr>
            <w:r/>
            <w:r>
              <w:rPr>
                <w:rFonts w:ascii="Aptos" w:hAnsi="Aptos"/>
                <w:b w:val="0"/>
                <w:sz w:val="15"/>
              </w:rPr>
              <w:t>7</w:t>
            </w:r>
          </w:p>
        </w:tc>
        <w:tc>
          <w:tcPr>
            <w:tcW w:type="dxa" w:w="2880"/>
            <w:vAlign w:val="center"/>
          </w:tcPr>
          <w:p>
            <w:pPr>
              <w:spacing w:after="0"/>
            </w:pPr>
            <w:r/>
            <w:r>
              <w:rPr>
                <w:rFonts w:ascii="Aptos" w:hAnsi="Aptos"/>
                <w:b w:val="0"/>
                <w:sz w:val="15"/>
              </w:rPr>
              <w:t>Customer repeat-purchase rate within 90 days</w:t>
            </w:r>
          </w:p>
        </w:tc>
        <w:tc>
          <w:tcPr>
            <w:tcW w:type="dxa" w:w="6552"/>
            <w:vAlign w:val="center"/>
          </w:tcPr>
          <w:p>
            <w:pPr>
              <w:spacing w:after="0"/>
            </w:pPr>
            <w:r/>
            <w:r>
              <w:rPr>
                <w:rFonts w:ascii="Aptos" w:hAnsi="Aptos"/>
                <w:b w:val="0"/>
                <w:sz w:val="15"/>
              </w:rPr>
              <w:t>For each customer, identify first completed order and whether another completed order occurs within the next 90 days; define customer cohort/denominator.</w:t>
            </w:r>
          </w:p>
        </w:tc>
      </w:tr>
      <w:tr>
        <w:tc>
          <w:tcPr>
            <w:tcW w:type="dxa" w:w="648"/>
            <w:vAlign w:val="center"/>
            <w:shd w:fill="F1F5F8"/>
          </w:tcPr>
          <w:p>
            <w:pPr>
              <w:spacing w:after="0"/>
            </w:pPr>
            <w:r/>
            <w:r>
              <w:rPr>
                <w:rFonts w:ascii="Aptos" w:hAnsi="Aptos"/>
                <w:b w:val="0"/>
                <w:sz w:val="15"/>
              </w:rPr>
              <w:t>8</w:t>
            </w:r>
          </w:p>
        </w:tc>
        <w:tc>
          <w:tcPr>
            <w:tcW w:type="dxa" w:w="2880"/>
            <w:vAlign w:val="center"/>
            <w:shd w:fill="F1F5F8"/>
          </w:tcPr>
          <w:p>
            <w:pPr>
              <w:spacing w:after="0"/>
            </w:pPr>
            <w:r/>
            <w:r>
              <w:rPr>
                <w:rFonts w:ascii="Aptos" w:hAnsi="Aptos"/>
                <w:b w:val="0"/>
                <w:sz w:val="15"/>
              </w:rPr>
              <w:t>Payment reconciliation and anomaly report</w:t>
            </w:r>
          </w:p>
        </w:tc>
        <w:tc>
          <w:tcPr>
            <w:tcW w:type="dxa" w:w="6552"/>
            <w:vAlign w:val="center"/>
            <w:shd w:fill="F1F5F8"/>
          </w:tcPr>
          <w:p>
            <w:pPr>
              <w:spacing w:after="0"/>
            </w:pPr>
            <w:r/>
            <w:r>
              <w:rPr>
                <w:rFonts w:ascii="Aptos" w:hAnsi="Aptos"/>
                <w:b w:val="0"/>
                <w:sz w:val="15"/>
              </w:rPr>
              <w:t>Aggregate successful payment events by order; compare to computed order total; flag under/over-payment, duplicate/conflicting payment rows, and no successful payment.</w:t>
            </w:r>
          </w:p>
        </w:tc>
      </w:tr>
      <w:tr>
        <w:tc>
          <w:tcPr>
            <w:tcW w:type="dxa" w:w="648"/>
            <w:vAlign w:val="center"/>
          </w:tcPr>
          <w:p>
            <w:pPr>
              <w:spacing w:after="0"/>
            </w:pPr>
            <w:r/>
            <w:r>
              <w:rPr>
                <w:rFonts w:ascii="Aptos" w:hAnsi="Aptos"/>
                <w:b w:val="0"/>
                <w:sz w:val="15"/>
              </w:rPr>
              <w:t>Stretch</w:t>
            </w:r>
          </w:p>
        </w:tc>
        <w:tc>
          <w:tcPr>
            <w:tcW w:type="dxa" w:w="2880"/>
            <w:vAlign w:val="center"/>
          </w:tcPr>
          <w:p>
            <w:pPr>
              <w:spacing w:after="0"/>
            </w:pPr>
            <w:r/>
            <w:r>
              <w:rPr>
                <w:rFonts w:ascii="Aptos" w:hAnsi="Aptos"/>
                <w:b w:val="0"/>
                <w:sz w:val="15"/>
              </w:rPr>
              <w:t>Margin risk report</w:t>
            </w:r>
          </w:p>
        </w:tc>
        <w:tc>
          <w:tcPr>
            <w:tcW w:type="dxa" w:w="6552"/>
            <w:vAlign w:val="center"/>
          </w:tcPr>
          <w:p>
            <w:pPr>
              <w:spacing w:after="0"/>
            </w:pPr>
            <w:r/>
            <w:r>
              <w:rPr>
                <w:rFonts w:ascii="Aptos" w:hAnsi="Aptos"/>
                <w:b w:val="0"/>
                <w:sz w:val="15"/>
              </w:rPr>
              <w:t>Compare effective selling price after discount with product cost; quantify quantity and revenue exposed only after required KPIs are validated.</w:t>
            </w:r>
          </w:p>
        </w:tc>
      </w:tr>
    </w:tbl>
    <w:p>
      <w:pPr>
        <w:spacing w:after="20"/>
      </w:pPr>
    </w:p>
    <w:p>
      <w:pPr>
        <w:pStyle w:val="Heading1"/>
      </w:pPr>
      <w:r>
        <w:t>8. Data Quality and Validation Controls</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17365D"/>
          </w:tcPr>
          <w:p>
            <w:pPr>
              <w:spacing w:after="0"/>
            </w:pPr>
            <w:r/>
            <w:r>
              <w:rPr>
                <w:rFonts w:ascii="Aptos" w:hAnsi="Aptos"/>
                <w:b/>
                <w:color w:val="FFFFFF"/>
                <w:sz w:val="16"/>
              </w:rPr>
              <w:t>Control</w:t>
            </w:r>
          </w:p>
        </w:tc>
        <w:tc>
          <w:tcPr>
            <w:tcW w:type="dxa" w:w="7704"/>
            <w:vAlign w:val="center"/>
            <w:shd w:fill="17365D"/>
          </w:tcPr>
          <w:p>
            <w:pPr>
              <w:spacing w:after="0"/>
            </w:pPr>
            <w:r/>
            <w:r>
              <w:rPr>
                <w:rFonts w:ascii="Aptos" w:hAnsi="Aptos"/>
                <w:b/>
                <w:color w:val="FFFFFF"/>
                <w:sz w:val="16"/>
              </w:rPr>
              <w:t>Example evidence produced</w:t>
            </w:r>
          </w:p>
        </w:tc>
      </w:tr>
      <w:tr>
        <w:tc>
          <w:tcPr>
            <w:tcW w:type="dxa" w:w="2376"/>
            <w:vAlign w:val="center"/>
          </w:tcPr>
          <w:p>
            <w:pPr>
              <w:spacing w:after="0"/>
            </w:pPr>
            <w:r/>
            <w:r>
              <w:rPr>
                <w:rFonts w:ascii="Aptos" w:hAnsi="Aptos"/>
                <w:b w:val="0"/>
                <w:sz w:val="16"/>
              </w:rPr>
              <w:t>Schema and parsing</w:t>
            </w:r>
          </w:p>
        </w:tc>
        <w:tc>
          <w:tcPr>
            <w:tcW w:type="dxa" w:w="7704"/>
            <w:vAlign w:val="center"/>
          </w:tcPr>
          <w:p>
            <w:pPr>
              <w:spacing w:after="0"/>
            </w:pPr>
            <w:r/>
            <w:r>
              <w:rPr>
                <w:rFonts w:ascii="Aptos" w:hAnsi="Aptos"/>
                <w:b w:val="0"/>
                <w:sz w:val="16"/>
              </w:rPr>
              <w:t>Expected columns, inferred/target data types, parse failures.</w:t>
            </w:r>
          </w:p>
        </w:tc>
      </w:tr>
      <w:tr>
        <w:tc>
          <w:tcPr>
            <w:tcW w:type="dxa" w:w="2376"/>
            <w:vAlign w:val="center"/>
            <w:shd w:fill="F1F5F8"/>
          </w:tcPr>
          <w:p>
            <w:pPr>
              <w:spacing w:after="0"/>
            </w:pPr>
            <w:r/>
            <w:r>
              <w:rPr>
                <w:rFonts w:ascii="Aptos" w:hAnsi="Aptos"/>
                <w:b w:val="0"/>
                <w:sz w:val="16"/>
              </w:rPr>
              <w:t>Uniqueness</w:t>
            </w:r>
          </w:p>
        </w:tc>
        <w:tc>
          <w:tcPr>
            <w:tcW w:type="dxa" w:w="7704"/>
            <w:vAlign w:val="center"/>
            <w:shd w:fill="F1F5F8"/>
          </w:tcPr>
          <w:p>
            <w:pPr>
              <w:spacing w:after="0"/>
            </w:pPr>
            <w:r/>
            <w:r>
              <w:rPr>
                <w:rFonts w:ascii="Aptos" w:hAnsi="Aptos"/>
                <w:b w:val="0"/>
                <w:sz w:val="16"/>
              </w:rPr>
              <w:t>Duplicate counts by natural key; exact duplicates vs conflicting duplicates.</w:t>
            </w:r>
          </w:p>
        </w:tc>
      </w:tr>
      <w:tr>
        <w:tc>
          <w:tcPr>
            <w:tcW w:type="dxa" w:w="2376"/>
            <w:vAlign w:val="center"/>
          </w:tcPr>
          <w:p>
            <w:pPr>
              <w:spacing w:after="0"/>
            </w:pPr>
            <w:r/>
            <w:r>
              <w:rPr>
                <w:rFonts w:ascii="Aptos" w:hAnsi="Aptos"/>
                <w:b w:val="0"/>
                <w:sz w:val="16"/>
              </w:rPr>
              <w:t>Completeness</w:t>
            </w:r>
          </w:p>
        </w:tc>
        <w:tc>
          <w:tcPr>
            <w:tcW w:type="dxa" w:w="7704"/>
            <w:vAlign w:val="center"/>
          </w:tcPr>
          <w:p>
            <w:pPr>
              <w:spacing w:after="0"/>
            </w:pPr>
            <w:r/>
            <w:r>
              <w:rPr>
                <w:rFonts w:ascii="Aptos" w:hAnsi="Aptos"/>
                <w:b w:val="0"/>
                <w:sz w:val="16"/>
              </w:rPr>
              <w:t>Null/blank counts for KPI-critical columns.</w:t>
            </w:r>
          </w:p>
        </w:tc>
      </w:tr>
      <w:tr>
        <w:tc>
          <w:tcPr>
            <w:tcW w:type="dxa" w:w="2376"/>
            <w:vAlign w:val="center"/>
            <w:shd w:fill="F1F5F8"/>
          </w:tcPr>
          <w:p>
            <w:pPr>
              <w:spacing w:after="0"/>
            </w:pPr>
            <w:r/>
            <w:r>
              <w:rPr>
                <w:rFonts w:ascii="Aptos" w:hAnsi="Aptos"/>
                <w:b w:val="0"/>
                <w:sz w:val="16"/>
              </w:rPr>
              <w:t>Validity</w:t>
            </w:r>
          </w:p>
        </w:tc>
        <w:tc>
          <w:tcPr>
            <w:tcW w:type="dxa" w:w="7704"/>
            <w:vAlign w:val="center"/>
            <w:shd w:fill="F1F5F8"/>
          </w:tcPr>
          <w:p>
            <w:pPr>
              <w:spacing w:after="0"/>
            </w:pPr>
            <w:r/>
            <w:r>
              <w:rPr>
                <w:rFonts w:ascii="Aptos" w:hAnsi="Aptos"/>
                <w:b w:val="0"/>
                <w:sz w:val="16"/>
              </w:rPr>
              <w:t>Invalid dates, negative/implausible values, invalid discount/rating ranges, unsupported status values.</w:t>
            </w:r>
          </w:p>
        </w:tc>
      </w:tr>
      <w:tr>
        <w:tc>
          <w:tcPr>
            <w:tcW w:type="dxa" w:w="2376"/>
            <w:vAlign w:val="center"/>
          </w:tcPr>
          <w:p>
            <w:pPr>
              <w:spacing w:after="0"/>
            </w:pPr>
            <w:r/>
            <w:r>
              <w:rPr>
                <w:rFonts w:ascii="Aptos" w:hAnsi="Aptos"/>
                <w:b w:val="0"/>
                <w:sz w:val="16"/>
              </w:rPr>
              <w:t>Referential integrity</w:t>
            </w:r>
          </w:p>
        </w:tc>
        <w:tc>
          <w:tcPr>
            <w:tcW w:type="dxa" w:w="7704"/>
            <w:vAlign w:val="center"/>
          </w:tcPr>
          <w:p>
            <w:pPr>
              <w:spacing w:after="0"/>
            </w:pPr>
            <w:r/>
            <w:r>
              <w:rPr>
                <w:rFonts w:ascii="Aptos" w:hAnsi="Aptos"/>
                <w:b w:val="0"/>
                <w:sz w:val="16"/>
              </w:rPr>
              <w:t>Orphan customer/order/product/supplier/order-item references and handling decision.</w:t>
            </w:r>
          </w:p>
        </w:tc>
      </w:tr>
      <w:tr>
        <w:tc>
          <w:tcPr>
            <w:tcW w:type="dxa" w:w="2376"/>
            <w:vAlign w:val="center"/>
            <w:shd w:fill="F1F5F8"/>
          </w:tcPr>
          <w:p>
            <w:pPr>
              <w:spacing w:after="0"/>
            </w:pPr>
            <w:r/>
            <w:r>
              <w:rPr>
                <w:rFonts w:ascii="Aptos" w:hAnsi="Aptos"/>
                <w:b w:val="0"/>
                <w:sz w:val="16"/>
              </w:rPr>
              <w:t>Financial reconciliation</w:t>
            </w:r>
          </w:p>
        </w:tc>
        <w:tc>
          <w:tcPr>
            <w:tcW w:type="dxa" w:w="7704"/>
            <w:vAlign w:val="center"/>
            <w:shd w:fill="F1F5F8"/>
          </w:tcPr>
          <w:p>
            <w:pPr>
              <w:spacing w:after="0"/>
            </w:pPr>
            <w:r/>
            <w:r>
              <w:rPr>
                <w:rFonts w:ascii="Aptos" w:hAnsi="Aptos"/>
                <w:b w:val="0"/>
                <w:sz w:val="16"/>
              </w:rPr>
              <w:t>Source line_total vs recomputed value; line revenue vs refund-adjusted revenue; order totals vs payment totals.</w:t>
            </w:r>
          </w:p>
        </w:tc>
      </w:tr>
      <w:tr>
        <w:tc>
          <w:tcPr>
            <w:tcW w:type="dxa" w:w="2376"/>
            <w:vAlign w:val="center"/>
          </w:tcPr>
          <w:p>
            <w:pPr>
              <w:spacing w:after="0"/>
            </w:pPr>
            <w:r/>
            <w:r>
              <w:rPr>
                <w:rFonts w:ascii="Aptos" w:hAnsi="Aptos"/>
                <w:b w:val="0"/>
                <w:sz w:val="16"/>
              </w:rPr>
              <w:t>Row-count accounting</w:t>
            </w:r>
          </w:p>
        </w:tc>
        <w:tc>
          <w:tcPr>
            <w:tcW w:type="dxa" w:w="7704"/>
            <w:vAlign w:val="center"/>
          </w:tcPr>
          <w:p>
            <w:pPr>
              <w:spacing w:after="0"/>
            </w:pPr>
            <w:r/>
            <w:r>
              <w:rPr>
                <w:rFonts w:ascii="Aptos" w:hAnsi="Aptos"/>
                <w:b w:val="0"/>
                <w:sz w:val="16"/>
              </w:rPr>
              <w:t>Rows read = accepted + quarantined, adjusted only for explicitly documented duplicate collapsing.</w:t>
            </w:r>
          </w:p>
        </w:tc>
      </w:tr>
      <w:tr>
        <w:tc>
          <w:tcPr>
            <w:tcW w:type="dxa" w:w="2376"/>
            <w:vAlign w:val="center"/>
            <w:shd w:fill="F1F5F8"/>
          </w:tcPr>
          <w:p>
            <w:pPr>
              <w:spacing w:after="0"/>
            </w:pPr>
            <w:r/>
            <w:r>
              <w:rPr>
                <w:rFonts w:ascii="Aptos" w:hAnsi="Aptos"/>
                <w:b w:val="0"/>
                <w:sz w:val="16"/>
              </w:rPr>
              <w:t>Repeatability</w:t>
            </w:r>
          </w:p>
        </w:tc>
        <w:tc>
          <w:tcPr>
            <w:tcW w:type="dxa" w:w="7704"/>
            <w:vAlign w:val="center"/>
            <w:shd w:fill="F1F5F8"/>
          </w:tcPr>
          <w:p>
            <w:pPr>
              <w:spacing w:after="0"/>
            </w:pPr>
            <w:r/>
            <w:r>
              <w:rPr>
                <w:rFonts w:ascii="Aptos" w:hAnsi="Aptos"/>
                <w:b w:val="0"/>
                <w:sz w:val="16"/>
              </w:rPr>
              <w:t>Clean run produces stable outputs; rerun does not append duplicate curated records.</w:t>
            </w:r>
          </w:p>
        </w:tc>
      </w:tr>
    </w:tbl>
    <w:p>
      <w:pPr>
        <w:spacing w:after="20"/>
      </w:pPr>
    </w:p>
    <w:p>
      <w:r>
        <w:t>Reject/quarantine records will include source_file, source_row or natural key where available, rule_id, reason, and batch_id. The quality report will show received, accepted, rejected/quarantined, and deduplicated counts per file.</w:t>
      </w:r>
    </w:p>
    <w:p>
      <w:pPr>
        <w:pStyle w:val="Heading1"/>
      </w:pPr>
      <w:r>
        <w:t>9. Four-Person Work Allocation</w:t>
      </w:r>
    </w:p>
    <w:tbl>
      <w:tblPr>
        <w:tblStyle w:val="TableGrid"/>
        <w:tblW w:type="auto" w:w="0"/>
        <w:jc w:val="center"/>
        <w:tblLook w:firstColumn="1" w:firstRow="1" w:lastColumn="0" w:lastRow="0" w:noHBand="0" w:noVBand="1" w:val="04A0"/>
      </w:tblPr>
      <w:tblGrid>
        <w:gridCol w:w="3389"/>
        <w:gridCol w:w="3389"/>
        <w:gridCol w:w="3389"/>
      </w:tblGrid>
      <w:tr>
        <w:tc>
          <w:tcPr>
            <w:tcW w:type="dxa" w:w="2376"/>
            <w:vAlign w:val="center"/>
            <w:shd w:fill="17365D"/>
          </w:tcPr>
          <w:p>
            <w:pPr>
              <w:spacing w:after="0"/>
            </w:pPr>
            <w:r/>
            <w:r>
              <w:rPr>
                <w:rFonts w:ascii="Aptos" w:hAnsi="Aptos"/>
                <w:b/>
                <w:color w:val="FFFFFF"/>
                <w:sz w:val="15"/>
              </w:rPr>
              <w:t>Owner</w:t>
            </w:r>
          </w:p>
        </w:tc>
        <w:tc>
          <w:tcPr>
            <w:tcW w:type="dxa" w:w="4752"/>
            <w:vAlign w:val="center"/>
            <w:shd w:fill="17365D"/>
          </w:tcPr>
          <w:p>
            <w:pPr>
              <w:spacing w:after="0"/>
            </w:pPr>
            <w:r/>
            <w:r>
              <w:rPr>
                <w:rFonts w:ascii="Aptos" w:hAnsi="Aptos"/>
                <w:b/>
                <w:color w:val="FFFFFF"/>
                <w:sz w:val="15"/>
              </w:rPr>
              <w:t>Primary responsibility</w:t>
            </w:r>
          </w:p>
        </w:tc>
        <w:tc>
          <w:tcPr>
            <w:tcW w:type="dxa" w:w="2952"/>
            <w:vAlign w:val="center"/>
            <w:shd w:fill="17365D"/>
          </w:tcPr>
          <w:p>
            <w:pPr>
              <w:spacing w:after="0"/>
            </w:pPr>
            <w:r/>
            <w:r>
              <w:rPr>
                <w:rFonts w:ascii="Aptos" w:hAnsi="Aptos"/>
                <w:b/>
                <w:color w:val="FFFFFF"/>
                <w:sz w:val="15"/>
              </w:rPr>
              <w:t>Expected output</w:t>
            </w:r>
          </w:p>
        </w:tc>
      </w:tr>
      <w:tr>
        <w:tc>
          <w:tcPr>
            <w:tcW w:type="dxa" w:w="2376"/>
            <w:vAlign w:val="center"/>
          </w:tcPr>
          <w:p>
            <w:pPr>
              <w:spacing w:after="0"/>
            </w:pPr>
            <w:r/>
            <w:r>
              <w:rPr>
                <w:rFonts w:ascii="Aptos" w:hAnsi="Aptos"/>
                <w:b w:val="0"/>
                <w:sz w:val="15"/>
              </w:rPr>
              <w:t>Person 1 — Integration / model lead</w:t>
            </w:r>
          </w:p>
        </w:tc>
        <w:tc>
          <w:tcPr>
            <w:tcW w:type="dxa" w:w="4752"/>
            <w:vAlign w:val="center"/>
          </w:tcPr>
          <w:p>
            <w:pPr>
              <w:spacing w:after="0"/>
            </w:pPr>
            <w:r/>
            <w:r>
              <w:rPr>
                <w:rFonts w:ascii="Aptos" w:hAnsi="Aptos"/>
                <w:b w:val="0"/>
                <w:sz w:val="15"/>
              </w:rPr>
              <w:t>Project skeleton, ingestion interface, shared schema/data contract, dimensional model, integration, end-to-end tests, README/architecture.</w:t>
            </w:r>
          </w:p>
        </w:tc>
        <w:tc>
          <w:tcPr>
            <w:tcW w:type="dxa" w:w="2952"/>
            <w:vAlign w:val="center"/>
          </w:tcPr>
          <w:p>
            <w:pPr>
              <w:spacing w:after="0"/>
            </w:pPr>
            <w:r/>
            <w:r>
              <w:rPr>
                <w:rFonts w:ascii="Aptos" w:hAnsi="Aptos"/>
                <w:b w:val="0"/>
                <w:sz w:val="15"/>
              </w:rPr>
              <w:t>Runnable pipeline and coherent final submission.</w:t>
            </w:r>
          </w:p>
        </w:tc>
      </w:tr>
      <w:tr>
        <w:tc>
          <w:tcPr>
            <w:tcW w:type="dxa" w:w="2376"/>
            <w:vAlign w:val="center"/>
            <w:shd w:fill="F1F5F8"/>
          </w:tcPr>
          <w:p>
            <w:pPr>
              <w:spacing w:after="0"/>
            </w:pPr>
            <w:r/>
            <w:r>
              <w:rPr>
                <w:rFonts w:ascii="Aptos" w:hAnsi="Aptos"/>
                <w:b w:val="0"/>
                <w:sz w:val="15"/>
              </w:rPr>
              <w:t>Person 2 — Data quality / cleansing</w:t>
            </w:r>
          </w:p>
        </w:tc>
        <w:tc>
          <w:tcPr>
            <w:tcW w:type="dxa" w:w="4752"/>
            <w:vAlign w:val="center"/>
            <w:shd w:fill="F1F5F8"/>
          </w:tcPr>
          <w:p>
            <w:pPr>
              <w:spacing w:after="0"/>
            </w:pPr>
            <w:r/>
            <w:r>
              <w:rPr>
                <w:rFonts w:ascii="Aptos" w:hAnsi="Aptos"/>
                <w:b w:val="0"/>
                <w:sz w:val="15"/>
              </w:rPr>
              <w:t>Profile all seven files; implement standardization, duplicate rules, validations, rejects and before/after metrics.</w:t>
            </w:r>
          </w:p>
        </w:tc>
        <w:tc>
          <w:tcPr>
            <w:tcW w:type="dxa" w:w="2952"/>
            <w:vAlign w:val="center"/>
            <w:shd w:fill="F1F5F8"/>
          </w:tcPr>
          <w:p>
            <w:pPr>
              <w:spacing w:after="0"/>
            </w:pPr>
            <w:r/>
            <w:r>
              <w:rPr>
                <w:rFonts w:ascii="Aptos" w:hAnsi="Aptos"/>
                <w:b w:val="0"/>
                <w:sz w:val="15"/>
              </w:rPr>
              <w:t>Cleansed tables plus quality report and rule notes.</w:t>
            </w:r>
          </w:p>
        </w:tc>
      </w:tr>
      <w:tr>
        <w:tc>
          <w:tcPr>
            <w:tcW w:type="dxa" w:w="2376"/>
            <w:vAlign w:val="center"/>
          </w:tcPr>
          <w:p>
            <w:pPr>
              <w:spacing w:after="0"/>
            </w:pPr>
            <w:r/>
            <w:r>
              <w:rPr>
                <w:rFonts w:ascii="Aptos" w:hAnsi="Aptos"/>
                <w:b w:val="0"/>
                <w:sz w:val="15"/>
              </w:rPr>
              <w:t>Person 3 — Revenue / customer KPIs</w:t>
            </w:r>
          </w:p>
        </w:tc>
        <w:tc>
          <w:tcPr>
            <w:tcW w:type="dxa" w:w="4752"/>
            <w:vAlign w:val="center"/>
          </w:tcPr>
          <w:p>
            <w:pPr>
              <w:spacing w:after="0"/>
            </w:pPr>
            <w:r/>
            <w:r>
              <w:rPr>
                <w:rFonts w:ascii="Aptos" w:hAnsi="Aptos"/>
                <w:b w:val="0"/>
                <w:sz w:val="15"/>
              </w:rPr>
              <w:t>KPIs 1–4: monthly category revenue, customer net LTV, segment profile, MoM channel trends.</w:t>
            </w:r>
          </w:p>
        </w:tc>
        <w:tc>
          <w:tcPr>
            <w:tcW w:type="dxa" w:w="2952"/>
            <w:vAlign w:val="center"/>
          </w:tcPr>
          <w:p>
            <w:pPr>
              <w:spacing w:after="0"/>
            </w:pPr>
            <w:r/>
            <w:r>
              <w:rPr>
                <w:rFonts w:ascii="Aptos" w:hAnsi="Aptos"/>
                <w:b w:val="0"/>
                <w:sz w:val="15"/>
              </w:rPr>
              <w:t>KPI module and validation checks.</w:t>
            </w:r>
          </w:p>
        </w:tc>
      </w:tr>
      <w:tr>
        <w:tc>
          <w:tcPr>
            <w:tcW w:type="dxa" w:w="2376"/>
            <w:vAlign w:val="center"/>
            <w:shd w:fill="F1F5F8"/>
          </w:tcPr>
          <w:p>
            <w:pPr>
              <w:spacing w:after="0"/>
            </w:pPr>
            <w:r/>
            <w:r>
              <w:rPr>
                <w:rFonts w:ascii="Aptos" w:hAnsi="Aptos"/>
                <w:b w:val="0"/>
                <w:sz w:val="15"/>
              </w:rPr>
              <w:t>Person 4 — Returns / supplier / payment KPIs</w:t>
            </w:r>
          </w:p>
        </w:tc>
        <w:tc>
          <w:tcPr>
            <w:tcW w:type="dxa" w:w="4752"/>
            <w:vAlign w:val="center"/>
            <w:shd w:fill="F1F5F8"/>
          </w:tcPr>
          <w:p>
            <w:pPr>
              <w:spacing w:after="0"/>
            </w:pPr>
            <w:r/>
            <w:r>
              <w:rPr>
                <w:rFonts w:ascii="Aptos" w:hAnsi="Aptos"/>
                <w:b w:val="0"/>
                <w:sz w:val="15"/>
              </w:rPr>
              <w:t>KPIs 5–8: return rate, supplier scorecard, repeat purchase, payment reconciliation.</w:t>
            </w:r>
          </w:p>
        </w:tc>
        <w:tc>
          <w:tcPr>
            <w:tcW w:type="dxa" w:w="2952"/>
            <w:vAlign w:val="center"/>
            <w:shd w:fill="F1F5F8"/>
          </w:tcPr>
          <w:p>
            <w:pPr>
              <w:spacing w:after="0"/>
            </w:pPr>
            <w:r/>
            <w:r>
              <w:rPr>
                <w:rFonts w:ascii="Aptos" w:hAnsi="Aptos"/>
                <w:b w:val="0"/>
                <w:sz w:val="15"/>
              </w:rPr>
              <w:t>KPI module and exception outputs.</w:t>
            </w:r>
          </w:p>
        </w:tc>
      </w:tr>
    </w:tbl>
    <w:p>
      <w:pPr>
        <w:spacing w:after="20"/>
      </w:pPr>
    </w:p>
    <w:p>
      <w:pPr>
        <w:pStyle w:val="Heading2"/>
      </w:pPr>
      <w:r>
        <w:t>Shared contract to agree before parallel coding</w:t>
      </w:r>
    </w:p>
    <w:p>
      <w:pPr>
        <w:pStyle w:val="ListBullet"/>
        <w:spacing w:after="40"/>
      </w:pPr>
      <w:r>
        <w:t>Natural key and output schema for each curated table.</w:t>
      </w:r>
    </w:p>
    <w:p>
      <w:pPr>
        <w:pStyle w:val="ListBullet"/>
        <w:spacing w:after="40"/>
      </w:pPr>
      <w:r>
        <w:t>Canonical status/channel/category labels and order eligibility rules.</w:t>
      </w:r>
    </w:p>
    <w:p>
      <w:pPr>
        <w:pStyle w:val="ListBullet"/>
        <w:spacing w:after="40"/>
      </w:pPr>
      <w:r>
        <w:t>Discount and line-revenue calculation; refund eligibility and attribution.</w:t>
      </w:r>
    </w:p>
    <w:p>
      <w:pPr>
        <w:pStyle w:val="ListBullet"/>
        <w:spacing w:after="40"/>
      </w:pPr>
      <w:r>
        <w:t>Duplicate/conflict resolution and orphan-reference handling.</w:t>
      </w:r>
    </w:p>
    <w:p>
      <w:pPr>
        <w:pStyle w:val="ListBullet"/>
        <w:spacing w:after="40"/>
      </w:pPr>
      <w:r>
        <w:t>Function inputs/outputs, file names, numeric precision, and how missing values are represented.</w:t>
      </w:r>
    </w:p>
    <w:p>
      <w:pPr>
        <w:pStyle w:val="Heading1"/>
      </w:pPr>
      <w:r>
        <w:t>10. Five-Hour Execution Plan</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shd w:fill="17365D"/>
          </w:tcPr>
          <w:p>
            <w:pPr>
              <w:spacing w:after="0"/>
            </w:pPr>
            <w:r/>
            <w:r>
              <w:rPr>
                <w:rFonts w:ascii="Aptos" w:hAnsi="Aptos"/>
                <w:b/>
                <w:color w:val="FFFFFF"/>
                <w:sz w:val="16"/>
              </w:rPr>
              <w:t>Elapsed time</w:t>
            </w:r>
          </w:p>
        </w:tc>
        <w:tc>
          <w:tcPr>
            <w:tcW w:type="dxa" w:w="4824"/>
            <w:vAlign w:val="center"/>
            <w:shd w:fill="17365D"/>
          </w:tcPr>
          <w:p>
            <w:pPr>
              <w:spacing w:after="0"/>
            </w:pPr>
            <w:r/>
            <w:r>
              <w:rPr>
                <w:rFonts w:ascii="Aptos" w:hAnsi="Aptos"/>
                <w:b/>
                <w:color w:val="FFFFFF"/>
                <w:sz w:val="16"/>
              </w:rPr>
              <w:t>Focus</w:t>
            </w:r>
          </w:p>
        </w:tc>
        <w:tc>
          <w:tcPr>
            <w:tcW w:type="dxa" w:w="3672"/>
            <w:vAlign w:val="center"/>
            <w:shd w:fill="17365D"/>
          </w:tcPr>
          <w:p>
            <w:pPr>
              <w:spacing w:after="0"/>
            </w:pPr>
            <w:r/>
            <w:r>
              <w:rPr>
                <w:rFonts w:ascii="Aptos" w:hAnsi="Aptos"/>
                <w:b/>
                <w:color w:val="FFFFFF"/>
                <w:sz w:val="16"/>
              </w:rPr>
              <w:t>Exit criterion</w:t>
            </w:r>
          </w:p>
        </w:tc>
      </w:tr>
      <w:tr>
        <w:tc>
          <w:tcPr>
            <w:tcW w:type="dxa" w:w="1584"/>
            <w:vAlign w:val="center"/>
          </w:tcPr>
          <w:p>
            <w:pPr>
              <w:spacing w:after="0"/>
            </w:pPr>
            <w:r/>
            <w:r>
              <w:rPr>
                <w:rFonts w:ascii="Aptos" w:hAnsi="Aptos"/>
                <w:b w:val="0"/>
                <w:sz w:val="16"/>
              </w:rPr>
              <w:t>00:00–00:20</w:t>
            </w:r>
          </w:p>
        </w:tc>
        <w:tc>
          <w:tcPr>
            <w:tcW w:type="dxa" w:w="4824"/>
            <w:vAlign w:val="center"/>
          </w:tcPr>
          <w:p>
            <w:pPr>
              <w:spacing w:after="0"/>
            </w:pPr>
            <w:r/>
            <w:r>
              <w:rPr>
                <w:rFonts w:ascii="Aptos" w:hAnsi="Aptos"/>
                <w:b w:val="0"/>
                <w:sz w:val="16"/>
              </w:rPr>
              <w:t>Kickoff, inspect files, agree shared contract and output schemas.</w:t>
            </w:r>
          </w:p>
        </w:tc>
        <w:tc>
          <w:tcPr>
            <w:tcW w:type="dxa" w:w="3672"/>
            <w:vAlign w:val="center"/>
          </w:tcPr>
          <w:p>
            <w:pPr>
              <w:spacing w:after="0"/>
            </w:pPr>
            <w:r/>
            <w:r>
              <w:rPr>
                <w:rFonts w:ascii="Aptos" w:hAnsi="Aptos"/>
                <w:b w:val="0"/>
                <w:sz w:val="16"/>
              </w:rPr>
              <w:t>Owners, keys, assumptions to verify, folder structure agreed.</w:t>
            </w:r>
          </w:p>
        </w:tc>
      </w:tr>
      <w:tr>
        <w:tc>
          <w:tcPr>
            <w:tcW w:type="dxa" w:w="1584"/>
            <w:vAlign w:val="center"/>
            <w:shd w:fill="F1F5F8"/>
          </w:tcPr>
          <w:p>
            <w:pPr>
              <w:spacing w:after="0"/>
            </w:pPr>
            <w:r/>
            <w:r>
              <w:rPr>
                <w:rFonts w:ascii="Aptos" w:hAnsi="Aptos"/>
                <w:b w:val="0"/>
                <w:sz w:val="16"/>
              </w:rPr>
              <w:t>00:20–01:30</w:t>
            </w:r>
          </w:p>
        </w:tc>
        <w:tc>
          <w:tcPr>
            <w:tcW w:type="dxa" w:w="4824"/>
            <w:vAlign w:val="center"/>
            <w:shd w:fill="F1F5F8"/>
          </w:tcPr>
          <w:p>
            <w:pPr>
              <w:spacing w:after="0"/>
            </w:pPr>
            <w:r/>
            <w:r>
              <w:rPr>
                <w:rFonts w:ascii="Aptos" w:hAnsi="Aptos"/>
                <w:b w:val="0"/>
                <w:sz w:val="16"/>
              </w:rPr>
              <w:t>Parallel work: ingestion/model skeleton, profiling/cleansing, KPI logic on agreed interfaces.</w:t>
            </w:r>
          </w:p>
        </w:tc>
        <w:tc>
          <w:tcPr>
            <w:tcW w:type="dxa" w:w="3672"/>
            <w:vAlign w:val="center"/>
            <w:shd w:fill="F1F5F8"/>
          </w:tcPr>
          <w:p>
            <w:pPr>
              <w:spacing w:after="0"/>
            </w:pPr>
            <w:r/>
            <w:r>
              <w:rPr>
                <w:rFonts w:ascii="Aptos" w:hAnsi="Aptos"/>
                <w:b w:val="0"/>
                <w:sz w:val="16"/>
              </w:rPr>
              <w:t>Each stream has a working first pass.</w:t>
            </w:r>
          </w:p>
        </w:tc>
      </w:tr>
      <w:tr>
        <w:tc>
          <w:tcPr>
            <w:tcW w:type="dxa" w:w="1584"/>
            <w:vAlign w:val="center"/>
          </w:tcPr>
          <w:p>
            <w:pPr>
              <w:spacing w:after="0"/>
            </w:pPr>
            <w:r/>
            <w:r>
              <w:rPr>
                <w:rFonts w:ascii="Aptos" w:hAnsi="Aptos"/>
                <w:b w:val="0"/>
                <w:sz w:val="16"/>
              </w:rPr>
              <w:t>01:30–02:30</w:t>
            </w:r>
          </w:p>
        </w:tc>
        <w:tc>
          <w:tcPr>
            <w:tcW w:type="dxa" w:w="4824"/>
            <w:vAlign w:val="center"/>
          </w:tcPr>
          <w:p>
            <w:pPr>
              <w:spacing w:after="0"/>
            </w:pPr>
            <w:r/>
            <w:r>
              <w:rPr>
                <w:rFonts w:ascii="Aptos" w:hAnsi="Aptos"/>
                <w:b w:val="0"/>
                <w:sz w:val="16"/>
              </w:rPr>
              <w:t>Integrate against actual cleaned data; resolve schema and join mismatches.</w:t>
            </w:r>
          </w:p>
        </w:tc>
        <w:tc>
          <w:tcPr>
            <w:tcW w:type="dxa" w:w="3672"/>
            <w:vAlign w:val="center"/>
          </w:tcPr>
          <w:p>
            <w:pPr>
              <w:spacing w:after="0"/>
            </w:pPr>
            <w:r/>
            <w:r>
              <w:rPr>
                <w:rFonts w:ascii="Aptos" w:hAnsi="Aptos"/>
                <w:b w:val="0"/>
                <w:sz w:val="16"/>
              </w:rPr>
              <w:t>End-to-end flow runs at least once.</w:t>
            </w:r>
          </w:p>
        </w:tc>
      </w:tr>
      <w:tr>
        <w:tc>
          <w:tcPr>
            <w:tcW w:type="dxa" w:w="1584"/>
            <w:vAlign w:val="center"/>
            <w:shd w:fill="F1F5F8"/>
          </w:tcPr>
          <w:p>
            <w:pPr>
              <w:spacing w:after="0"/>
            </w:pPr>
            <w:r/>
            <w:r>
              <w:rPr>
                <w:rFonts w:ascii="Aptos" w:hAnsi="Aptos"/>
                <w:b w:val="0"/>
                <w:sz w:val="16"/>
              </w:rPr>
              <w:t>02:30–04:15</w:t>
            </w:r>
          </w:p>
        </w:tc>
        <w:tc>
          <w:tcPr>
            <w:tcW w:type="dxa" w:w="4824"/>
            <w:vAlign w:val="center"/>
            <w:shd w:fill="F1F5F8"/>
          </w:tcPr>
          <w:p>
            <w:pPr>
              <w:spacing w:after="0"/>
            </w:pPr>
            <w:r/>
            <w:r>
              <w:rPr>
                <w:rFonts w:ascii="Aptos" w:hAnsi="Aptos"/>
                <w:b w:val="0"/>
                <w:sz w:val="16"/>
              </w:rPr>
              <w:t>Complete and validate KPI outputs; reconcile revenue, returns, and payments.</w:t>
            </w:r>
          </w:p>
        </w:tc>
        <w:tc>
          <w:tcPr>
            <w:tcW w:type="dxa" w:w="3672"/>
            <w:vAlign w:val="center"/>
            <w:shd w:fill="F1F5F8"/>
          </w:tcPr>
          <w:p>
            <w:pPr>
              <w:spacing w:after="0"/>
            </w:pPr>
            <w:r/>
            <w:r>
              <w:rPr>
                <w:rFonts w:ascii="Aptos" w:hAnsi="Aptos"/>
                <w:b w:val="0"/>
                <w:sz w:val="16"/>
              </w:rPr>
              <w:t>Core KPIs and quality evidence available; fix correctness issues first.</w:t>
            </w:r>
          </w:p>
        </w:tc>
      </w:tr>
      <w:tr>
        <w:tc>
          <w:tcPr>
            <w:tcW w:type="dxa" w:w="1584"/>
            <w:vAlign w:val="center"/>
          </w:tcPr>
          <w:p>
            <w:pPr>
              <w:spacing w:after="0"/>
            </w:pPr>
            <w:r/>
            <w:r>
              <w:rPr>
                <w:rFonts w:ascii="Aptos" w:hAnsi="Aptos"/>
                <w:b w:val="0"/>
                <w:sz w:val="16"/>
              </w:rPr>
              <w:t>04:15–05:00</w:t>
            </w:r>
          </w:p>
        </w:tc>
        <w:tc>
          <w:tcPr>
            <w:tcW w:type="dxa" w:w="4824"/>
            <w:vAlign w:val="center"/>
          </w:tcPr>
          <w:p>
            <w:pPr>
              <w:spacing w:after="0"/>
            </w:pPr>
            <w:r/>
            <w:r>
              <w:rPr>
                <w:rFonts w:ascii="Aptos" w:hAnsi="Aptos"/>
                <w:b w:val="0"/>
                <w:sz w:val="16"/>
              </w:rPr>
              <w:t>Freeze scope, clean-run test, README, assumptions, AI log, demo preparation.</w:t>
            </w:r>
          </w:p>
        </w:tc>
        <w:tc>
          <w:tcPr>
            <w:tcW w:type="dxa" w:w="3672"/>
            <w:vAlign w:val="center"/>
          </w:tcPr>
          <w:p>
            <w:pPr>
              <w:spacing w:after="0"/>
            </w:pPr>
            <w:r/>
            <w:r>
              <w:rPr>
                <w:rFonts w:ascii="Aptos" w:hAnsi="Aptos"/>
                <w:b w:val="0"/>
                <w:sz w:val="16"/>
              </w:rPr>
              <w:t>Reproducible run and clear explanation of decisions.</w:t>
            </w:r>
          </w:p>
        </w:tc>
      </w:tr>
    </w:tbl>
    <w:p>
      <w:pPr>
        <w:spacing w:after="20"/>
      </w:pPr>
    </w:p>
    <w:p>
      <w:pPr>
        <w:pStyle w:val="Heading1"/>
      </w:pPr>
      <w:r>
        <w:t>11. Responsible AI Use and Documentation</w:t>
      </w:r>
    </w:p>
    <w:p>
      <w:r>
        <w:t>AI may be used to accelerate code scaffolding, propose validation cases, and review KPI logic. All generated code and business rules will be inspected and tested against the supplied records before use. The final AI usage log will be completed with the actual tools and prompts used; this design document does not claim that unperformed validation has already occurred.</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17365D"/>
          </w:tcPr>
          <w:p>
            <w:pPr>
              <w:spacing w:after="0"/>
            </w:pPr>
            <w:r/>
            <w:r>
              <w:rPr>
                <w:rFonts w:ascii="Aptos" w:hAnsi="Aptos"/>
                <w:b/>
                <w:color w:val="FFFFFF"/>
                <w:sz w:val="16"/>
              </w:rPr>
              <w:t>Log item</w:t>
            </w:r>
          </w:p>
        </w:tc>
        <w:tc>
          <w:tcPr>
            <w:tcW w:type="dxa" w:w="7704"/>
            <w:vAlign w:val="center"/>
            <w:shd w:fill="17365D"/>
          </w:tcPr>
          <w:p>
            <w:pPr>
              <w:spacing w:after="0"/>
            </w:pPr>
            <w:r/>
            <w:r>
              <w:rPr>
                <w:rFonts w:ascii="Aptos" w:hAnsi="Aptos"/>
                <w:b/>
                <w:color w:val="FFFFFF"/>
                <w:sz w:val="16"/>
              </w:rPr>
              <w:t>What will be recorded</w:t>
            </w:r>
          </w:p>
        </w:tc>
      </w:tr>
      <w:tr>
        <w:tc>
          <w:tcPr>
            <w:tcW w:type="dxa" w:w="2376"/>
            <w:vAlign w:val="center"/>
          </w:tcPr>
          <w:p>
            <w:pPr>
              <w:spacing w:after="0"/>
            </w:pPr>
            <w:r/>
            <w:r>
              <w:rPr>
                <w:rFonts w:ascii="Aptos" w:hAnsi="Aptos"/>
                <w:b w:val="0"/>
                <w:sz w:val="16"/>
              </w:rPr>
              <w:t>Tool and purpose</w:t>
            </w:r>
          </w:p>
        </w:tc>
        <w:tc>
          <w:tcPr>
            <w:tcW w:type="dxa" w:w="7704"/>
            <w:vAlign w:val="center"/>
          </w:tcPr>
          <w:p>
            <w:pPr>
              <w:spacing w:after="0"/>
            </w:pPr>
            <w:r/>
            <w:r>
              <w:rPr>
                <w:rFonts w:ascii="Aptos" w:hAnsi="Aptos"/>
                <w:b w:val="0"/>
                <w:sz w:val="16"/>
              </w:rPr>
              <w:t>Tool name and whether used for code drafting, debugging, data-quality rule ideas, or explanation.</w:t>
            </w:r>
          </w:p>
        </w:tc>
      </w:tr>
      <w:tr>
        <w:tc>
          <w:tcPr>
            <w:tcW w:type="dxa" w:w="2376"/>
            <w:vAlign w:val="center"/>
            <w:shd w:fill="F1F5F8"/>
          </w:tcPr>
          <w:p>
            <w:pPr>
              <w:spacing w:after="0"/>
            </w:pPr>
            <w:r/>
            <w:r>
              <w:rPr>
                <w:rFonts w:ascii="Aptos" w:hAnsi="Aptos"/>
                <w:b w:val="0"/>
                <w:sz w:val="16"/>
              </w:rPr>
              <w:t>Representative prompts</w:t>
            </w:r>
          </w:p>
        </w:tc>
        <w:tc>
          <w:tcPr>
            <w:tcW w:type="dxa" w:w="7704"/>
            <w:vAlign w:val="center"/>
            <w:shd w:fill="F1F5F8"/>
          </w:tcPr>
          <w:p>
            <w:pPr>
              <w:spacing w:after="0"/>
            </w:pPr>
            <w:r/>
            <w:r>
              <w:rPr>
                <w:rFonts w:ascii="Aptos" w:hAnsi="Aptos"/>
                <w:b w:val="0"/>
                <w:sz w:val="16"/>
              </w:rPr>
              <w:t>Two or three real prompts used during implementation.</w:t>
            </w:r>
          </w:p>
        </w:tc>
      </w:tr>
      <w:tr>
        <w:tc>
          <w:tcPr>
            <w:tcW w:type="dxa" w:w="2376"/>
            <w:vAlign w:val="center"/>
          </w:tcPr>
          <w:p>
            <w:pPr>
              <w:spacing w:after="0"/>
            </w:pPr>
            <w:r/>
            <w:r>
              <w:rPr>
                <w:rFonts w:ascii="Aptos" w:hAnsi="Aptos"/>
                <w:b w:val="0"/>
                <w:sz w:val="16"/>
              </w:rPr>
              <w:t>Validation</w:t>
            </w:r>
          </w:p>
        </w:tc>
        <w:tc>
          <w:tcPr>
            <w:tcW w:type="dxa" w:w="7704"/>
            <w:vAlign w:val="center"/>
          </w:tcPr>
          <w:p>
            <w:pPr>
              <w:spacing w:after="0"/>
            </w:pPr>
            <w:r/>
            <w:r>
              <w:rPr>
                <w:rFonts w:ascii="Aptos" w:hAnsi="Aptos"/>
                <w:b w:val="0"/>
                <w:sz w:val="16"/>
              </w:rPr>
              <w:t>Checks run, sample cases reviewed, reconciliations performed, code corrected/rejected, and rationale.</w:t>
            </w:r>
          </w:p>
        </w:tc>
      </w:tr>
      <w:tr>
        <w:tc>
          <w:tcPr>
            <w:tcW w:type="dxa" w:w="2376"/>
            <w:vAlign w:val="center"/>
            <w:shd w:fill="F1F5F8"/>
          </w:tcPr>
          <w:p>
            <w:pPr>
              <w:spacing w:after="0"/>
            </w:pPr>
            <w:r/>
            <w:r>
              <w:rPr>
                <w:rFonts w:ascii="Aptos" w:hAnsi="Aptos"/>
                <w:b w:val="0"/>
                <w:sz w:val="16"/>
              </w:rPr>
              <w:t>Human decision</w:t>
            </w:r>
          </w:p>
        </w:tc>
        <w:tc>
          <w:tcPr>
            <w:tcW w:type="dxa" w:w="7704"/>
            <w:vAlign w:val="center"/>
            <w:shd w:fill="F1F5F8"/>
          </w:tcPr>
          <w:p>
            <w:pPr>
              <w:spacing w:after="0"/>
            </w:pPr>
            <w:r/>
            <w:r>
              <w:rPr>
                <w:rFonts w:ascii="Aptos" w:hAnsi="Aptos"/>
                <w:b w:val="0"/>
                <w:sz w:val="16"/>
              </w:rPr>
              <w:t>Business assumptions accepted, modified, or rejected by the team, with reasons.</w:t>
            </w:r>
          </w:p>
        </w:tc>
      </w:tr>
    </w:tbl>
    <w:p>
      <w:pPr>
        <w:spacing w:after="20"/>
      </w:pPr>
    </w:p>
    <w:p>
      <w:pPr>
        <w:pStyle w:val="Heading1"/>
      </w:pPr>
      <w:r>
        <w:t>12. Risks, Trade-offs, and Success Criteria</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365D"/>
          </w:tcPr>
          <w:p>
            <w:pPr>
              <w:spacing w:after="0"/>
            </w:pPr>
            <w:r/>
            <w:r>
              <w:rPr>
                <w:rFonts w:ascii="Aptos" w:hAnsi="Aptos"/>
                <w:b/>
                <w:color w:val="FFFFFF"/>
                <w:sz w:val="16"/>
              </w:rPr>
              <w:t>Risk / trade-off</w:t>
            </w:r>
          </w:p>
        </w:tc>
        <w:tc>
          <w:tcPr>
            <w:tcW w:type="dxa" w:w="7200"/>
            <w:vAlign w:val="center"/>
            <w:shd w:fill="17365D"/>
          </w:tcPr>
          <w:p>
            <w:pPr>
              <w:spacing w:after="0"/>
            </w:pPr>
            <w:r/>
            <w:r>
              <w:rPr>
                <w:rFonts w:ascii="Aptos" w:hAnsi="Aptos"/>
                <w:b/>
                <w:color w:val="FFFFFF"/>
                <w:sz w:val="16"/>
              </w:rPr>
              <w:t>Mitigation</w:t>
            </w:r>
          </w:p>
        </w:tc>
      </w:tr>
      <w:tr>
        <w:tc>
          <w:tcPr>
            <w:tcW w:type="dxa" w:w="2880"/>
            <w:vAlign w:val="center"/>
          </w:tcPr>
          <w:p>
            <w:pPr>
              <w:spacing w:after="0"/>
            </w:pPr>
            <w:r/>
            <w:r>
              <w:rPr>
                <w:rFonts w:ascii="Aptos" w:hAnsi="Aptos"/>
                <w:b w:val="0"/>
                <w:sz w:val="16"/>
              </w:rPr>
              <w:t>Five-hour time limit</w:t>
            </w:r>
          </w:p>
        </w:tc>
        <w:tc>
          <w:tcPr>
            <w:tcW w:type="dxa" w:w="7200"/>
            <w:vAlign w:val="center"/>
          </w:tcPr>
          <w:p>
            <w:pPr>
              <w:spacing w:after="0"/>
            </w:pPr>
            <w:r/>
            <w:r>
              <w:rPr>
                <w:rFonts w:ascii="Aptos" w:hAnsi="Aptos"/>
                <w:b w:val="0"/>
                <w:sz w:val="16"/>
              </w:rPr>
              <w:t>Build a clean data foundation first; prioritize correct required KPIs over the optional stretch KPI.</w:t>
            </w:r>
          </w:p>
        </w:tc>
      </w:tr>
      <w:tr>
        <w:tc>
          <w:tcPr>
            <w:tcW w:type="dxa" w:w="2880"/>
            <w:vAlign w:val="center"/>
            <w:shd w:fill="F1F5F8"/>
          </w:tcPr>
          <w:p>
            <w:pPr>
              <w:spacing w:after="0"/>
            </w:pPr>
            <w:r/>
            <w:r>
              <w:rPr>
                <w:rFonts w:ascii="Aptos" w:hAnsi="Aptos"/>
                <w:b w:val="0"/>
                <w:sz w:val="16"/>
              </w:rPr>
              <w:t>Ambiguous financial fields</w:t>
            </w:r>
          </w:p>
        </w:tc>
        <w:tc>
          <w:tcPr>
            <w:tcW w:type="dxa" w:w="7200"/>
            <w:vAlign w:val="center"/>
            <w:shd w:fill="F1F5F8"/>
          </w:tcPr>
          <w:p>
            <w:pPr>
              <w:spacing w:after="0"/>
            </w:pPr>
            <w:r/>
            <w:r>
              <w:rPr>
                <w:rFonts w:ascii="Aptos" w:hAnsi="Aptos"/>
                <w:b w:val="0"/>
                <w:sz w:val="16"/>
              </w:rPr>
              <w:t>Compare recomputed values with source totals; document the chosen calculation and edge cases.</w:t>
            </w:r>
          </w:p>
        </w:tc>
      </w:tr>
      <w:tr>
        <w:tc>
          <w:tcPr>
            <w:tcW w:type="dxa" w:w="2880"/>
            <w:vAlign w:val="center"/>
          </w:tcPr>
          <w:p>
            <w:pPr>
              <w:spacing w:after="0"/>
            </w:pPr>
            <w:r/>
            <w:r>
              <w:rPr>
                <w:rFonts w:ascii="Aptos" w:hAnsi="Aptos"/>
                <w:b w:val="0"/>
                <w:sz w:val="16"/>
              </w:rPr>
              <w:t>Join fan-out and double counting</w:t>
            </w:r>
          </w:p>
        </w:tc>
        <w:tc>
          <w:tcPr>
            <w:tcW w:type="dxa" w:w="7200"/>
            <w:vAlign w:val="center"/>
          </w:tcPr>
          <w:p>
            <w:pPr>
              <w:spacing w:after="0"/>
            </w:pPr>
            <w:r/>
            <w:r>
              <w:rPr>
                <w:rFonts w:ascii="Aptos" w:hAnsi="Aptos"/>
                <w:b w:val="0"/>
                <w:sz w:val="16"/>
              </w:rPr>
              <w:t>Aggregate payments and returns independently at their natural grains before joining.</w:t>
            </w:r>
          </w:p>
        </w:tc>
      </w:tr>
      <w:tr>
        <w:tc>
          <w:tcPr>
            <w:tcW w:type="dxa" w:w="2880"/>
            <w:vAlign w:val="center"/>
            <w:shd w:fill="F1F5F8"/>
          </w:tcPr>
          <w:p>
            <w:pPr>
              <w:spacing w:after="0"/>
            </w:pPr>
            <w:r/>
            <w:r>
              <w:rPr>
                <w:rFonts w:ascii="Aptos" w:hAnsi="Aptos"/>
                <w:b w:val="0"/>
                <w:sz w:val="16"/>
              </w:rPr>
              <w:t>Conflicting duplicates</w:t>
            </w:r>
          </w:p>
        </w:tc>
        <w:tc>
          <w:tcPr>
            <w:tcW w:type="dxa" w:w="7200"/>
            <w:vAlign w:val="center"/>
            <w:shd w:fill="F1F5F8"/>
          </w:tcPr>
          <w:p>
            <w:pPr>
              <w:spacing w:after="0"/>
            </w:pPr>
            <w:r/>
            <w:r>
              <w:rPr>
                <w:rFonts w:ascii="Aptos" w:hAnsi="Aptos"/>
                <w:b w:val="0"/>
                <w:sz w:val="16"/>
              </w:rPr>
              <w:t>Avoid arbitrary drop_duplicates; document deterministic resolution or quarantine.</w:t>
            </w:r>
          </w:p>
        </w:tc>
      </w:tr>
      <w:tr>
        <w:tc>
          <w:tcPr>
            <w:tcW w:type="dxa" w:w="2880"/>
            <w:vAlign w:val="center"/>
          </w:tcPr>
          <w:p>
            <w:pPr>
              <w:spacing w:after="0"/>
            </w:pPr>
            <w:r/>
            <w:r>
              <w:rPr>
                <w:rFonts w:ascii="Aptos" w:hAnsi="Aptos"/>
                <w:b w:val="0"/>
                <w:sz w:val="16"/>
              </w:rPr>
              <w:t>Incomplete historical customer data</w:t>
            </w:r>
          </w:p>
        </w:tc>
        <w:tc>
          <w:tcPr>
            <w:tcW w:type="dxa" w:w="7200"/>
            <w:vAlign w:val="center"/>
          </w:tcPr>
          <w:p>
            <w:pPr>
              <w:spacing w:after="0"/>
            </w:pPr>
            <w:r/>
            <w:r>
              <w:rPr>
                <w:rFonts w:ascii="Aptos" w:hAnsi="Aptos"/>
                <w:b w:val="0"/>
                <w:sz w:val="16"/>
              </w:rPr>
              <w:t>Implement Type 2 only when source evidence supports it; state snapshot limitations.</w:t>
            </w:r>
          </w:p>
        </w:tc>
      </w:tr>
      <w:tr>
        <w:tc>
          <w:tcPr>
            <w:tcW w:type="dxa" w:w="2880"/>
            <w:vAlign w:val="center"/>
            <w:shd w:fill="F1F5F8"/>
          </w:tcPr>
          <w:p>
            <w:pPr>
              <w:spacing w:after="0"/>
            </w:pPr>
            <w:r/>
            <w:r>
              <w:rPr>
                <w:rFonts w:ascii="Aptos" w:hAnsi="Aptos"/>
                <w:b w:val="0"/>
                <w:sz w:val="16"/>
              </w:rPr>
              <w:t>Different team implementations</w:t>
            </w:r>
          </w:p>
        </w:tc>
        <w:tc>
          <w:tcPr>
            <w:tcW w:type="dxa" w:w="7200"/>
            <w:vAlign w:val="center"/>
            <w:shd w:fill="F1F5F8"/>
          </w:tcPr>
          <w:p>
            <w:pPr>
              <w:spacing w:after="0"/>
            </w:pPr>
            <w:r/>
            <w:r>
              <w:rPr>
                <w:rFonts w:ascii="Aptos" w:hAnsi="Aptos"/>
                <w:b w:val="0"/>
                <w:sz w:val="16"/>
              </w:rPr>
              <w:t>Freeze the shared contract early and integrate before the final hour.</w:t>
            </w:r>
          </w:p>
        </w:tc>
      </w:tr>
    </w:tbl>
    <w:p>
      <w:pPr>
        <w:spacing w:after="20"/>
      </w:pPr>
    </w:p>
    <w:p>
      <w:pPr>
        <w:pStyle w:val="Heading2"/>
      </w:pPr>
      <w:r>
        <w:t>Definition of done</w:t>
      </w:r>
    </w:p>
    <w:p>
      <w:pPr>
        <w:pStyle w:val="ListBullet"/>
        <w:spacing w:after="40"/>
      </w:pPr>
      <w:r>
        <w:t>A clean, reproducible raw-to-curated run completes without manual row edits.</w:t>
      </w:r>
    </w:p>
    <w:p>
      <w:pPr>
        <w:pStyle w:val="ListBullet"/>
        <w:spacing w:after="40"/>
      </w:pPr>
      <w:r>
        <w:t>The curated model has documented grain, keys, and relationships.</w:t>
      </w:r>
    </w:p>
    <w:p>
      <w:pPr>
        <w:pStyle w:val="ListBullet"/>
        <w:spacing w:after="40"/>
      </w:pPr>
      <w:r>
        <w:t>Data-quality report includes row counts and reason-coded exceptions.</w:t>
      </w:r>
    </w:p>
    <w:p>
      <w:pPr>
        <w:pStyle w:val="ListBullet"/>
        <w:spacing w:after="40"/>
      </w:pPr>
      <w:r>
        <w:t>KPI outputs are traceable to curated data and key totals reconcile.</w:t>
      </w:r>
    </w:p>
    <w:p>
      <w:pPr>
        <w:pStyle w:val="ListBullet"/>
        <w:spacing w:after="40"/>
      </w:pPr>
      <w:r>
        <w:t>Assumptions, limitations, and AI validation evidence are written down.</w:t>
      </w:r>
    </w:p>
    <w:p>
      <w:pPr>
        <w:pStyle w:val="ListBullet"/>
        <w:spacing w:after="40"/>
      </w:pPr>
      <w:r>
        <w:t>A reviewer can understand the architecture and reproduce the main results from the README.</w:t>
      </w:r>
    </w:p>
    <w:p/>
    <w:p>
      <w:pPr>
        <w:jc w:val="center"/>
      </w:pPr>
      <w:r>
        <w:rPr>
          <w:b/>
          <w:color w:val="007F86"/>
          <w:sz w:val="18"/>
        </w:rPr>
        <w:t>END OF INITIAL DESIGN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Pre-implementation design • Assumptions will be finalized after source profiling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7F86"/>
        <w:sz w:val="16"/>
      </w:rPr>
      <w:t>SHOPSPHERE  |  INITIAL SOLUTION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