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71717"/>
        </w:rPr>
      </w:pPr>
      <w:r w:rsidDel="00000000" w:rsidR="00000000" w:rsidRPr="00000000">
        <w:rPr>
          <w:b w:val="1"/>
          <w:bCs w:val="1"/>
          <w:sz w:val="26"/>
          <w:szCs w:val="26"/>
          <w:rtl w:val="0"/>
        </w:rPr>
        <w:t xml:space="preserve">Gates Masculinity Project: Scope of Work</w:t>
      </w:r>
      <w:r w:rsidDel="00000000" w:rsidR="00000000" w:rsidRPr="00000000">
        <w:rPr>
          <w:rtl w:val="0"/>
        </w:rPr>
      </w:r>
    </w:p>
    <w:p w:rsidR="00000000" w:rsidDel="00000000" w:rsidP="00000000" w:rsidRDefault="00000000" w:rsidRPr="00000000" w14:paraId="00000002">
      <w:pPr>
        <w:widowControl w:val="0"/>
        <w:spacing w:line="240" w:lineRule="auto"/>
        <w:rPr>
          <w:color w:val="171717"/>
        </w:rPr>
      </w:pPr>
      <w:r w:rsidDel="00000000" w:rsidR="00000000" w:rsidRPr="00000000">
        <w:rPr>
          <w:rtl w:val="0"/>
        </w:rPr>
      </w:r>
    </w:p>
    <w:p w:rsidR="00000000" w:rsidDel="00000000" w:rsidP="00000000" w:rsidRDefault="00000000" w:rsidRPr="00000000" w14:paraId="00000003">
      <w:pPr>
        <w:widowControl w:val="0"/>
        <w:spacing w:line="240" w:lineRule="auto"/>
        <w:rPr>
          <w:color w:val="171717"/>
        </w:rPr>
      </w:pPr>
      <w:r w:rsidDel="00000000" w:rsidR="00000000" w:rsidRPr="00000000">
        <w:rPr>
          <w:rtl w:val="0"/>
        </w:rPr>
      </w:r>
    </w:p>
    <w:p w:rsidR="00000000" w:rsidDel="00000000" w:rsidP="00000000" w:rsidRDefault="00000000" w:rsidRPr="00000000" w14:paraId="00000004">
      <w:pPr>
        <w:widowControl w:val="0"/>
        <w:spacing w:line="240" w:lineRule="auto"/>
        <w:rPr>
          <w:color w:val="171717"/>
        </w:rPr>
      </w:pPr>
      <w:r w:rsidDel="00000000" w:rsidR="00000000" w:rsidRPr="00000000">
        <w:rPr>
          <w:color w:val="171717"/>
          <w:rtl w:val="0"/>
        </w:rPr>
        <w:t xml:space="preserve">We propose a multi-method analysis of masculinity-focused media content in and adjacent to the so-called “manosphere” – an ecosystem that promotes traditional masculinity and positions itself in opposition to women and feminism. We include in our definition overlapping content related to networked masculinities that serves as an entry-point to online misogyny, which addresses masculinity and also may include self-help/wellness, sports, fitness, or style content. Thus, the study will focus on media content that explicitly or implicitly promotes regressive gender norms, with the objective of identifying </w:t>
      </w:r>
      <w:r w:rsidDel="00000000" w:rsidR="00000000" w:rsidRPr="00000000">
        <w:rPr>
          <w:b w:val="1"/>
          <w:bCs w:val="1"/>
          <w:color w:val="171717"/>
          <w:rtl w:val="0"/>
        </w:rPr>
        <w:t xml:space="preserve">core narratives</w:t>
      </w:r>
      <w:r w:rsidDel="00000000" w:rsidR="00000000" w:rsidRPr="00000000">
        <w:rPr>
          <w:color w:val="171717"/>
          <w:rtl w:val="0"/>
        </w:rPr>
        <w:t xml:space="preserve">, </w:t>
      </w:r>
      <w:r w:rsidDel="00000000" w:rsidR="00000000" w:rsidRPr="00000000">
        <w:rPr>
          <w:b w:val="1"/>
          <w:bCs w:val="1"/>
          <w:color w:val="171717"/>
          <w:rtl w:val="0"/>
        </w:rPr>
        <w:t xml:space="preserve">strategies</w:t>
      </w:r>
      <w:r w:rsidDel="00000000" w:rsidR="00000000" w:rsidRPr="00000000">
        <w:rPr>
          <w:color w:val="171717"/>
          <w:rtl w:val="0"/>
        </w:rPr>
        <w:t xml:space="preserve">, and </w:t>
      </w:r>
      <w:r w:rsidDel="00000000" w:rsidR="00000000" w:rsidRPr="00000000">
        <w:rPr>
          <w:b w:val="1"/>
          <w:bCs w:val="1"/>
          <w:color w:val="171717"/>
          <w:rtl w:val="0"/>
        </w:rPr>
        <w:t xml:space="preserve">appeals that drive engagement</w:t>
      </w:r>
      <w:r w:rsidDel="00000000" w:rsidR="00000000" w:rsidRPr="00000000">
        <w:rPr>
          <w:color w:val="171717"/>
          <w:rtl w:val="0"/>
        </w:rPr>
        <w:t xml:space="preserve">, particularly among adolescent boys and young men. </w:t>
      </w:r>
    </w:p>
    <w:p w:rsidR="00000000" w:rsidDel="00000000" w:rsidP="00000000" w:rsidRDefault="00000000" w:rsidRPr="00000000" w14:paraId="00000005">
      <w:pPr>
        <w:widowControl w:val="0"/>
        <w:spacing w:line="240" w:lineRule="auto"/>
        <w:rPr>
          <w:color w:val="171717"/>
        </w:rPr>
      </w:pPr>
      <w:r w:rsidDel="00000000" w:rsidR="00000000" w:rsidRPr="00000000">
        <w:rPr>
          <w:rtl w:val="0"/>
        </w:rPr>
      </w:r>
    </w:p>
    <w:p w:rsidR="00000000" w:rsidDel="00000000" w:rsidP="00000000" w:rsidRDefault="00000000" w:rsidRPr="00000000" w14:paraId="00000006">
      <w:pPr>
        <w:widowControl w:val="0"/>
        <w:spacing w:line="240" w:lineRule="auto"/>
        <w:rPr>
          <w:b w:val="1"/>
          <w:bCs w:val="1"/>
          <w:color w:val="171717"/>
        </w:rPr>
      </w:pPr>
      <w:r w:rsidDel="00000000" w:rsidR="00000000" w:rsidRPr="00000000">
        <w:rPr>
          <w:color w:val="171717"/>
          <w:rtl w:val="0"/>
        </w:rPr>
        <w:t xml:space="preserve">With a primary focus on masculinity-associated content in Kenya and Nigeria, the proposed analysis includes four interrelated components:</w:t>
      </w:r>
      <w:r w:rsidDel="00000000" w:rsidR="00000000" w:rsidRPr="00000000">
        <w:rPr>
          <w:b w:val="1"/>
          <w:bCs w:val="1"/>
          <w:color w:val="171717"/>
          <w:rtl w:val="0"/>
        </w:rPr>
        <w:t xml:space="preserve"> (1) a landscape analysis; (2) a content analysis; (3) an audience reception analysis; and (4) creation of a playbook of counternarratives.</w:t>
      </w:r>
    </w:p>
    <w:p w:rsidR="00000000" w:rsidDel="00000000" w:rsidP="00000000" w:rsidRDefault="00000000" w:rsidRPr="00000000" w14:paraId="00000007">
      <w:pPr>
        <w:widowControl w:val="0"/>
        <w:spacing w:line="240" w:lineRule="auto"/>
        <w:rPr>
          <w:color w:val="171717"/>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color w:val="171717"/>
        </w:rPr>
      </w:pPr>
      <w:r w:rsidDel="00000000" w:rsidR="00000000" w:rsidRPr="00000000">
        <w:rPr>
          <w:b w:val="1"/>
          <w:bCs w:val="1"/>
          <w:color w:val="171717"/>
          <w:rtl w:val="0"/>
        </w:rPr>
        <w:t xml:space="preserve">1. Landscape analysis</w:t>
      </w:r>
    </w:p>
    <w:p w:rsidR="00000000" w:rsidDel="00000000" w:rsidP="00000000" w:rsidRDefault="00000000" w:rsidRPr="00000000" w14:paraId="00000009">
      <w:pPr>
        <w:widowControl w:val="0"/>
        <w:spacing w:line="240" w:lineRule="auto"/>
        <w:ind w:left="720" w:firstLine="0"/>
        <w:rPr>
          <w:b w:val="1"/>
          <w:bCs w:val="1"/>
          <w:color w:val="171717"/>
          <w:sz w:val="14"/>
          <w:szCs w:val="14"/>
        </w:rPr>
      </w:pPr>
      <w:r w:rsidDel="00000000" w:rsidR="00000000" w:rsidRPr="00000000">
        <w:rPr>
          <w:rtl w:val="0"/>
        </w:rPr>
      </w:r>
    </w:p>
    <w:p w:rsidR="00000000" w:rsidDel="00000000" w:rsidP="00000000" w:rsidRDefault="00000000" w:rsidRPr="00000000" w14:paraId="0000000A">
      <w:pPr>
        <w:widowControl w:val="0"/>
        <w:spacing w:line="240" w:lineRule="auto"/>
        <w:rPr>
          <w:color w:val="171717"/>
        </w:rPr>
      </w:pPr>
      <w:r w:rsidDel="00000000" w:rsidR="00000000" w:rsidRPr="00000000">
        <w:rPr>
          <w:color w:val="171717"/>
          <w:rtl w:val="0"/>
        </w:rPr>
        <w:t xml:space="preserve">The landscape analysis includes a review of relevant research and other articles in the public sphere connected to masculinity-related discourse and influencers globally, but with particular emphasis on Nigeria and Kenya. The research review will investigate the forms and modalities of masculinity-related content and what is known about the audience impact of this content globally, and in Nigeria and Kenya specifically. This analysis will also include the identification of global audiences, keywords, narratives, and counternarratives and key in-country influencers, platforms, and keywords that underpin discourse in the “manosphere” and adjacent content. </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widowControl w:val="0"/>
        <w:spacing w:line="240" w:lineRule="auto"/>
        <w:rPr>
          <w:color w:val="171717"/>
        </w:rPr>
      </w:pPr>
      <w:r w:rsidDel="00000000" w:rsidR="00000000" w:rsidRPr="00000000">
        <w:rPr>
          <w:color w:val="171717"/>
          <w:rtl w:val="0"/>
        </w:rPr>
        <w:t xml:space="preserve">In order to strengthen and contextualize the research review and better understand how global masculinity narratives manifest in Kenya and Nigeria, as part of this activity we will plan and conduct up to 4 virtual roundtables and one in-person to solicit insights from researchers, grantees, and stakeholders in this space. This includes:</w:t>
      </w:r>
    </w:p>
    <w:p w:rsidR="00000000" w:rsidDel="00000000" w:rsidP="00000000" w:rsidRDefault="00000000" w:rsidRPr="00000000" w14:paraId="0000000D">
      <w:pPr>
        <w:widowControl w:val="0"/>
        <w:numPr>
          <w:ilvl w:val="0"/>
          <w:numId w:val="3"/>
        </w:numPr>
        <w:spacing w:line="240" w:lineRule="auto"/>
        <w:ind w:left="720" w:hanging="360"/>
        <w:rPr>
          <w:color w:val="171717"/>
        </w:rPr>
      </w:pPr>
      <w:r w:rsidDel="00000000" w:rsidR="00000000" w:rsidRPr="00000000">
        <w:rPr>
          <w:color w:val="171717"/>
          <w:rtl w:val="0"/>
        </w:rPr>
        <w:t xml:space="preserve">2-4 virtual roundtables (Nigeria and Kenya) with participants from Entertainment Media (EM) Hubs and Male Changemakers.</w:t>
      </w:r>
    </w:p>
    <w:p w:rsidR="00000000" w:rsidDel="00000000" w:rsidP="00000000" w:rsidRDefault="00000000" w:rsidRPr="00000000" w14:paraId="0000000E">
      <w:pPr>
        <w:widowControl w:val="0"/>
        <w:numPr>
          <w:ilvl w:val="0"/>
          <w:numId w:val="3"/>
        </w:numPr>
        <w:spacing w:line="240" w:lineRule="auto"/>
        <w:ind w:left="720" w:hanging="360"/>
        <w:rPr>
          <w:color w:val="171717"/>
        </w:rPr>
      </w:pPr>
      <w:r w:rsidDel="00000000" w:rsidR="00000000" w:rsidRPr="00000000">
        <w:rPr>
          <w:color w:val="171717"/>
          <w:rtl w:val="0"/>
        </w:rPr>
        <w:t xml:space="preserve">1 in-person LA-based roundtable (at USC) with Gates grantees and other relevant stakeholders, November 2025.</w:t>
      </w:r>
    </w:p>
    <w:p w:rsidR="00000000" w:rsidDel="00000000" w:rsidP="00000000" w:rsidRDefault="00000000" w:rsidRPr="00000000" w14:paraId="0000000F">
      <w:pPr>
        <w:widowControl w:val="0"/>
        <w:spacing w:line="240" w:lineRule="auto"/>
        <w:rPr>
          <w:color w:val="171717"/>
        </w:rPr>
      </w:pPr>
      <w:r w:rsidDel="00000000" w:rsidR="00000000" w:rsidRPr="00000000">
        <w:rPr>
          <w:rtl w:val="0"/>
        </w:rPr>
      </w:r>
    </w:p>
    <w:p w:rsidR="00000000" w:rsidDel="00000000" w:rsidP="00000000" w:rsidRDefault="00000000" w:rsidRPr="00000000" w14:paraId="00000010">
      <w:pPr>
        <w:widowControl w:val="0"/>
        <w:spacing w:line="240" w:lineRule="auto"/>
        <w:rPr>
          <w:b w:val="1"/>
          <w:bCs w:val="1"/>
          <w:color w:val="171717"/>
        </w:rPr>
      </w:pPr>
      <w:r w:rsidDel="00000000" w:rsidR="00000000" w:rsidRPr="00000000">
        <w:rPr>
          <w:b w:val="1"/>
          <w:bCs w:val="1"/>
          <w:color w:val="171717"/>
          <w:rtl w:val="0"/>
        </w:rPr>
        <w:t xml:space="preserve">2. Content analysis</w:t>
      </w:r>
    </w:p>
    <w:p w:rsidR="00000000" w:rsidDel="00000000" w:rsidP="00000000" w:rsidRDefault="00000000" w:rsidRPr="00000000" w14:paraId="00000011">
      <w:pPr>
        <w:widowControl w:val="0"/>
        <w:spacing w:line="240" w:lineRule="auto"/>
        <w:ind w:left="720" w:firstLine="0"/>
        <w:rPr>
          <w:b w:val="1"/>
          <w:bCs w:val="1"/>
          <w:color w:val="171717"/>
          <w:sz w:val="14"/>
          <w:szCs w:val="14"/>
        </w:rPr>
      </w:pPr>
      <w:r w:rsidDel="00000000" w:rsidR="00000000" w:rsidRPr="00000000">
        <w:rPr>
          <w:rtl w:val="0"/>
        </w:rPr>
      </w:r>
    </w:p>
    <w:p w:rsidR="00000000" w:rsidDel="00000000" w:rsidP="00000000" w:rsidRDefault="00000000" w:rsidRPr="00000000" w14:paraId="00000012">
      <w:pPr>
        <w:widowControl w:val="0"/>
        <w:spacing w:line="240" w:lineRule="auto"/>
        <w:rPr>
          <w:color w:val="171717"/>
        </w:rPr>
      </w:pPr>
      <w:r w:rsidDel="00000000" w:rsidR="00000000" w:rsidRPr="00000000">
        <w:rPr>
          <w:color w:val="171717"/>
          <w:rtl w:val="0"/>
        </w:rPr>
        <w:t xml:space="preserve">Informed by the landscape analysis, we will identify 6-10 high-reach content creators who are influential in the networked masculinities ecosystems of Nigeria and Kenya (3-5 per country), prioritizing those who are specifically identified in the literature. </w:t>
      </w:r>
    </w:p>
    <w:p w:rsidR="00000000" w:rsidDel="00000000" w:rsidP="00000000" w:rsidRDefault="00000000" w:rsidRPr="00000000" w14:paraId="00000013">
      <w:pPr>
        <w:widowControl w:val="0"/>
        <w:spacing w:line="240" w:lineRule="auto"/>
        <w:rPr>
          <w:color w:val="171717"/>
        </w:rPr>
      </w:pPr>
      <w:r w:rsidDel="00000000" w:rsidR="00000000" w:rsidRPr="00000000">
        <w:rPr>
          <w:rtl w:val="0"/>
        </w:rPr>
      </w:r>
    </w:p>
    <w:p w:rsidR="00000000" w:rsidDel="00000000" w:rsidP="00000000" w:rsidRDefault="00000000" w:rsidRPr="00000000" w14:paraId="00000014">
      <w:pPr>
        <w:widowControl w:val="0"/>
        <w:spacing w:line="240" w:lineRule="auto"/>
        <w:rPr>
          <w:color w:val="171717"/>
        </w:rPr>
      </w:pPr>
      <w:r w:rsidDel="00000000" w:rsidR="00000000" w:rsidRPr="00000000">
        <w:rPr>
          <w:color w:val="171717"/>
          <w:rtl w:val="0"/>
        </w:rPr>
        <w:t xml:space="preserve">For each of the selected influencers, we will analyze a sample of media outputs (including YouTube videos and posts from dominant social media platforms in the studied countries) to better understand the core topics, themes, narratives, sentiments, and rhetorical strategies used in communicating about masculinity. This content analysis will surface how different narratives, themes, and topics cluster together in the media outputs of studied influencers, thus surfacing how different entry points into this content might function. The precise breakdown of content will be informed by the landscape analysis, but we have budgeted for a total of 700 human coder hours (one potential scenario that aligns with the budget is 200 hours of audiovisual content and 1600 short-form text posts, across both countries). </w:t>
      </w:r>
    </w:p>
    <w:p w:rsidR="00000000" w:rsidDel="00000000" w:rsidP="00000000" w:rsidRDefault="00000000" w:rsidRPr="00000000" w14:paraId="00000015">
      <w:pPr>
        <w:widowControl w:val="0"/>
        <w:spacing w:line="240" w:lineRule="auto"/>
        <w:rPr>
          <w:color w:val="171717"/>
        </w:rPr>
      </w:pPr>
      <w:r w:rsidDel="00000000" w:rsidR="00000000" w:rsidRPr="00000000">
        <w:rPr>
          <w:rtl w:val="0"/>
        </w:rPr>
      </w:r>
    </w:p>
    <w:p w:rsidR="00000000" w:rsidDel="00000000" w:rsidP="00000000" w:rsidRDefault="00000000" w:rsidRPr="00000000" w14:paraId="00000016">
      <w:pPr>
        <w:widowControl w:val="0"/>
        <w:spacing w:line="240" w:lineRule="auto"/>
        <w:rPr>
          <w:color w:val="171717"/>
        </w:rPr>
      </w:pPr>
      <w:r w:rsidDel="00000000" w:rsidR="00000000" w:rsidRPr="00000000">
        <w:rPr>
          <w:color w:val="171717"/>
          <w:rtl w:val="0"/>
        </w:rPr>
        <w:t xml:space="preserve">The analysis will leverage a combination of existing large language models (LLMs) and human coding, and will include:</w:t>
      </w:r>
    </w:p>
    <w:p w:rsidR="00000000" w:rsidDel="00000000" w:rsidP="00000000" w:rsidRDefault="00000000" w:rsidRPr="00000000" w14:paraId="00000017">
      <w:pPr>
        <w:widowControl w:val="0"/>
        <w:numPr>
          <w:ilvl w:val="0"/>
          <w:numId w:val="2"/>
        </w:numPr>
        <w:spacing w:line="240" w:lineRule="auto"/>
        <w:ind w:left="720" w:hanging="360"/>
        <w:rPr>
          <w:color w:val="171717"/>
        </w:rPr>
      </w:pPr>
      <w:r w:rsidDel="00000000" w:rsidR="00000000" w:rsidRPr="00000000">
        <w:rPr>
          <w:color w:val="171717"/>
          <w:rtl w:val="0"/>
        </w:rPr>
        <w:t xml:space="preserve">Quantitative keyword and lexical analyses will be used to learn about the general structure of arguments, appeals, and word choice across the sampled content. </w:t>
      </w:r>
    </w:p>
    <w:p w:rsidR="00000000" w:rsidDel="00000000" w:rsidP="00000000" w:rsidRDefault="00000000" w:rsidRPr="00000000" w14:paraId="00000018">
      <w:pPr>
        <w:widowControl w:val="0"/>
        <w:numPr>
          <w:ilvl w:val="0"/>
          <w:numId w:val="2"/>
        </w:numPr>
        <w:spacing w:line="240" w:lineRule="auto"/>
        <w:ind w:left="720" w:hanging="360"/>
        <w:rPr>
          <w:color w:val="171717"/>
        </w:rPr>
      </w:pPr>
      <w:r w:rsidDel="00000000" w:rsidR="00000000" w:rsidRPr="00000000">
        <w:rPr>
          <w:color w:val="171717"/>
          <w:rtl w:val="0"/>
        </w:rPr>
        <w:t xml:space="preserve">Qualitative discourse analyses on a subsample of the quantitative sample will be used to understand the rhetorical tactics and devices used to convince and engage audiences.</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widowControl w:val="0"/>
        <w:spacing w:line="240" w:lineRule="auto"/>
        <w:rPr>
          <w:color w:val="171717"/>
        </w:rPr>
      </w:pPr>
      <w:r w:rsidDel="00000000" w:rsidR="00000000" w:rsidRPr="00000000">
        <w:rPr>
          <w:color w:val="171717"/>
          <w:rtl w:val="0"/>
        </w:rPr>
        <w:t xml:space="preserve">Existing LLMs, databases, and lexicons (such as </w:t>
      </w:r>
      <w:hyperlink r:id="rId6">
        <w:r w:rsidDel="00000000" w:rsidR="00000000" w:rsidRPr="00000000">
          <w:rPr>
            <w:color w:val="1155cc"/>
            <w:u w:val="single"/>
            <w:rtl w:val="0"/>
          </w:rPr>
          <w:t xml:space="preserve">HateBERT</w:t>
        </w:r>
      </w:hyperlink>
      <w:r w:rsidDel="00000000" w:rsidR="00000000" w:rsidRPr="00000000">
        <w:rPr>
          <w:color w:val="171717"/>
          <w:rtl w:val="0"/>
        </w:rPr>
        <w:t xml:space="preserve"> and the misogyny </w:t>
      </w:r>
      <w:hyperlink r:id="rId7">
        <w:r w:rsidDel="00000000" w:rsidR="00000000" w:rsidRPr="00000000">
          <w:rPr>
            <w:color w:val="1155cc"/>
            <w:u w:val="single"/>
            <w:rtl w:val="0"/>
          </w:rPr>
          <w:t xml:space="preserve">annotated database</w:t>
        </w:r>
      </w:hyperlink>
      <w:r w:rsidDel="00000000" w:rsidR="00000000" w:rsidRPr="00000000">
        <w:rPr>
          <w:color w:val="171717"/>
          <w:rtl w:val="0"/>
        </w:rPr>
        <w:t xml:space="preserve">) will be utilized by student data engineers in service of the quantitative analyses, which will be validated by human coding. Qualitative analyses will be undertaken by human coder teams with the potential aid of available computational tools (e.g., relevant LLMs or coding software). These analyses will focus on the data at hand, with scalability potential developed in later scopes. </w:t>
      </w:r>
    </w:p>
    <w:p w:rsidR="00000000" w:rsidDel="00000000" w:rsidP="00000000" w:rsidRDefault="00000000" w:rsidRPr="00000000" w14:paraId="0000001B">
      <w:pPr>
        <w:widowControl w:val="0"/>
        <w:spacing w:line="240" w:lineRule="auto"/>
        <w:rPr>
          <w:color w:val="171717"/>
        </w:rPr>
      </w:pPr>
      <w:r w:rsidDel="00000000" w:rsidR="00000000" w:rsidRPr="00000000">
        <w:rPr>
          <w:rtl w:val="0"/>
        </w:rPr>
      </w:r>
    </w:p>
    <w:p w:rsidR="00000000" w:rsidDel="00000000" w:rsidP="00000000" w:rsidRDefault="00000000" w:rsidRPr="00000000" w14:paraId="0000001C">
      <w:pPr>
        <w:widowControl w:val="0"/>
        <w:spacing w:line="240" w:lineRule="auto"/>
        <w:rPr>
          <w:b w:val="1"/>
          <w:bCs w:val="1"/>
          <w:color w:val="171717"/>
        </w:rPr>
      </w:pPr>
      <w:r w:rsidDel="00000000" w:rsidR="00000000" w:rsidRPr="00000000">
        <w:rPr>
          <w:b w:val="1"/>
          <w:bCs w:val="1"/>
          <w:color w:val="171717"/>
          <w:rtl w:val="0"/>
        </w:rPr>
        <w:t xml:space="preserve">3. Audience reception analysis</w:t>
      </w:r>
    </w:p>
    <w:p w:rsidR="00000000" w:rsidDel="00000000" w:rsidP="00000000" w:rsidRDefault="00000000" w:rsidRPr="00000000" w14:paraId="0000001D">
      <w:pPr>
        <w:widowControl w:val="0"/>
        <w:spacing w:line="240" w:lineRule="auto"/>
        <w:ind w:left="720" w:firstLine="0"/>
        <w:rPr>
          <w:b w:val="1"/>
          <w:bCs w:val="1"/>
          <w:color w:val="171717"/>
          <w:sz w:val="14"/>
          <w:szCs w:val="14"/>
        </w:rPr>
      </w:pPr>
      <w:r w:rsidDel="00000000" w:rsidR="00000000" w:rsidRPr="00000000">
        <w:rPr>
          <w:rtl w:val="0"/>
        </w:rPr>
      </w:r>
    </w:p>
    <w:p w:rsidR="00000000" w:rsidDel="00000000" w:rsidP="00000000" w:rsidRDefault="00000000" w:rsidRPr="00000000" w14:paraId="0000001E">
      <w:pPr>
        <w:widowControl w:val="0"/>
        <w:spacing w:line="240" w:lineRule="auto"/>
        <w:rPr>
          <w:color w:val="171717"/>
        </w:rPr>
      </w:pPr>
      <w:r w:rsidDel="00000000" w:rsidR="00000000" w:rsidRPr="00000000">
        <w:rPr>
          <w:color w:val="171717"/>
          <w:rtl w:val="0"/>
        </w:rPr>
        <w:t xml:space="preserve">For each media output in the content analysis sample, we will compile and analyze audience engagement metrics. Where available, we will capture view counts, impressions, comments, and re-shares. These metrics will be analyzed by country and content format, and will be correlated with quantitative content analysis variables to learn what content features (e.g., appeals, narratives) are associated with the greatest engagement.</w:t>
      </w:r>
    </w:p>
    <w:p w:rsidR="00000000" w:rsidDel="00000000" w:rsidP="00000000" w:rsidRDefault="00000000" w:rsidRPr="00000000" w14:paraId="0000001F">
      <w:pPr>
        <w:widowControl w:val="0"/>
        <w:spacing w:line="240" w:lineRule="auto"/>
        <w:rPr>
          <w:color w:val="171717"/>
        </w:rPr>
      </w:pPr>
      <w:r w:rsidDel="00000000" w:rsidR="00000000" w:rsidRPr="00000000">
        <w:rPr>
          <w:rtl w:val="0"/>
        </w:rPr>
      </w:r>
    </w:p>
    <w:p w:rsidR="00000000" w:rsidDel="00000000" w:rsidP="00000000" w:rsidRDefault="00000000" w:rsidRPr="00000000" w14:paraId="00000020">
      <w:pPr>
        <w:widowControl w:val="0"/>
        <w:spacing w:line="240" w:lineRule="auto"/>
        <w:rPr>
          <w:color w:val="171717"/>
        </w:rPr>
      </w:pPr>
      <w:r w:rsidDel="00000000" w:rsidR="00000000" w:rsidRPr="00000000">
        <w:rPr>
          <w:color w:val="171717"/>
          <w:rtl w:val="0"/>
        </w:rPr>
        <w:t xml:space="preserve">To gain a more granular understanding of audience reception, we will conduct in-depth qualitative analysis of 4-8 pieces of longform audiovisual content (e.g., YouTube podcasts, 2-4 per country), delving into the comments and discussions accompanying the content. This analysis, leveraging existing LLMs and human coding for up to 1600 comments total, will tell us more about the sentiment, emotions, and perceived impact of the content, as reported by engaged audiences. </w:t>
      </w:r>
    </w:p>
    <w:p w:rsidR="00000000" w:rsidDel="00000000" w:rsidP="00000000" w:rsidRDefault="00000000" w:rsidRPr="00000000" w14:paraId="00000021">
      <w:pPr>
        <w:widowControl w:val="0"/>
        <w:spacing w:line="240" w:lineRule="auto"/>
        <w:rPr>
          <w:color w:val="171717"/>
        </w:rPr>
      </w:pPr>
      <w:r w:rsidDel="00000000" w:rsidR="00000000" w:rsidRPr="00000000">
        <w:rPr>
          <w:rtl w:val="0"/>
        </w:rPr>
      </w:r>
    </w:p>
    <w:p w:rsidR="00000000" w:rsidDel="00000000" w:rsidP="00000000" w:rsidRDefault="00000000" w:rsidRPr="00000000" w14:paraId="00000022">
      <w:pPr>
        <w:widowControl w:val="0"/>
        <w:spacing w:line="240" w:lineRule="auto"/>
        <w:rPr>
          <w:b w:val="1"/>
          <w:bCs w:val="1"/>
          <w:color w:val="171717"/>
        </w:rPr>
      </w:pPr>
      <w:r w:rsidDel="00000000" w:rsidR="00000000" w:rsidRPr="00000000">
        <w:rPr>
          <w:b w:val="1"/>
          <w:bCs w:val="1"/>
          <w:color w:val="171717"/>
          <w:rtl w:val="0"/>
        </w:rPr>
        <w:t xml:space="preserve">4. Playbook development</w:t>
      </w:r>
    </w:p>
    <w:p w:rsidR="00000000" w:rsidDel="00000000" w:rsidP="00000000" w:rsidRDefault="00000000" w:rsidRPr="00000000" w14:paraId="00000023">
      <w:pPr>
        <w:widowControl w:val="0"/>
        <w:spacing w:line="240" w:lineRule="auto"/>
        <w:ind w:left="720" w:firstLine="0"/>
        <w:rPr>
          <w:b w:val="1"/>
          <w:bCs w:val="1"/>
          <w:color w:val="171717"/>
          <w:sz w:val="14"/>
          <w:szCs w:val="14"/>
        </w:rPr>
      </w:pPr>
      <w:r w:rsidDel="00000000" w:rsidR="00000000" w:rsidRPr="00000000">
        <w:rPr>
          <w:rtl w:val="0"/>
        </w:rPr>
      </w:r>
    </w:p>
    <w:p w:rsidR="00000000" w:rsidDel="00000000" w:rsidP="00000000" w:rsidRDefault="00000000" w:rsidRPr="00000000" w14:paraId="00000024">
      <w:pPr>
        <w:widowControl w:val="0"/>
        <w:spacing w:line="240" w:lineRule="auto"/>
        <w:rPr>
          <w:color w:val="171717"/>
        </w:rPr>
      </w:pPr>
      <w:r w:rsidDel="00000000" w:rsidR="00000000" w:rsidRPr="00000000">
        <w:rPr>
          <w:color w:val="171717"/>
          <w:rtl w:val="0"/>
        </w:rPr>
        <w:t xml:space="preserve">Drawing from the three analytic activities, we will develop a playbook to be used by EM Hubs and Male Changemakers, proposing strategies, narratives, and topics that engage adolescent boys and men in healthier and more equitable visions of masculinity. Using what we learn about existing tactics that generate engagement and resonance in relation to masculinity, the playbook will identify counternarratives that are as engaging in scope and much healthier in content, as an artifact to gather feedback from stakeholders and communities on the ground. In this phase, we propose three working group sessions: </w:t>
      </w:r>
    </w:p>
    <w:p w:rsidR="00000000" w:rsidDel="00000000" w:rsidP="00000000" w:rsidRDefault="00000000" w:rsidRPr="00000000" w14:paraId="00000025">
      <w:pPr>
        <w:widowControl w:val="0"/>
        <w:numPr>
          <w:ilvl w:val="0"/>
          <w:numId w:val="4"/>
        </w:numPr>
        <w:spacing w:line="240" w:lineRule="auto"/>
        <w:ind w:left="720" w:hanging="360"/>
        <w:rPr>
          <w:color w:val="171717"/>
        </w:rPr>
      </w:pPr>
      <w:r w:rsidDel="00000000" w:rsidR="00000000" w:rsidRPr="00000000">
        <w:rPr>
          <w:color w:val="171717"/>
          <w:rtl w:val="0"/>
        </w:rPr>
        <w:t xml:space="preserve">2 virtual roundtables with Entertainment Media hubs in Nigeria and Kenya </w:t>
      </w:r>
    </w:p>
    <w:p w:rsidR="00000000" w:rsidDel="00000000" w:rsidP="00000000" w:rsidRDefault="00000000" w:rsidRPr="00000000" w14:paraId="00000026">
      <w:pPr>
        <w:widowControl w:val="0"/>
        <w:numPr>
          <w:ilvl w:val="0"/>
          <w:numId w:val="4"/>
        </w:numPr>
        <w:spacing w:line="240" w:lineRule="auto"/>
        <w:ind w:left="720" w:hanging="360"/>
        <w:rPr>
          <w:color w:val="171717"/>
        </w:rPr>
      </w:pPr>
      <w:r w:rsidDel="00000000" w:rsidR="00000000" w:rsidRPr="00000000">
        <w:rPr>
          <w:color w:val="171717"/>
          <w:rtl w:val="0"/>
        </w:rPr>
        <w:t xml:space="preserve">1 virtual roundtable with grantees and Male Changemakers</w:t>
      </w:r>
    </w:p>
    <w:p w:rsidR="00000000" w:rsidDel="00000000" w:rsidP="00000000" w:rsidRDefault="00000000" w:rsidRPr="00000000" w14:paraId="00000027">
      <w:pPr>
        <w:widowControl w:val="0"/>
        <w:spacing w:line="240" w:lineRule="auto"/>
        <w:rPr>
          <w:color w:val="171717"/>
        </w:rPr>
      </w:pPr>
      <w:r w:rsidDel="00000000" w:rsidR="00000000" w:rsidRPr="00000000">
        <w:rPr>
          <w:rtl w:val="0"/>
        </w:rPr>
      </w:r>
    </w:p>
    <w:p w:rsidR="00000000" w:rsidDel="00000000" w:rsidP="00000000" w:rsidRDefault="00000000" w:rsidRPr="00000000" w14:paraId="00000028">
      <w:pPr>
        <w:widowControl w:val="0"/>
        <w:spacing w:line="240" w:lineRule="auto"/>
        <w:rPr>
          <w:color w:val="171717"/>
        </w:rPr>
      </w:pPr>
      <w:r w:rsidDel="00000000" w:rsidR="00000000" w:rsidRPr="00000000">
        <w:rPr>
          <w:color w:val="171717"/>
          <w:rtl w:val="0"/>
        </w:rPr>
        <w:t xml:space="preserve">These sessions will be used to collectively ideate and iterate on how our findings can feed into the playbook. Strategic terminology will also be discussed: for example, “manosphere” might not end up being a term used in the playbook. In addition, we will share findings as part of a convening organized by WIF in late 2026. In subsequent phases, the playbook can be refined based on message testing research and field testing. </w:t>
      </w:r>
    </w:p>
    <w:p w:rsidR="00000000" w:rsidDel="00000000" w:rsidP="00000000" w:rsidRDefault="00000000" w:rsidRPr="00000000" w14:paraId="00000029">
      <w:pPr>
        <w:widowControl w:val="0"/>
        <w:spacing w:line="240" w:lineRule="auto"/>
        <w:rPr>
          <w:color w:val="171717"/>
        </w:rPr>
      </w:pPr>
      <w:r w:rsidDel="00000000" w:rsidR="00000000" w:rsidRPr="00000000">
        <w:rPr>
          <w:rtl w:val="0"/>
        </w:rPr>
      </w:r>
    </w:p>
    <w:p w:rsidR="00000000" w:rsidDel="00000000" w:rsidP="00000000" w:rsidRDefault="00000000" w:rsidRPr="00000000" w14:paraId="0000002A">
      <w:pPr>
        <w:widowControl w:val="0"/>
        <w:spacing w:line="240" w:lineRule="auto"/>
        <w:rPr>
          <w:b w:val="1"/>
          <w:bCs w:val="1"/>
          <w:color w:val="171717"/>
        </w:rPr>
      </w:pPr>
      <w:r w:rsidDel="00000000" w:rsidR="00000000" w:rsidRPr="00000000">
        <w:rPr>
          <w:b w:val="1"/>
          <w:bCs w:val="1"/>
          <w:color w:val="171717"/>
          <w:rtl w:val="0"/>
        </w:rPr>
        <w:t xml:space="preserve">TIMELINE AND DELIVERABLES</w:t>
      </w:r>
    </w:p>
    <w:p w:rsidR="00000000" w:rsidDel="00000000" w:rsidP="00000000" w:rsidRDefault="00000000" w:rsidRPr="00000000" w14:paraId="0000002B">
      <w:pPr>
        <w:widowControl w:val="0"/>
        <w:spacing w:line="240" w:lineRule="auto"/>
        <w:rPr>
          <w:b w:val="1"/>
          <w:bCs w:val="1"/>
          <w:color w:val="171717"/>
        </w:rPr>
      </w:pPr>
      <w:r w:rsidDel="00000000" w:rsidR="00000000" w:rsidRPr="00000000">
        <w:rPr>
          <w:rtl w:val="0"/>
        </w:rPr>
      </w:r>
    </w:p>
    <w:p w:rsidR="00000000" w:rsidDel="00000000" w:rsidP="00000000" w:rsidRDefault="00000000" w:rsidRPr="00000000" w14:paraId="0000002C">
      <w:pPr>
        <w:widowControl w:val="0"/>
        <w:numPr>
          <w:ilvl w:val="0"/>
          <w:numId w:val="1"/>
        </w:numPr>
        <w:spacing w:line="240" w:lineRule="auto"/>
        <w:ind w:left="720" w:hanging="360"/>
        <w:rPr>
          <w:b w:val="1"/>
          <w:bCs w:val="1"/>
          <w:color w:val="171717"/>
        </w:rPr>
      </w:pPr>
      <w:r w:rsidDel="00000000" w:rsidR="00000000" w:rsidRPr="00000000">
        <w:rPr>
          <w:b w:val="1"/>
          <w:bCs w:val="1"/>
          <w:color w:val="171717"/>
          <w:rtl w:val="0"/>
        </w:rPr>
        <w:t xml:space="preserve">Phase 1 (Months 1-9; tentatively Oct 2025 - July 2026)</w:t>
      </w:r>
    </w:p>
    <w:p w:rsidR="00000000" w:rsidDel="00000000" w:rsidP="00000000" w:rsidRDefault="00000000" w:rsidRPr="00000000" w14:paraId="0000002D">
      <w:pPr>
        <w:widowControl w:val="0"/>
        <w:numPr>
          <w:ilvl w:val="1"/>
          <w:numId w:val="1"/>
        </w:numPr>
        <w:spacing w:line="240" w:lineRule="auto"/>
        <w:ind w:left="1440" w:hanging="360"/>
        <w:rPr>
          <w:color w:val="171717"/>
        </w:rPr>
      </w:pPr>
      <w:r w:rsidDel="00000000" w:rsidR="00000000" w:rsidRPr="00000000">
        <w:rPr>
          <w:color w:val="171717"/>
          <w:rtl w:val="0"/>
        </w:rPr>
        <w:t xml:space="preserve">Landscape analysis (including 2-4 virtual roundtables and 1 in-person Los Angeles roundtable, November 2025)</w:t>
      </w:r>
    </w:p>
    <w:p w:rsidR="00000000" w:rsidDel="00000000" w:rsidP="00000000" w:rsidRDefault="00000000" w:rsidRPr="00000000" w14:paraId="0000002E">
      <w:pPr>
        <w:widowControl w:val="0"/>
        <w:numPr>
          <w:ilvl w:val="1"/>
          <w:numId w:val="1"/>
        </w:numPr>
        <w:spacing w:line="240" w:lineRule="auto"/>
        <w:ind w:left="1440" w:hanging="360"/>
        <w:rPr>
          <w:color w:val="171717"/>
        </w:rPr>
      </w:pPr>
      <w:r w:rsidDel="00000000" w:rsidR="00000000" w:rsidRPr="00000000">
        <w:rPr>
          <w:color w:val="171717"/>
          <w:rtl w:val="0"/>
        </w:rPr>
        <w:t xml:space="preserve">Content analysis</w:t>
      </w:r>
    </w:p>
    <w:p w:rsidR="00000000" w:rsidDel="00000000" w:rsidP="00000000" w:rsidRDefault="00000000" w:rsidRPr="00000000" w14:paraId="0000002F">
      <w:pPr>
        <w:widowControl w:val="0"/>
        <w:numPr>
          <w:ilvl w:val="1"/>
          <w:numId w:val="1"/>
        </w:numPr>
        <w:spacing w:line="240" w:lineRule="auto"/>
        <w:ind w:left="1440" w:hanging="360"/>
        <w:rPr>
          <w:i w:val="1"/>
          <w:iCs w:val="1"/>
          <w:color w:val="171717"/>
        </w:rPr>
      </w:pPr>
      <w:r w:rsidDel="00000000" w:rsidR="00000000" w:rsidRPr="00000000">
        <w:rPr>
          <w:i w:val="1"/>
          <w:iCs w:val="1"/>
          <w:color w:val="171717"/>
          <w:rtl w:val="0"/>
        </w:rPr>
        <w:t xml:space="preserve">Deliverables</w:t>
      </w:r>
      <w:r w:rsidDel="00000000" w:rsidR="00000000" w:rsidRPr="00000000">
        <w:rPr>
          <w:color w:val="171717"/>
          <w:rtl w:val="0"/>
        </w:rPr>
        <w:t xml:space="preserve">: </w:t>
      </w:r>
      <w:r w:rsidDel="00000000" w:rsidR="00000000" w:rsidRPr="00000000">
        <w:rPr>
          <w:rtl w:val="0"/>
        </w:rPr>
      </w:r>
    </w:p>
    <w:p w:rsidR="00000000" w:rsidDel="00000000" w:rsidP="00000000" w:rsidRDefault="00000000" w:rsidRPr="00000000" w14:paraId="00000030">
      <w:pPr>
        <w:widowControl w:val="0"/>
        <w:numPr>
          <w:ilvl w:val="2"/>
          <w:numId w:val="1"/>
        </w:numPr>
        <w:spacing w:line="240" w:lineRule="auto"/>
        <w:ind w:left="2160" w:hanging="360"/>
        <w:rPr>
          <w:i w:val="1"/>
          <w:iCs w:val="1"/>
          <w:color w:val="171717"/>
        </w:rPr>
      </w:pPr>
      <w:r w:rsidDel="00000000" w:rsidR="00000000" w:rsidRPr="00000000">
        <w:rPr>
          <w:color w:val="171717"/>
          <w:rtl w:val="0"/>
        </w:rPr>
        <w:t xml:space="preserve">Internal (Gates &amp; stakeholders)</w:t>
      </w:r>
      <w:r w:rsidDel="00000000" w:rsidR="00000000" w:rsidRPr="00000000">
        <w:rPr>
          <w:b w:val="1"/>
          <w:bCs w:val="1"/>
          <w:color w:val="171717"/>
          <w:rtl w:val="0"/>
        </w:rPr>
        <w:t xml:space="preserve"> 2-3 page brief </w:t>
      </w:r>
      <w:r w:rsidDel="00000000" w:rsidR="00000000" w:rsidRPr="00000000">
        <w:rPr>
          <w:color w:val="171717"/>
          <w:rtl w:val="0"/>
        </w:rPr>
        <w:t xml:space="preserve">summarizing emergent insights from the landscape analysis (4 months; tentatively February 2026)</w:t>
      </w:r>
      <w:r w:rsidDel="00000000" w:rsidR="00000000" w:rsidRPr="00000000">
        <w:rPr>
          <w:rtl w:val="0"/>
        </w:rPr>
      </w:r>
    </w:p>
    <w:p w:rsidR="00000000" w:rsidDel="00000000" w:rsidP="00000000" w:rsidRDefault="00000000" w:rsidRPr="00000000" w14:paraId="00000031">
      <w:pPr>
        <w:widowControl w:val="0"/>
        <w:numPr>
          <w:ilvl w:val="2"/>
          <w:numId w:val="1"/>
        </w:numPr>
        <w:spacing w:line="240" w:lineRule="auto"/>
        <w:ind w:left="2160" w:hanging="360"/>
        <w:rPr>
          <w:i w:val="1"/>
          <w:iCs w:val="1"/>
          <w:color w:val="171717"/>
        </w:rPr>
      </w:pPr>
      <w:r w:rsidDel="00000000" w:rsidR="00000000" w:rsidRPr="00000000">
        <w:rPr>
          <w:color w:val="171717"/>
          <w:rtl w:val="0"/>
        </w:rPr>
        <w:t xml:space="preserve">Internal (Gates &amp; stakeholders) </w:t>
      </w:r>
      <w:r w:rsidDel="00000000" w:rsidR="00000000" w:rsidRPr="00000000">
        <w:rPr>
          <w:b w:val="1"/>
          <w:bCs w:val="1"/>
          <w:color w:val="171717"/>
          <w:rtl w:val="0"/>
        </w:rPr>
        <w:t xml:space="preserve">slide deck </w:t>
      </w:r>
      <w:r w:rsidDel="00000000" w:rsidR="00000000" w:rsidRPr="00000000">
        <w:rPr>
          <w:color w:val="171717"/>
          <w:rtl w:val="0"/>
        </w:rPr>
        <w:t xml:space="preserve">summarizing insights from the landscape analysis (6 months; tentatively April 2026)</w:t>
      </w:r>
      <w:r w:rsidDel="00000000" w:rsidR="00000000" w:rsidRPr="00000000">
        <w:rPr>
          <w:rtl w:val="0"/>
        </w:rPr>
      </w:r>
    </w:p>
    <w:p w:rsidR="00000000" w:rsidDel="00000000" w:rsidP="00000000" w:rsidRDefault="00000000" w:rsidRPr="00000000" w14:paraId="00000032">
      <w:pPr>
        <w:widowControl w:val="0"/>
        <w:numPr>
          <w:ilvl w:val="4"/>
          <w:numId w:val="1"/>
        </w:numPr>
        <w:spacing w:line="240" w:lineRule="auto"/>
        <w:ind w:left="3600" w:hanging="360"/>
        <w:rPr>
          <w:color w:val="171717"/>
        </w:rPr>
      </w:pPr>
      <w:r w:rsidDel="00000000" w:rsidR="00000000" w:rsidRPr="00000000">
        <w:rPr>
          <w:color w:val="171717"/>
          <w:rtl w:val="0"/>
        </w:rPr>
        <w:t xml:space="preserve">Internal (Gates &amp; stakeholders) </w:t>
      </w:r>
      <w:r w:rsidDel="00000000" w:rsidR="00000000" w:rsidRPr="00000000">
        <w:rPr>
          <w:b w:val="1"/>
          <w:bCs w:val="1"/>
          <w:color w:val="171717"/>
          <w:rtl w:val="0"/>
        </w:rPr>
        <w:t xml:space="preserve">slide deck</w:t>
      </w:r>
      <w:r w:rsidDel="00000000" w:rsidR="00000000" w:rsidRPr="00000000">
        <w:rPr>
          <w:color w:val="171717"/>
          <w:rtl w:val="0"/>
        </w:rPr>
        <w:t xml:space="preserve"> summarizing insights from the content analysis (8 months; tentatively June 2026) </w:t>
      </w:r>
    </w:p>
    <w:p w:rsidR="00000000" w:rsidDel="00000000" w:rsidP="00000000" w:rsidRDefault="00000000" w:rsidRPr="00000000" w14:paraId="00000033">
      <w:pPr>
        <w:widowControl w:val="0"/>
        <w:numPr>
          <w:ilvl w:val="4"/>
          <w:numId w:val="1"/>
        </w:numPr>
        <w:spacing w:line="240" w:lineRule="auto"/>
        <w:ind w:left="3600" w:hanging="360"/>
        <w:rPr>
          <w:color w:val="171717"/>
        </w:rPr>
      </w:pPr>
      <w:r w:rsidDel="00000000" w:rsidR="00000000" w:rsidRPr="00000000">
        <w:rPr>
          <w:color w:val="171717"/>
          <w:rtl w:val="0"/>
        </w:rPr>
        <w:t xml:space="preserve">Internal (Gates &amp; stakeholders) </w:t>
      </w:r>
      <w:r w:rsidDel="00000000" w:rsidR="00000000" w:rsidRPr="00000000">
        <w:rPr>
          <w:b w:val="1"/>
          <w:bCs w:val="1"/>
          <w:color w:val="171717"/>
          <w:rtl w:val="0"/>
        </w:rPr>
        <w:t xml:space="preserve">proposed structure/roadmap</w:t>
      </w:r>
      <w:r w:rsidDel="00000000" w:rsidR="00000000" w:rsidRPr="00000000">
        <w:rPr>
          <w:color w:val="171717"/>
          <w:rtl w:val="0"/>
        </w:rPr>
        <w:t xml:space="preserve"> for playbook (8 months; tentatively June 2026) </w:t>
      </w:r>
    </w:p>
    <w:p w:rsidR="00000000" w:rsidDel="00000000" w:rsidP="00000000" w:rsidRDefault="00000000" w:rsidRPr="00000000" w14:paraId="00000034">
      <w:pPr>
        <w:widowControl w:val="0"/>
        <w:numPr>
          <w:ilvl w:val="4"/>
          <w:numId w:val="1"/>
        </w:numPr>
        <w:spacing w:line="240" w:lineRule="auto"/>
        <w:ind w:left="3600" w:hanging="360"/>
        <w:rPr>
          <w:color w:val="171717"/>
        </w:rPr>
      </w:pPr>
      <w:r w:rsidDel="00000000" w:rsidR="00000000" w:rsidRPr="00000000">
        <w:rPr>
          <w:color w:val="171717"/>
          <w:rtl w:val="0"/>
        </w:rPr>
        <w:t xml:space="preserve">Internal (Gates &amp; stakeholders)</w:t>
      </w:r>
      <w:r w:rsidDel="00000000" w:rsidR="00000000" w:rsidRPr="00000000">
        <w:rPr>
          <w:b w:val="1"/>
          <w:bCs w:val="1"/>
          <w:color w:val="171717"/>
          <w:rtl w:val="0"/>
        </w:rPr>
        <w:t xml:space="preserve"> presentation of interim insights</w:t>
      </w:r>
      <w:r w:rsidDel="00000000" w:rsidR="00000000" w:rsidRPr="00000000">
        <w:rPr>
          <w:color w:val="171717"/>
          <w:rtl w:val="0"/>
        </w:rPr>
        <w:t xml:space="preserve"> (9 months; tentatively July 2026) </w:t>
      </w:r>
    </w:p>
    <w:p w:rsidR="00000000" w:rsidDel="00000000" w:rsidP="00000000" w:rsidRDefault="00000000" w:rsidRPr="00000000" w14:paraId="00000035">
      <w:pPr>
        <w:widowControl w:val="0"/>
        <w:numPr>
          <w:ilvl w:val="4"/>
          <w:numId w:val="1"/>
        </w:numPr>
        <w:spacing w:line="240" w:lineRule="auto"/>
        <w:ind w:left="3600" w:hanging="360"/>
        <w:rPr>
          <w:color w:val="171717"/>
        </w:rPr>
      </w:pPr>
      <w:r w:rsidDel="00000000" w:rsidR="00000000" w:rsidRPr="00000000">
        <w:rPr>
          <w:color w:val="171717"/>
          <w:rtl w:val="0"/>
        </w:rPr>
        <w:t xml:space="preserve">External (EM Hubs and Male Changemakers) </w:t>
      </w:r>
      <w:r w:rsidDel="00000000" w:rsidR="00000000" w:rsidRPr="00000000">
        <w:rPr>
          <w:b w:val="1"/>
          <w:bCs w:val="1"/>
          <w:color w:val="171717"/>
          <w:rtl w:val="0"/>
        </w:rPr>
        <w:t xml:space="preserve">presentation of interim insights</w:t>
      </w:r>
      <w:r w:rsidDel="00000000" w:rsidR="00000000" w:rsidRPr="00000000">
        <w:rPr>
          <w:color w:val="171717"/>
          <w:rtl w:val="0"/>
        </w:rPr>
        <w:t xml:space="preserve"> (9 months; tentatively July 2026) </w:t>
      </w:r>
    </w:p>
    <w:p w:rsidR="00000000" w:rsidDel="00000000" w:rsidP="00000000" w:rsidRDefault="00000000" w:rsidRPr="00000000" w14:paraId="00000036">
      <w:pPr>
        <w:widowControl w:val="0"/>
        <w:spacing w:line="240" w:lineRule="auto"/>
        <w:ind w:left="720" w:firstLine="0"/>
        <w:rPr>
          <w:color w:val="171717"/>
        </w:rPr>
      </w:pPr>
      <w:r w:rsidDel="00000000" w:rsidR="00000000" w:rsidRPr="00000000">
        <w:rPr>
          <w:rtl w:val="0"/>
        </w:rPr>
      </w:r>
    </w:p>
    <w:p w:rsidR="00000000" w:rsidDel="00000000" w:rsidP="00000000" w:rsidRDefault="00000000" w:rsidRPr="00000000" w14:paraId="00000037">
      <w:pPr>
        <w:widowControl w:val="0"/>
        <w:numPr>
          <w:ilvl w:val="2"/>
          <w:numId w:val="1"/>
        </w:numPr>
        <w:spacing w:line="240" w:lineRule="auto"/>
        <w:ind w:left="2160" w:hanging="360"/>
        <w:rPr>
          <w:b w:val="1"/>
          <w:bCs w:val="1"/>
          <w:color w:val="171717"/>
        </w:rPr>
      </w:pPr>
      <w:r w:rsidDel="00000000" w:rsidR="00000000" w:rsidRPr="00000000">
        <w:rPr>
          <w:b w:val="1"/>
          <w:bCs w:val="1"/>
          <w:color w:val="171717"/>
          <w:rtl w:val="0"/>
        </w:rPr>
        <w:t xml:space="preserve">Phase 2 (Months 10-17; tentatively July 2026 - March 2027)</w:t>
      </w:r>
    </w:p>
    <w:p w:rsidR="00000000" w:rsidDel="00000000" w:rsidP="00000000" w:rsidRDefault="00000000" w:rsidRPr="00000000" w14:paraId="00000038">
      <w:pPr>
        <w:widowControl w:val="0"/>
        <w:numPr>
          <w:ilvl w:val="3"/>
          <w:numId w:val="1"/>
        </w:numPr>
        <w:spacing w:line="240" w:lineRule="auto"/>
        <w:ind w:left="2880" w:hanging="360"/>
        <w:rPr>
          <w:color w:val="171717"/>
        </w:rPr>
      </w:pPr>
      <w:r w:rsidDel="00000000" w:rsidR="00000000" w:rsidRPr="00000000">
        <w:rPr>
          <w:color w:val="171717"/>
          <w:rtl w:val="0"/>
        </w:rPr>
        <w:t xml:space="preserve">(Potentially) 2 additional virtual roundtables</w:t>
      </w:r>
    </w:p>
    <w:p w:rsidR="00000000" w:rsidDel="00000000" w:rsidP="00000000" w:rsidRDefault="00000000" w:rsidRPr="00000000" w14:paraId="00000039">
      <w:pPr>
        <w:widowControl w:val="0"/>
        <w:numPr>
          <w:ilvl w:val="3"/>
          <w:numId w:val="1"/>
        </w:numPr>
        <w:spacing w:line="240" w:lineRule="auto"/>
        <w:ind w:left="2880" w:hanging="360"/>
        <w:rPr>
          <w:color w:val="171717"/>
        </w:rPr>
      </w:pPr>
      <w:r w:rsidDel="00000000" w:rsidR="00000000" w:rsidRPr="00000000">
        <w:rPr>
          <w:color w:val="171717"/>
          <w:rtl w:val="0"/>
        </w:rPr>
        <w:t xml:space="preserve">Audience reception analysis</w:t>
      </w:r>
    </w:p>
    <w:p w:rsidR="00000000" w:rsidDel="00000000" w:rsidP="00000000" w:rsidRDefault="00000000" w:rsidRPr="00000000" w14:paraId="0000003A">
      <w:pPr>
        <w:widowControl w:val="0"/>
        <w:numPr>
          <w:ilvl w:val="3"/>
          <w:numId w:val="1"/>
        </w:numPr>
        <w:spacing w:line="240" w:lineRule="auto"/>
        <w:ind w:left="2880" w:hanging="360"/>
        <w:rPr>
          <w:color w:val="171717"/>
        </w:rPr>
      </w:pPr>
      <w:r w:rsidDel="00000000" w:rsidR="00000000" w:rsidRPr="00000000">
        <w:rPr>
          <w:color w:val="171717"/>
          <w:rtl w:val="0"/>
        </w:rPr>
        <w:t xml:space="preserve">Playbook development (including 1 virtual, 1 Los Angeles-based, and 2 in-country roundtables in Nigeria and Kenya)</w:t>
      </w:r>
    </w:p>
    <w:p w:rsidR="00000000" w:rsidDel="00000000" w:rsidP="00000000" w:rsidRDefault="00000000" w:rsidRPr="00000000" w14:paraId="0000003B">
      <w:pPr>
        <w:widowControl w:val="0"/>
        <w:numPr>
          <w:ilvl w:val="3"/>
          <w:numId w:val="1"/>
        </w:numPr>
        <w:spacing w:line="240" w:lineRule="auto"/>
        <w:ind w:left="2880" w:hanging="360"/>
        <w:rPr>
          <w:i w:val="1"/>
          <w:iCs w:val="1"/>
          <w:color w:val="171717"/>
        </w:rPr>
      </w:pPr>
      <w:r w:rsidDel="00000000" w:rsidR="00000000" w:rsidRPr="00000000">
        <w:rPr>
          <w:i w:val="1"/>
          <w:iCs w:val="1"/>
          <w:color w:val="171717"/>
          <w:rtl w:val="0"/>
        </w:rPr>
        <w:t xml:space="preserve">Deliverables</w:t>
      </w:r>
      <w:r w:rsidDel="00000000" w:rsidR="00000000" w:rsidRPr="00000000">
        <w:rPr>
          <w:color w:val="171717"/>
          <w:rtl w:val="0"/>
        </w:rPr>
        <w:t xml:space="preserve">: </w:t>
      </w:r>
      <w:r w:rsidDel="00000000" w:rsidR="00000000" w:rsidRPr="00000000">
        <w:rPr>
          <w:rtl w:val="0"/>
        </w:rPr>
      </w:r>
    </w:p>
    <w:p w:rsidR="00000000" w:rsidDel="00000000" w:rsidP="00000000" w:rsidRDefault="00000000" w:rsidRPr="00000000" w14:paraId="0000003C">
      <w:pPr>
        <w:widowControl w:val="0"/>
        <w:numPr>
          <w:ilvl w:val="4"/>
          <w:numId w:val="1"/>
        </w:numPr>
        <w:spacing w:line="240" w:lineRule="auto"/>
        <w:ind w:left="3600" w:hanging="360"/>
        <w:rPr>
          <w:i w:val="1"/>
          <w:iCs w:val="1"/>
          <w:color w:val="171717"/>
        </w:rPr>
      </w:pPr>
      <w:r w:rsidDel="00000000" w:rsidR="00000000" w:rsidRPr="00000000">
        <w:rPr>
          <w:color w:val="171717"/>
          <w:rtl w:val="0"/>
        </w:rPr>
        <w:t xml:space="preserve">Internal (Gates &amp; stakeholders)</w:t>
      </w:r>
      <w:r w:rsidDel="00000000" w:rsidR="00000000" w:rsidRPr="00000000">
        <w:rPr>
          <w:b w:val="1"/>
          <w:bCs w:val="1"/>
          <w:color w:val="171717"/>
          <w:rtl w:val="0"/>
        </w:rPr>
        <w:t xml:space="preserve"> slide deck</w:t>
      </w:r>
      <w:r w:rsidDel="00000000" w:rsidR="00000000" w:rsidRPr="00000000">
        <w:rPr>
          <w:color w:val="171717"/>
          <w:rtl w:val="0"/>
        </w:rPr>
        <w:t xml:space="preserve"> summarizing learnings from audience reception analysis (11 months; tentatively September 2026) </w:t>
      </w:r>
      <w:r w:rsidDel="00000000" w:rsidR="00000000" w:rsidRPr="00000000">
        <w:rPr>
          <w:rtl w:val="0"/>
        </w:rPr>
      </w:r>
    </w:p>
    <w:p w:rsidR="00000000" w:rsidDel="00000000" w:rsidP="00000000" w:rsidRDefault="00000000" w:rsidRPr="00000000" w14:paraId="0000003D">
      <w:pPr>
        <w:widowControl w:val="0"/>
        <w:numPr>
          <w:ilvl w:val="4"/>
          <w:numId w:val="1"/>
        </w:numPr>
        <w:spacing w:line="240" w:lineRule="auto"/>
        <w:ind w:left="3600" w:hanging="360"/>
        <w:rPr>
          <w:color w:val="171717"/>
        </w:rPr>
      </w:pPr>
      <w:r w:rsidDel="00000000" w:rsidR="00000000" w:rsidRPr="00000000">
        <w:rPr>
          <w:color w:val="171717"/>
          <w:rtl w:val="0"/>
        </w:rPr>
        <w:t xml:space="preserve">Internal (Gates &amp; stakeholders) </w:t>
      </w:r>
      <w:r w:rsidDel="00000000" w:rsidR="00000000" w:rsidRPr="00000000">
        <w:rPr>
          <w:b w:val="1"/>
          <w:bCs w:val="1"/>
          <w:color w:val="171717"/>
          <w:rtl w:val="0"/>
        </w:rPr>
        <w:t xml:space="preserve">draft playbook</w:t>
      </w:r>
      <w:r w:rsidDel="00000000" w:rsidR="00000000" w:rsidRPr="00000000">
        <w:rPr>
          <w:color w:val="171717"/>
          <w:rtl w:val="0"/>
        </w:rPr>
        <w:t xml:space="preserve"> (13 months, tentatively November 2026)</w:t>
      </w:r>
    </w:p>
    <w:p w:rsidR="00000000" w:rsidDel="00000000" w:rsidP="00000000" w:rsidRDefault="00000000" w:rsidRPr="00000000" w14:paraId="0000003E">
      <w:pPr>
        <w:widowControl w:val="0"/>
        <w:numPr>
          <w:ilvl w:val="4"/>
          <w:numId w:val="1"/>
        </w:numPr>
        <w:spacing w:line="240" w:lineRule="auto"/>
        <w:ind w:left="3600" w:hanging="360"/>
        <w:rPr>
          <w:color w:val="171717"/>
        </w:rPr>
      </w:pPr>
      <w:r w:rsidDel="00000000" w:rsidR="00000000" w:rsidRPr="00000000">
        <w:rPr>
          <w:b w:val="1"/>
          <w:bCs w:val="1"/>
          <w:color w:val="171717"/>
          <w:rtl w:val="0"/>
        </w:rPr>
        <w:t xml:space="preserve">Public, designed playbook </w:t>
      </w:r>
      <w:r w:rsidDel="00000000" w:rsidR="00000000" w:rsidRPr="00000000">
        <w:rPr>
          <w:color w:val="171717"/>
          <w:rtl w:val="0"/>
        </w:rPr>
        <w:t xml:space="preserve">(16 months, tentatively February 2027)</w:t>
      </w:r>
    </w:p>
    <w:p w:rsidR="00000000" w:rsidDel="00000000" w:rsidP="00000000" w:rsidRDefault="00000000" w:rsidRPr="00000000" w14:paraId="0000003F">
      <w:pPr>
        <w:widowControl w:val="0"/>
        <w:numPr>
          <w:ilvl w:val="4"/>
          <w:numId w:val="1"/>
        </w:numPr>
        <w:spacing w:line="240" w:lineRule="auto"/>
        <w:ind w:left="3600" w:hanging="360"/>
        <w:rPr>
          <w:color w:val="171717"/>
        </w:rPr>
      </w:pPr>
      <w:r w:rsidDel="00000000" w:rsidR="00000000" w:rsidRPr="00000000">
        <w:rPr>
          <w:color w:val="171717"/>
          <w:rtl w:val="0"/>
        </w:rPr>
        <w:t xml:space="preserve">Internal (Gates &amp; stakeholders) </w:t>
      </w:r>
      <w:r w:rsidDel="00000000" w:rsidR="00000000" w:rsidRPr="00000000">
        <w:rPr>
          <w:b w:val="1"/>
          <w:bCs w:val="1"/>
          <w:color w:val="171717"/>
          <w:rtl w:val="0"/>
        </w:rPr>
        <w:t xml:space="preserve">final presentation</w:t>
      </w:r>
      <w:r w:rsidDel="00000000" w:rsidR="00000000" w:rsidRPr="00000000">
        <w:rPr>
          <w:color w:val="171717"/>
          <w:rtl w:val="0"/>
        </w:rPr>
        <w:t xml:space="preserve"> summarizing learnings from all activities and the playbook (16 months, tentatively February 2027)</w:t>
      </w:r>
    </w:p>
    <w:p w:rsidR="00000000" w:rsidDel="00000000" w:rsidP="00000000" w:rsidRDefault="00000000" w:rsidRPr="00000000" w14:paraId="00000040">
      <w:pPr>
        <w:widowControl w:val="0"/>
        <w:numPr>
          <w:ilvl w:val="4"/>
          <w:numId w:val="1"/>
        </w:numPr>
        <w:spacing w:line="240" w:lineRule="auto"/>
        <w:ind w:left="3600" w:hanging="360"/>
        <w:rPr>
          <w:b w:val="1"/>
          <w:bCs w:val="1"/>
          <w:color w:val="171717"/>
        </w:rPr>
      </w:pPr>
      <w:r w:rsidDel="00000000" w:rsidR="00000000" w:rsidRPr="00000000">
        <w:rPr>
          <w:color w:val="171717"/>
          <w:rtl w:val="0"/>
        </w:rPr>
        <w:t xml:space="preserve">External (EM Hubs and Male Changemakers) </w:t>
      </w:r>
      <w:r w:rsidDel="00000000" w:rsidR="00000000" w:rsidRPr="00000000">
        <w:rPr>
          <w:b w:val="1"/>
          <w:bCs w:val="1"/>
          <w:color w:val="171717"/>
          <w:rtl w:val="0"/>
        </w:rPr>
        <w:t xml:space="preserve">final presentation</w:t>
      </w:r>
      <w:r w:rsidDel="00000000" w:rsidR="00000000" w:rsidRPr="00000000">
        <w:rPr>
          <w:color w:val="171717"/>
          <w:rtl w:val="0"/>
        </w:rPr>
        <w:t xml:space="preserve"> summarizing learnings from all activities and the playbook (17 months; tentatively March 2027) </w:t>
      </w:r>
    </w:p>
    <w:p w:rsidR="00000000" w:rsidDel="00000000" w:rsidP="00000000" w:rsidRDefault="00000000" w:rsidRPr="00000000" w14:paraId="00000041">
      <w:pPr>
        <w:widowControl w:val="0"/>
        <w:spacing w:line="240" w:lineRule="auto"/>
        <w:rPr>
          <w:color w:val="171717"/>
        </w:rPr>
      </w:pPr>
      <w:r w:rsidDel="00000000" w:rsidR="00000000" w:rsidRPr="00000000">
        <w:rPr>
          <w:rtl w:val="0"/>
        </w:rPr>
      </w:r>
    </w:p>
    <w:p w:rsidR="00000000" w:rsidDel="00000000" w:rsidP="00000000" w:rsidRDefault="00000000" w:rsidRPr="00000000" w14:paraId="00000042">
      <w:pPr>
        <w:widowControl w:val="0"/>
        <w:spacing w:line="240" w:lineRule="auto"/>
        <w:ind w:left="0" w:firstLine="0"/>
        <w:rPr>
          <w:color w:val="171717"/>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ind w:left="720" w:hanging="360"/>
    </w:pPr>
    <w:rPr>
      <w:b w:val="1"/>
      <w:bCs w:val="1"/>
      <w:color w:val="171717"/>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GroNLP/hateBERT" TargetMode="External"/><Relationship Id="rId7" Type="http://schemas.openxmlformats.org/officeDocument/2006/relationships/hyperlink" Target="https://aclanthology.org/2021.eacl-main.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