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Arial" w:hAnsi="Arial" w:cs="Arial" w:eastAsia="Arial"/>
          <w:b/>
          <w:i w:val="0"/>
          <w:color w:val="1F2A44"/>
          <w:sz w:val="40"/>
        </w:rPr>
        <w:t>Phase 1 Interim Findings</w:t>
      </w:r>
    </w:p>
    <w:p>
      <w:pPr>
        <w:spacing w:after="40" w:before="0"/>
      </w:pPr>
      <w:r>
        <w:rPr>
          <w:rFonts w:ascii="Arial" w:hAnsi="Arial" w:cs="Arial" w:eastAsia="Arial"/>
          <w:b w:val="0"/>
          <w:i w:val="0"/>
          <w:color w:val="555555"/>
          <w:sz w:val="25"/>
        </w:rPr>
        <w:t>Gates Masculinity Project · Components 2 and 3</w:t>
      </w:r>
    </w:p>
    <w:p>
      <w:pPr>
        <w:spacing w:after="240" w:before="0"/>
      </w:pPr>
      <w:r>
        <w:rPr>
          <w:rFonts w:ascii="Arial" w:hAnsi="Arial" w:cs="Arial" w:eastAsia="Arial"/>
          <w:b w:val="0"/>
          <w:i w:val="0"/>
          <w:color w:val="555555"/>
          <w:sz w:val="22"/>
        </w:rPr>
        <w:t>Content analysis and audience reception · Kenya × Nigeria</w:t>
      </w:r>
    </w:p>
    <w:tbl>
      <w:tblPr>
        <w:tblW w:type="auto" w:w="0"/>
        <w:tblLayout w:type="fixed"/>
        <w:tblLook w:firstColumn="1" w:firstRow="1" w:lastColumn="0" w:lastRow="0" w:noHBand="0" w:noVBand="1" w:val="04A0"/>
      </w:tblPr>
      <w:tblGrid>
        <w:gridCol w:w="10200"/>
      </w:tblGrid>
      <w:tr>
        <w:tc>
          <w:tcPr>
            <w:tcW w:type="dxa" w:w="10200"/>
            <w:shd w:val="clear" w:color="auto" w:fill="F2F4F7"/>
            <w:tcBorders>
              <w:top w:val="single" w:sz="4" w:color="D0D5DD"/>
              <w:left w:val="single" w:sz="4" w:color="D0D5DD"/>
              <w:bottom w:val="single" w:sz="4" w:color="D0D5DD"/>
              <w:right w:val="single" w:sz="4" w:color="D0D5DD"/>
            </w:tcBorders>
          </w:tcPr>
          <w:p>
            <w:pPr>
              <w:spacing w:after="40"/>
            </w:pPr>
            <w:r/>
            <w:r>
              <w:rPr>
                <w:rFonts w:ascii="Arial" w:hAnsi="Arial" w:cs="Arial" w:eastAsia="Arial"/>
                <w:b/>
                <w:i w:val="0"/>
                <w:color w:val="1F2A44"/>
                <w:sz w:val="20"/>
              </w:rPr>
              <w:t>Scope of this document</w:t>
            </w:r>
          </w:p>
          <w:p>
            <w:pPr>
              <w:spacing w:after="40"/>
            </w:pPr>
            <w:r>
              <w:rPr>
                <w:rFonts w:ascii="Arial" w:hAnsi="Arial" w:cs="Arial" w:eastAsia="Arial"/>
                <w:b w:val="0"/>
                <w:i w:val="0"/>
                <w:color w:val="141414"/>
                <w:sz w:val="20"/>
              </w:rPr>
              <w:t>This deliverable reports the exploratory LLM coding pass that covers Component 2 (Content analysis) and Component 3 (Audience reception analysis). The focused, hypothesis-driven follow-up pass will be circulated separately.</w:t>
            </w:r>
          </w:p>
          <w:p>
            <w:pPr>
              <w:spacing w:after="40"/>
            </w:pPr>
            <w:r>
              <w:rPr>
                <w:rFonts w:ascii="Arial" w:hAnsi="Arial" w:cs="Arial" w:eastAsia="Arial"/>
                <w:b w:val="0"/>
                <w:i w:val="0"/>
                <w:color w:val="141414"/>
                <w:sz w:val="20"/>
              </w:rPr>
              <w:t>Engagement-metric correlation (view counts, impressions, shares × content variables) is reported in the final deck. View counts are unavailable on some platforms in the sample; metrics are used wherever available and gaps are noted in Section 24.</w:t>
            </w:r>
          </w:p>
          <w:p>
            <w:pPr>
              <w:spacing w:after="40"/>
            </w:pPr>
            <w:r>
              <w:rPr>
                <w:rFonts w:ascii="Arial" w:hAnsi="Arial" w:cs="Arial" w:eastAsia="Arial"/>
                <w:b w:val="0"/>
                <w:i w:val="0"/>
                <w:color w:val="141414"/>
                <w:sz w:val="20"/>
              </w:rPr>
              <w:t>Findings should be read at the creator, archetype, and snippet/comment level. Corpus-level percentages are reported with their denominators in every table and are not population estimates (see Section 25 on sampling).</w:t>
            </w:r>
          </w:p>
        </w:tc>
      </w:tr>
    </w:tbl>
    <w:p>
      <w:pPr>
        <w:spacing w:after="40"/>
      </w:pPr>
    </w:p>
    <w:p>
      <w:pPr>
        <w:keepNext/>
        <w:spacing w:before="200" w:after="80"/>
      </w:pPr>
      <w:r>
        <w:rPr>
          <w:rFonts w:ascii="Arial" w:hAnsi="Arial" w:cs="Arial" w:eastAsia="Arial"/>
          <w:b/>
          <w:i w:val="0"/>
          <w:color w:val="1F2A44"/>
          <w:sz w:val="25"/>
        </w:rPr>
        <w:t>Headline figures</w:t>
      </w:r>
    </w:p>
    <w:p>
      <w:pPr>
        <w:spacing w:after="80" w:before="0"/>
      </w:pPr>
      <w:r>
        <w:rPr>
          <w:rFonts w:ascii="Arial" w:hAnsi="Arial" w:cs="Arial" w:eastAsia="Arial"/>
          <w:b w:val="0"/>
          <w:i w:val="0"/>
          <w:color w:val="141414"/>
          <w:sz w:val="21"/>
        </w:rPr>
        <w:t>All figures below are shares of coded units within the curated Phase 1 sample. The sample was deliberately constructed to include creators across the regressive–progressive spectrum so that both ends would be observable; corpus shares therefore describe what is in the corpus, not what is typical of masculinity discourse in either country. Per-creator figures in Section 2 are the primary unit of analysis.</w:t>
      </w:r>
    </w:p>
    <w:tbl>
      <w:tblPr>
        <w:tblW w:type="auto" w:w="0"/>
        <w:tblLayout w:type="fixed"/>
        <w:tblLook w:firstColumn="1" w:firstRow="1" w:lastColumn="0" w:lastRow="0" w:noHBand="0" w:noVBand="1" w:val="04A0"/>
      </w:tblPr>
      <w:tblGrid>
        <w:gridCol w:w="3400"/>
        <w:gridCol w:w="3400"/>
        <w:gridCol w:w="3400"/>
      </w:tblGrid>
      <w:tr>
        <w:tc>
          <w:tcPr>
            <w:tcW w:type="dxa" w:w="4819"/>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Metric</w:t>
            </w:r>
          </w:p>
        </w:tc>
        <w:tc>
          <w:tcPr>
            <w:tcW w:type="dxa" w:w="2268"/>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Kenya</w:t>
            </w:r>
          </w:p>
        </w:tc>
        <w:tc>
          <w:tcPr>
            <w:tcW w:type="dxa" w:w="2268"/>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Nigeria</w:t>
            </w:r>
          </w:p>
        </w:tc>
      </w:tr>
      <w:tr>
        <w:tc>
          <w:tcPr>
            <w:tcW w:type="dxa" w:w="4819"/>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Audience comments coded</w:t>
            </w:r>
          </w:p>
        </w:tc>
        <w:tc>
          <w:tcPr>
            <w:tcW w:type="dxa" w:w="2268"/>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412</w:t>
            </w:r>
          </w:p>
        </w:tc>
        <w:tc>
          <w:tcPr>
            <w:tcW w:type="dxa" w:w="2268"/>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417</w:t>
            </w:r>
          </w:p>
        </w:tc>
      </w:tr>
      <w:tr>
        <w:tc>
          <w:tcPr>
            <w:tcW w:type="dxa" w:w="4819"/>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Content snippets coded</w:t>
            </w:r>
          </w:p>
        </w:tc>
        <w:tc>
          <w:tcPr>
            <w:tcW w:type="dxa" w:w="2268"/>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394</w:t>
            </w:r>
          </w:p>
        </w:tc>
        <w:tc>
          <w:tcPr>
            <w:tcW w:type="dxa" w:w="2268"/>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381</w:t>
            </w:r>
          </w:p>
        </w:tc>
      </w:tr>
      <w:tr>
        <w:tc>
          <w:tcPr>
            <w:tcW w:type="dxa" w:w="4819"/>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Regressive share (content snippets)</w:t>
            </w:r>
          </w:p>
        </w:tc>
        <w:tc>
          <w:tcPr>
            <w:tcW w:type="dxa" w:w="2268"/>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43%</w:t>
            </w:r>
          </w:p>
        </w:tc>
        <w:tc>
          <w:tcPr>
            <w:tcW w:type="dxa" w:w="2268"/>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43%</w:t>
            </w:r>
          </w:p>
        </w:tc>
      </w:tr>
      <w:tr>
        <w:tc>
          <w:tcPr>
            <w:tcW w:type="dxa" w:w="4819"/>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Progressive share (content snippets)</w:t>
            </w:r>
          </w:p>
        </w:tc>
        <w:tc>
          <w:tcPr>
            <w:tcW w:type="dxa" w:w="2268"/>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35%</w:t>
            </w:r>
          </w:p>
        </w:tc>
        <w:tc>
          <w:tcPr>
            <w:tcW w:type="dxa" w:w="2268"/>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31%</w:t>
            </w:r>
          </w:p>
        </w:tc>
      </w:tr>
      <w:tr>
        <w:tc>
          <w:tcPr>
            <w:tcW w:type="dxa" w:w="4819"/>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Mixed / unclear (content snippets)</w:t>
            </w:r>
          </w:p>
        </w:tc>
        <w:tc>
          <w:tcPr>
            <w:tcW w:type="dxa" w:w="2268"/>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22%</w:t>
            </w:r>
          </w:p>
        </w:tc>
        <w:tc>
          <w:tcPr>
            <w:tcW w:type="dxa" w:w="2268"/>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26%</w:t>
            </w:r>
          </w:p>
        </w:tc>
      </w:tr>
    </w:tbl>
    <w:p>
      <w:pPr>
        <w:spacing w:after="40"/>
      </w:pPr>
    </w:p>
    <w:p>
      <w:pPr>
        <w:spacing w:after="80" w:before="0"/>
      </w:pPr>
      <w:r>
        <w:rPr>
          <w:rFonts w:ascii="Arial" w:hAnsi="Arial" w:cs="Arial" w:eastAsia="Arial"/>
          <w:b w:val="0"/>
          <w:i w:val="0"/>
          <w:color w:val="141414"/>
          <w:sz w:val="21"/>
        </w:rPr>
        <w:t>Total coded rows: 1,604 (829 audience comments and 775 content snippets across 11 selected creators — 5 Kenya, 6 Nigeria). Sentiment was coded on a four-valued scale (positive · negative · neutral · unclear) at temperature 0 with cached, deterministic outputs (see Section 24).</w:t>
      </w:r>
    </w:p>
    <w:p>
      <w:pPr>
        <w:keepNext/>
        <w:spacing w:before="200" w:after="80"/>
      </w:pPr>
      <w:r>
        <w:rPr>
          <w:rFonts w:ascii="Arial" w:hAnsi="Arial" w:cs="Arial" w:eastAsia="Arial"/>
          <w:b/>
          <w:i w:val="0"/>
          <w:color w:val="1F2A44"/>
          <w:sz w:val="25"/>
        </w:rPr>
        <w:t>Executive summary</w:t>
      </w:r>
    </w:p>
    <w:p>
      <w:pPr>
        <w:spacing w:after="80" w:before="0"/>
      </w:pPr>
      <w:r>
        <w:rPr>
          <w:rFonts w:ascii="Arial" w:hAnsi="Arial" w:cs="Arial" w:eastAsia="Arial"/>
          <w:b w:val="0"/>
          <w:i w:val="0"/>
          <w:color w:val="141414"/>
          <w:sz w:val="21"/>
        </w:rPr>
        <w:t>1.  Two distinct masculinity registers. The most common Kenyan masculinity narrative is "men are disadvantaged victims" (92 / 394 content snippets = 23%); it is the top narrative for Rixpoet and Eddy Kimani (2 of 5 Kenyan creators). The most common Nigerian narrative is "men should provide and succeed" (79 / 381 = 21%), which is the top narrative for three of six Nigerian creators (Ebuka Obi-Uchendu, Agba John Doe, Wizarab). The two registers — grievance and provision — function as distinct entry points into the same ecosystem.</w:t>
      </w:r>
    </w:p>
    <w:p>
      <w:pPr>
        <w:spacing w:after="80" w:before="0"/>
      </w:pPr>
      <w:r>
        <w:rPr>
          <w:rFonts w:ascii="Arial" w:hAnsi="Arial" w:cs="Arial" w:eastAsia="Arial"/>
          <w:b w:val="0"/>
          <w:i w:val="0"/>
          <w:color w:val="141414"/>
          <w:sz w:val="21"/>
        </w:rPr>
        <w:t>2.  Regressive content concentrates in a small set of creators. Kibe and Amerix together account for 157 of the 172 Kenyan regressive snippets (91%). In Nigeria, Agba John Doe, Shola, and Wizarab carry the bulk of regressive content; Banky Wellington, Deyemi Okanlawon, and Ebuka Obi-Uchendu code as progressive-leaning. Per-creator orientation is in Section 11.</w:t>
      </w:r>
    </w:p>
    <w:p>
      <w:pPr>
        <w:spacing w:after="80" w:before="0"/>
      </w:pPr>
      <w:r>
        <w:rPr>
          <w:rFonts w:ascii="Arial" w:hAnsi="Arial" w:cs="Arial" w:eastAsia="Arial"/>
          <w:b w:val="0"/>
          <w:i w:val="0"/>
          <w:color w:val="141414"/>
          <w:sz w:val="21"/>
        </w:rPr>
        <w:t>3.  Solutions diagnosis is thin. 44% of Kenyan (172 / 394) and 59% of Nigerian (226 / 381) content snippets propose no clear solution. Where solutions do appear, the leading non-empty categories are emotional growth and healing (Kenya: 102 snippets) and family responsibility (Nigeria: 54 snippets) — both compatible with counter-narrative framing.</w:t>
      </w:r>
    </w:p>
    <w:p>
      <w:pPr>
        <w:spacing w:after="80" w:before="0"/>
      </w:pPr>
      <w:r>
        <w:rPr>
          <w:rFonts w:ascii="Arial" w:hAnsi="Arial" w:cs="Arial" w:eastAsia="Arial"/>
          <w:b w:val="0"/>
          <w:i w:val="0"/>
          <w:color w:val="141414"/>
          <w:sz w:val="21"/>
        </w:rPr>
        <w:t>4.  Audience response patterns diverge by country. Kenyan audiences validate more than they push back (validation 155, resistance/pushback 100). Nigerian audiences invert that pattern (pushback 150, validation 113). The Nigerian comment threads in this sample are organised counter-publics rather than uniform echo chambers.</w:t>
      </w:r>
    </w:p>
    <w:p>
      <w:pPr>
        <w:spacing w:after="80" w:before="0"/>
      </w:pPr>
      <w:r>
        <w:rPr>
          <w:rFonts w:ascii="Arial" w:hAnsi="Arial" w:cs="Arial" w:eastAsia="Arial"/>
          <w:b w:val="0"/>
          <w:i w:val="0"/>
          <w:color w:val="141414"/>
          <w:sz w:val="21"/>
        </w:rPr>
        <w:t>5.  Healing / testimony content carries the strongest counter-narrative signature in the sample. Under Rixpoet, audience comments code 88% supports and a high share of extends-the-message uptake. Banky Wellington shows the same pattern in Nigeria. This is the only register in the sample that produces both learning/reflection and personal disclosure at meaningful rates.</w:t>
      </w:r>
    </w:p>
    <w:p>
      <w:pPr>
        <w:spacing w:after="80" w:before="0"/>
      </w:pPr>
      <w:r>
        <w:rPr>
          <w:rFonts w:ascii="Arial" w:hAnsi="Arial" w:cs="Arial" w:eastAsia="Arial"/>
          <w:b w:val="0"/>
          <w:i w:val="0"/>
          <w:color w:val="141414"/>
          <w:sz w:val="21"/>
        </w:rPr>
        <w:t>6.  Audiences open a violence/safety frame that creators do not lead with. In Nigeria, violence/safety appears in 39 audience comments but only 3 content snippets — almost all under Deyemi Okanlawon. This is a frame the audience is asking for; creators in this sample are not supplying it.</w:t>
      </w:r>
    </w:p>
    <w:p>
      <w:pPr>
        <w:spacing w:after="80" w:before="0"/>
      </w:pPr>
      <w:r>
        <w:rPr>
          <w:rFonts w:ascii="Arial" w:hAnsi="Arial" w:cs="Arial" w:eastAsia="Arial"/>
          <w:b w:val="0"/>
          <w:i w:val="0"/>
          <w:color w:val="141414"/>
          <w:sz w:val="21"/>
        </w:rPr>
        <w:t>7.  Hostile sexism is concentrated; benevolent sexism is the larger ambient channel. Hostile or dehumanising sexism appears in roughly 20% of regressive snippets in each country and concentrates in the same regressive-dominant creators. Benevolent or traditional sexism ("submit", "headship", "real man provides") is the wider register through which gender hierarchy is reproduced as common-sense.</w:t>
      </w:r>
    </w:p>
    <w:tbl>
      <w:tblPr>
        <w:tblW w:type="auto" w:w="0"/>
        <w:tblLayout w:type="fixed"/>
        <w:tblLook w:firstColumn="1" w:firstRow="1" w:lastColumn="0" w:lastRow="0" w:noHBand="0" w:noVBand="1" w:val="04A0"/>
      </w:tblPr>
      <w:tblGrid>
        <w:gridCol w:w="10200"/>
      </w:tblGrid>
      <w:tr>
        <w:tc>
          <w:tcPr>
            <w:tcW w:type="dxa" w:w="10200"/>
            <w:shd w:val="clear" w:color="auto" w:fill="F2F4F7"/>
            <w:tcBorders>
              <w:top w:val="single" w:sz="4" w:color="D0D5DD"/>
              <w:left w:val="single" w:sz="4" w:color="D0D5DD"/>
              <w:bottom w:val="single" w:sz="4" w:color="D0D5DD"/>
              <w:right w:val="single" w:sz="4" w:color="D0D5DD"/>
            </w:tcBorders>
          </w:tcPr>
          <w:p>
            <w:pPr>
              <w:spacing w:after="40"/>
            </w:pPr>
            <w:r/>
            <w:r>
              <w:rPr>
                <w:rFonts w:ascii="Arial" w:hAnsi="Arial" w:cs="Arial" w:eastAsia="Arial"/>
                <w:b/>
                <w:i w:val="0"/>
                <w:color w:val="1F2A44"/>
                <w:sz w:val="20"/>
              </w:rPr>
              <w:t>How this report maps to the Scope of Work</w:t>
            </w:r>
          </w:p>
          <w:p>
            <w:pPr>
              <w:spacing w:after="40"/>
            </w:pPr>
            <w:r>
              <w:rPr>
                <w:rFonts w:ascii="Arial" w:hAnsi="Arial" w:cs="Arial" w:eastAsia="Arial"/>
                <w:b w:val="0"/>
                <w:i w:val="0"/>
                <w:color w:val="141414"/>
                <w:sz w:val="20"/>
              </w:rPr>
              <w:t>Core topics → §3 · Masculinity narratives → §4 · Themes and framing → §5 · Problems and solutions → §6.</w:t>
            </w:r>
          </w:p>
          <w:p>
            <w:pPr>
              <w:spacing w:after="40"/>
            </w:pPr>
            <w:r>
              <w:rPr>
                <w:rFonts w:ascii="Arial" w:hAnsi="Arial" w:cs="Arial" w:eastAsia="Arial"/>
                <w:b w:val="0"/>
                <w:i w:val="0"/>
                <w:color w:val="141414"/>
                <w:sz w:val="20"/>
              </w:rPr>
              <w:t>Sentiments → §7 · Rhetorical strategies → §8 · Argument types → §9 · Misogyny and sexism → §10 · Regressive ↔ progressive orientation → §11.</w:t>
            </w:r>
          </w:p>
          <w:p>
            <w:pPr>
              <w:spacing w:after="40"/>
            </w:pPr>
            <w:r>
              <w:rPr>
                <w:rFonts w:ascii="Arial" w:hAnsi="Arial" w:cs="Arial" w:eastAsia="Arial"/>
                <w:b w:val="0"/>
                <w:i w:val="0"/>
                <w:color w:val="141414"/>
                <w:sz w:val="20"/>
              </w:rPr>
              <w:t>Content cluster and entry-point map → §12–13 · Audience sentiment, emotion, perceived impact → §14–19.</w:t>
            </w:r>
          </w:p>
          <w:p>
            <w:pPr>
              <w:spacing w:after="40"/>
            </w:pPr>
            <w:r>
              <w:rPr>
                <w:rFonts w:ascii="Arial" w:hAnsi="Arial" w:cs="Arial" w:eastAsia="Arial"/>
                <w:b w:val="0"/>
                <w:i w:val="0"/>
                <w:color w:val="141414"/>
                <w:sz w:val="20"/>
              </w:rPr>
              <w:t>Linked content–audience analysis → §20–21 · Playbook implications (Component 4 bridge) → §22.</w:t>
            </w:r>
          </w:p>
          <w:p>
            <w:pPr>
              <w:spacing w:after="40"/>
            </w:pPr>
            <w:r>
              <w:rPr>
                <w:rFonts w:ascii="Arial" w:hAnsi="Arial" w:cs="Arial" w:eastAsia="Arial"/>
                <w:b w:val="0"/>
                <w:i w:val="0"/>
                <w:color w:val="141414"/>
                <w:sz w:val="20"/>
              </w:rPr>
              <w:t>Definitions and computation for every coded variable → §23. Methodology and limitations → §24–25.</w:t>
            </w:r>
          </w:p>
        </w:tc>
      </w:tr>
    </w:tbl>
    <w:p>
      <w:pPr>
        <w:spacing w:after="40"/>
      </w:pPr>
    </w:p>
    <w:p>
      <w:pPr>
        <w:keepNext/>
        <w:spacing w:before="200" w:after="80"/>
      </w:pPr>
      <w:r>
        <w:rPr>
          <w:rFonts w:ascii="Arial" w:hAnsi="Arial" w:cs="Arial" w:eastAsia="Arial"/>
          <w:b/>
          <w:i w:val="0"/>
          <w:color w:val="1F2A44"/>
          <w:sz w:val="25"/>
        </w:rPr>
        <w:t>Part A · Scope and approach</w:t>
      </w:r>
    </w:p>
    <w:p>
      <w:pPr>
        <w:keepNext/>
        <w:spacing w:before="200" w:after="80"/>
      </w:pPr>
      <w:r>
        <w:rPr>
          <w:rFonts w:ascii="Arial" w:hAnsi="Arial" w:cs="Arial" w:eastAsia="Arial"/>
          <w:b/>
          <w:i w:val="0"/>
          <w:color w:val="1F2A44"/>
          <w:sz w:val="22"/>
        </w:rPr>
        <w:t>1.  What this report covers</w:t>
      </w:r>
    </w:p>
    <w:p>
      <w:pPr>
        <w:spacing w:after="80" w:before="0"/>
      </w:pPr>
      <w:r>
        <w:rPr>
          <w:rFonts w:ascii="Arial" w:hAnsi="Arial" w:cs="Arial" w:eastAsia="Arial"/>
          <w:b w:val="0"/>
          <w:i w:val="0"/>
          <w:color w:val="141414"/>
          <w:sz w:val="21"/>
        </w:rPr>
        <w:t>The Scope of Work defines four components: (1) landscape analysis, (2) content analysis, (3) audience reception analysis, (4) playbook development. This report is the exploratory pass for Components 2 and 3, with explicit hooks into Component 4 in Section 22. Content analysis surfaces core topics, themes, narratives, sentiments, and rhetorical strategies; audience reception analysis surfaces sentiment, emotions, and the perceived impact of the content as reported by engaged audiences. Each scope-named output is a numbered section below.</w:t>
      </w:r>
    </w:p>
    <w:p>
      <w:pPr>
        <w:keepNext/>
        <w:spacing w:before="200" w:after="80"/>
      </w:pPr>
      <w:r>
        <w:rPr>
          <w:rFonts w:ascii="Arial" w:hAnsi="Arial" w:cs="Arial" w:eastAsia="Arial"/>
          <w:b/>
          <w:i w:val="0"/>
          <w:color w:val="1F2A44"/>
          <w:sz w:val="22"/>
        </w:rPr>
        <w:t>2.  Sample composition</w:t>
      </w:r>
    </w:p>
    <w:p>
      <w:pPr>
        <w:spacing w:after="80" w:before="0"/>
      </w:pPr>
      <w:r>
        <w:rPr>
          <w:rFonts w:ascii="Arial" w:hAnsi="Arial" w:cs="Arial" w:eastAsia="Arial"/>
          <w:b w:val="0"/>
          <w:i w:val="0"/>
          <w:color w:val="141414"/>
          <w:sz w:val="21"/>
        </w:rPr>
        <w:t>Eleven masculinity-associated creators across Kenya and Nigeria, drawn from the manosphere-adjacent ecosystem identified in the landscape analysis. The sample sits within the Scope's 3–5-per-country guideline and 1,600-comment budget. Creators were chosen so that both ends of the regressive–progressive spectrum are visible in the data; this shapes how the corpus-level percentages should be read (see Section 25).</w:t>
      </w:r>
    </w:p>
    <w:tbl>
      <w:tblPr>
        <w:tblW w:type="auto" w:w="0"/>
        <w:tblLayout w:type="fixed"/>
        <w:tblLook w:firstColumn="1" w:firstRow="1" w:lastColumn="0" w:lastRow="0" w:noHBand="0" w:noVBand="1" w:val="04A0"/>
      </w:tblPr>
      <w:tblGrid>
        <w:gridCol w:w="1700"/>
        <w:gridCol w:w="1700"/>
        <w:gridCol w:w="1700"/>
        <w:gridCol w:w="1700"/>
        <w:gridCol w:w="1700"/>
        <w:gridCol w:w="1700"/>
      </w:tblGrid>
      <w:tr>
        <w:tc>
          <w:tcPr>
            <w:tcW w:type="dxa" w:w="3742"/>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Creator</w:t>
            </w:r>
          </w:p>
        </w:tc>
        <w:tc>
          <w:tcPr>
            <w:tcW w:type="dxa" w:w="1361"/>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Country</w:t>
            </w:r>
          </w:p>
        </w:tc>
        <w:tc>
          <w:tcPr>
            <w:tcW w:type="dxa" w:w="1417"/>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Snippets (n)</w:t>
            </w:r>
          </w:p>
        </w:tc>
        <w:tc>
          <w:tcPr>
            <w:tcW w:type="dxa" w:w="1587"/>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Comments (n)</w:t>
            </w:r>
          </w:p>
        </w:tc>
        <w:tc>
          <w:tcPr>
            <w:tcW w:type="dxa" w:w="1134"/>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Reg. %</w:t>
            </w:r>
          </w:p>
        </w:tc>
        <w:tc>
          <w:tcPr>
            <w:tcW w:type="dxa" w:w="1134"/>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Prog. %</w:t>
            </w:r>
          </w:p>
        </w:tc>
      </w:tr>
      <w:tr>
        <w:tc>
          <w:tcPr>
            <w:tcW w:type="dxa" w:w="3742"/>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Onyango Otieno (Rixpoet)</w:t>
            </w:r>
          </w:p>
        </w:tc>
        <w:tc>
          <w:tcPr>
            <w:tcW w:type="dxa" w:w="1361"/>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Kenya</w:t>
            </w:r>
          </w:p>
        </w:tc>
        <w:tc>
          <w:tcPr>
            <w:tcW w:type="dxa" w:w="1417"/>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100</w:t>
            </w:r>
          </w:p>
        </w:tc>
        <w:tc>
          <w:tcPr>
            <w:tcW w:type="dxa" w:w="1587"/>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92</w:t>
            </w:r>
          </w:p>
        </w:tc>
        <w:tc>
          <w:tcPr>
            <w:tcW w:type="dxa" w:w="113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9%</w:t>
            </w:r>
          </w:p>
        </w:tc>
        <w:tc>
          <w:tcPr>
            <w:tcW w:type="dxa" w:w="113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49%</w:t>
            </w:r>
          </w:p>
        </w:tc>
      </w:tr>
      <w:tr>
        <w:tc>
          <w:tcPr>
            <w:tcW w:type="dxa" w:w="3742"/>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Eric Amunga (Amerix)</w:t>
            </w:r>
          </w:p>
        </w:tc>
        <w:tc>
          <w:tcPr>
            <w:tcW w:type="dxa" w:w="1361"/>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Kenya</w:t>
            </w:r>
          </w:p>
        </w:tc>
        <w:tc>
          <w:tcPr>
            <w:tcW w:type="dxa" w:w="1417"/>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97</w:t>
            </w:r>
          </w:p>
        </w:tc>
        <w:tc>
          <w:tcPr>
            <w:tcW w:type="dxa" w:w="1587"/>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140</w:t>
            </w:r>
          </w:p>
        </w:tc>
        <w:tc>
          <w:tcPr>
            <w:tcW w:type="dxa" w:w="1134"/>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86%</w:t>
            </w:r>
          </w:p>
        </w:tc>
        <w:tc>
          <w:tcPr>
            <w:tcW w:type="dxa" w:w="1134"/>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12%</w:t>
            </w:r>
          </w:p>
        </w:tc>
      </w:tr>
      <w:tr>
        <w:tc>
          <w:tcPr>
            <w:tcW w:type="dxa" w:w="3742"/>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Andrew Kibe</w:t>
            </w:r>
          </w:p>
        </w:tc>
        <w:tc>
          <w:tcPr>
            <w:tcW w:type="dxa" w:w="1361"/>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Kenya</w:t>
            </w:r>
          </w:p>
        </w:tc>
        <w:tc>
          <w:tcPr>
            <w:tcW w:type="dxa" w:w="1417"/>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91</w:t>
            </w:r>
          </w:p>
        </w:tc>
        <w:tc>
          <w:tcPr>
            <w:tcW w:type="dxa" w:w="1587"/>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70</w:t>
            </w:r>
          </w:p>
        </w:tc>
        <w:tc>
          <w:tcPr>
            <w:tcW w:type="dxa" w:w="113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81%</w:t>
            </w:r>
          </w:p>
        </w:tc>
        <w:tc>
          <w:tcPr>
            <w:tcW w:type="dxa" w:w="113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13%</w:t>
            </w:r>
          </w:p>
        </w:tc>
      </w:tr>
      <w:tr>
        <w:tc>
          <w:tcPr>
            <w:tcW w:type="dxa" w:w="3742"/>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Eddy Kimani</w:t>
            </w:r>
          </w:p>
        </w:tc>
        <w:tc>
          <w:tcPr>
            <w:tcW w:type="dxa" w:w="1361"/>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Kenya</w:t>
            </w:r>
          </w:p>
        </w:tc>
        <w:tc>
          <w:tcPr>
            <w:tcW w:type="dxa" w:w="1417"/>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65</w:t>
            </w:r>
          </w:p>
        </w:tc>
        <w:tc>
          <w:tcPr>
            <w:tcW w:type="dxa" w:w="1587"/>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110</w:t>
            </w:r>
          </w:p>
        </w:tc>
        <w:tc>
          <w:tcPr>
            <w:tcW w:type="dxa" w:w="1134"/>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2%</w:t>
            </w:r>
          </w:p>
        </w:tc>
        <w:tc>
          <w:tcPr>
            <w:tcW w:type="dxa" w:w="1134"/>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71%</w:t>
            </w:r>
          </w:p>
        </w:tc>
      </w:tr>
      <w:tr>
        <w:tc>
          <w:tcPr>
            <w:tcW w:type="dxa" w:w="3742"/>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Philip Karanja</w:t>
            </w:r>
          </w:p>
        </w:tc>
        <w:tc>
          <w:tcPr>
            <w:tcW w:type="dxa" w:w="1361"/>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Kenya</w:t>
            </w:r>
          </w:p>
        </w:tc>
        <w:tc>
          <w:tcPr>
            <w:tcW w:type="dxa" w:w="1417"/>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41</w:t>
            </w:r>
          </w:p>
        </w:tc>
        <w:tc>
          <w:tcPr>
            <w:tcW w:type="dxa" w:w="1587"/>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0</w:t>
            </w:r>
          </w:p>
        </w:tc>
        <w:tc>
          <w:tcPr>
            <w:tcW w:type="dxa" w:w="113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10%</w:t>
            </w:r>
          </w:p>
        </w:tc>
        <w:tc>
          <w:tcPr>
            <w:tcW w:type="dxa" w:w="113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46%</w:t>
            </w:r>
          </w:p>
        </w:tc>
      </w:tr>
      <w:tr>
        <w:tc>
          <w:tcPr>
            <w:tcW w:type="dxa" w:w="3742"/>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Ebuka Obi-Uchendu</w:t>
            </w:r>
          </w:p>
        </w:tc>
        <w:tc>
          <w:tcPr>
            <w:tcW w:type="dxa" w:w="1361"/>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Nigeria</w:t>
            </w:r>
          </w:p>
        </w:tc>
        <w:tc>
          <w:tcPr>
            <w:tcW w:type="dxa" w:w="1417"/>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83</w:t>
            </w:r>
          </w:p>
        </w:tc>
        <w:tc>
          <w:tcPr>
            <w:tcW w:type="dxa" w:w="1587"/>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0</w:t>
            </w:r>
          </w:p>
        </w:tc>
        <w:tc>
          <w:tcPr>
            <w:tcW w:type="dxa" w:w="1134"/>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16%</w:t>
            </w:r>
          </w:p>
        </w:tc>
        <w:tc>
          <w:tcPr>
            <w:tcW w:type="dxa" w:w="1134"/>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34%</w:t>
            </w:r>
          </w:p>
        </w:tc>
      </w:tr>
      <w:tr>
        <w:tc>
          <w:tcPr>
            <w:tcW w:type="dxa" w:w="3742"/>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Agba John Doe</w:t>
            </w:r>
          </w:p>
        </w:tc>
        <w:tc>
          <w:tcPr>
            <w:tcW w:type="dxa" w:w="1361"/>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Nigeria</w:t>
            </w:r>
          </w:p>
        </w:tc>
        <w:tc>
          <w:tcPr>
            <w:tcW w:type="dxa" w:w="1417"/>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77</w:t>
            </w:r>
          </w:p>
        </w:tc>
        <w:tc>
          <w:tcPr>
            <w:tcW w:type="dxa" w:w="1587"/>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161</w:t>
            </w:r>
          </w:p>
        </w:tc>
        <w:tc>
          <w:tcPr>
            <w:tcW w:type="dxa" w:w="113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78%</w:t>
            </w:r>
          </w:p>
        </w:tc>
        <w:tc>
          <w:tcPr>
            <w:tcW w:type="dxa" w:w="113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10%</w:t>
            </w:r>
          </w:p>
        </w:tc>
      </w:tr>
      <w:tr>
        <w:tc>
          <w:tcPr>
            <w:tcW w:type="dxa" w:w="3742"/>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Banky Wellington</w:t>
            </w:r>
          </w:p>
        </w:tc>
        <w:tc>
          <w:tcPr>
            <w:tcW w:type="dxa" w:w="1361"/>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Nigeria</w:t>
            </w:r>
          </w:p>
        </w:tc>
        <w:tc>
          <w:tcPr>
            <w:tcW w:type="dxa" w:w="1417"/>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76</w:t>
            </w:r>
          </w:p>
        </w:tc>
        <w:tc>
          <w:tcPr>
            <w:tcW w:type="dxa" w:w="1587"/>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110</w:t>
            </w:r>
          </w:p>
        </w:tc>
        <w:tc>
          <w:tcPr>
            <w:tcW w:type="dxa" w:w="1134"/>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8%</w:t>
            </w:r>
          </w:p>
        </w:tc>
        <w:tc>
          <w:tcPr>
            <w:tcW w:type="dxa" w:w="1134"/>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64%</w:t>
            </w:r>
          </w:p>
        </w:tc>
      </w:tr>
      <w:tr>
        <w:tc>
          <w:tcPr>
            <w:tcW w:type="dxa" w:w="3742"/>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Shola</w:t>
            </w:r>
          </w:p>
        </w:tc>
        <w:tc>
          <w:tcPr>
            <w:tcW w:type="dxa" w:w="1361"/>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Nigeria</w:t>
            </w:r>
          </w:p>
        </w:tc>
        <w:tc>
          <w:tcPr>
            <w:tcW w:type="dxa" w:w="1417"/>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72</w:t>
            </w:r>
          </w:p>
        </w:tc>
        <w:tc>
          <w:tcPr>
            <w:tcW w:type="dxa" w:w="1587"/>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66</w:t>
            </w:r>
          </w:p>
        </w:tc>
        <w:tc>
          <w:tcPr>
            <w:tcW w:type="dxa" w:w="113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78%</w:t>
            </w:r>
          </w:p>
        </w:tc>
        <w:tc>
          <w:tcPr>
            <w:tcW w:type="dxa" w:w="113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14%</w:t>
            </w:r>
          </w:p>
        </w:tc>
      </w:tr>
      <w:tr>
        <w:tc>
          <w:tcPr>
            <w:tcW w:type="dxa" w:w="3742"/>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Wizarab</w:t>
            </w:r>
          </w:p>
        </w:tc>
        <w:tc>
          <w:tcPr>
            <w:tcW w:type="dxa" w:w="1361"/>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Nigeria</w:t>
            </w:r>
          </w:p>
        </w:tc>
        <w:tc>
          <w:tcPr>
            <w:tcW w:type="dxa" w:w="1417"/>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49</w:t>
            </w:r>
          </w:p>
        </w:tc>
        <w:tc>
          <w:tcPr>
            <w:tcW w:type="dxa" w:w="1587"/>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0</w:t>
            </w:r>
          </w:p>
        </w:tc>
        <w:tc>
          <w:tcPr>
            <w:tcW w:type="dxa" w:w="1134"/>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59%</w:t>
            </w:r>
          </w:p>
        </w:tc>
        <w:tc>
          <w:tcPr>
            <w:tcW w:type="dxa" w:w="1134"/>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14%</w:t>
            </w:r>
          </w:p>
        </w:tc>
      </w:tr>
      <w:tr>
        <w:tc>
          <w:tcPr>
            <w:tcW w:type="dxa" w:w="3742"/>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Deyemi Okanlawon</w:t>
            </w:r>
          </w:p>
        </w:tc>
        <w:tc>
          <w:tcPr>
            <w:tcW w:type="dxa" w:w="1361"/>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Nigeria</w:t>
            </w:r>
          </w:p>
        </w:tc>
        <w:tc>
          <w:tcPr>
            <w:tcW w:type="dxa" w:w="1417"/>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24</w:t>
            </w:r>
          </w:p>
        </w:tc>
        <w:tc>
          <w:tcPr>
            <w:tcW w:type="dxa" w:w="1587"/>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80</w:t>
            </w:r>
          </w:p>
        </w:tc>
        <w:tc>
          <w:tcPr>
            <w:tcW w:type="dxa" w:w="113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4%</w:t>
            </w:r>
          </w:p>
        </w:tc>
        <w:tc>
          <w:tcPr>
            <w:tcW w:type="dxa" w:w="113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62%</w:t>
            </w:r>
          </w:p>
        </w:tc>
      </w:tr>
    </w:tbl>
    <w:p>
      <w:pPr>
        <w:spacing w:after="40"/>
      </w:pPr>
    </w:p>
    <w:p>
      <w:pPr>
        <w:spacing w:after="80" w:before="0"/>
      </w:pPr>
      <w:r>
        <w:rPr>
          <w:rFonts w:ascii="Arial" w:hAnsi="Arial" w:cs="Arial" w:eastAsia="Arial"/>
          <w:b w:val="0"/>
          <w:i w:val="0"/>
          <w:color w:val="555555"/>
          <w:sz w:val="19"/>
        </w:rPr>
        <w:t>Reg. % and Prog. % are shares of that creator's content snippets coded as regressive or progressive respectively; the complement (24 percentage points on average) is the mixed or unclear share. Audience comments are not coded for regressive/progressive orientation; that axis applies to content snippets only.</w:t>
      </w:r>
    </w:p>
    <w:p>
      <w:pPr>
        <w:keepNext/>
        <w:spacing w:before="200" w:after="80"/>
      </w:pPr>
      <w:r>
        <w:rPr>
          <w:rFonts w:ascii="Arial" w:hAnsi="Arial" w:cs="Arial" w:eastAsia="Arial"/>
          <w:b/>
          <w:i w:val="0"/>
          <w:color w:val="1F2A44"/>
          <w:sz w:val="25"/>
        </w:rPr>
        <w:t>Part B · Content findings (Scope Component 2)</w:t>
      </w:r>
    </w:p>
    <w:p>
      <w:pPr>
        <w:keepNext/>
        <w:spacing w:before="200" w:after="80"/>
      </w:pPr>
      <w:r>
        <w:rPr>
          <w:rFonts w:ascii="Arial" w:hAnsi="Arial" w:cs="Arial" w:eastAsia="Arial"/>
          <w:b/>
          <w:i w:val="0"/>
          <w:color w:val="1F2A44"/>
          <w:sz w:val="22"/>
        </w:rPr>
        <w:t>3.  Core topics</w:t>
      </w:r>
    </w:p>
    <w:p>
      <w:pPr>
        <w:spacing w:after="80" w:before="0"/>
      </w:pPr>
      <w:r>
        <w:rPr>
          <w:rFonts w:ascii="Arial" w:hAnsi="Arial" w:cs="Arial" w:eastAsia="Arial"/>
          <w:b w:val="0"/>
          <w:i w:val="0"/>
          <w:color w:val="141414"/>
          <w:sz w:val="21"/>
        </w:rPr>
        <w:t>Kenya's content centres on mental health (31% of content snippets); Nigeria's on dating and relationships (38%). The two ecosystems pivot around different topic doors.</w:t>
      </w:r>
    </w:p>
    <w:tbl>
      <w:tblPr>
        <w:tblW w:type="auto" w:w="0"/>
        <w:tblLayout w:type="fixed"/>
        <w:tblLook w:firstColumn="1" w:firstRow="1" w:lastColumn="0" w:lastRow="0" w:noHBand="0" w:noVBand="1" w:val="04A0"/>
      </w:tblPr>
      <w:tblGrid>
        <w:gridCol w:w="3400"/>
        <w:gridCol w:w="3400"/>
        <w:gridCol w:w="3400"/>
      </w:tblGrid>
      <w:tr>
        <w:tc>
          <w:tcPr>
            <w:tcW w:type="dxa" w:w="4252"/>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Top topics — share of content snippets</w:t>
            </w:r>
          </w:p>
        </w:tc>
        <w:tc>
          <w:tcPr>
            <w:tcW w:type="dxa" w:w="2551"/>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Kenya (n=394)</w:t>
            </w:r>
          </w:p>
        </w:tc>
        <w:tc>
          <w:tcPr>
            <w:tcW w:type="dxa" w:w="2551"/>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Nigeria (n=381)</w:t>
            </w:r>
          </w:p>
        </w:tc>
      </w:tr>
      <w:tr>
        <w:tc>
          <w:tcPr>
            <w:tcW w:type="dxa" w:w="4252"/>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Mental health</w:t>
            </w:r>
          </w:p>
        </w:tc>
        <w:tc>
          <w:tcPr>
            <w:tcW w:type="dxa" w:w="2551"/>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31%</w:t>
            </w:r>
          </w:p>
        </w:tc>
        <w:tc>
          <w:tcPr>
            <w:tcW w:type="dxa" w:w="2551"/>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4%</w:t>
            </w:r>
          </w:p>
        </w:tc>
      </w:tr>
      <w:tr>
        <w:tc>
          <w:tcPr>
            <w:tcW w:type="dxa" w:w="4252"/>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Dating / relationships</w:t>
            </w:r>
          </w:p>
        </w:tc>
        <w:tc>
          <w:tcPr>
            <w:tcW w:type="dxa" w:w="2551"/>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16%</w:t>
            </w:r>
          </w:p>
        </w:tc>
        <w:tc>
          <w:tcPr>
            <w:tcW w:type="dxa" w:w="2551"/>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38%</w:t>
            </w:r>
          </w:p>
        </w:tc>
      </w:tr>
      <w:tr>
        <w:tc>
          <w:tcPr>
            <w:tcW w:type="dxa" w:w="4252"/>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Gender debate</w:t>
            </w:r>
          </w:p>
        </w:tc>
        <w:tc>
          <w:tcPr>
            <w:tcW w:type="dxa" w:w="2551"/>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14%</w:t>
            </w:r>
          </w:p>
        </w:tc>
        <w:tc>
          <w:tcPr>
            <w:tcW w:type="dxa" w:w="2551"/>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13%</w:t>
            </w:r>
          </w:p>
        </w:tc>
      </w:tr>
      <w:tr>
        <w:tc>
          <w:tcPr>
            <w:tcW w:type="dxa" w:w="4252"/>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Marriage / family</w:t>
            </w:r>
          </w:p>
        </w:tc>
        <w:tc>
          <w:tcPr>
            <w:tcW w:type="dxa" w:w="2551"/>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w:t>
            </w:r>
          </w:p>
        </w:tc>
        <w:tc>
          <w:tcPr>
            <w:tcW w:type="dxa" w:w="2551"/>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16%</w:t>
            </w:r>
          </w:p>
        </w:tc>
      </w:tr>
      <w:tr>
        <w:tc>
          <w:tcPr>
            <w:tcW w:type="dxa" w:w="4252"/>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Fatherhood / parenting</w:t>
            </w:r>
          </w:p>
        </w:tc>
        <w:tc>
          <w:tcPr>
            <w:tcW w:type="dxa" w:w="2551"/>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13%</w:t>
            </w:r>
          </w:p>
        </w:tc>
        <w:tc>
          <w:tcPr>
            <w:tcW w:type="dxa" w:w="2551"/>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w:t>
            </w:r>
          </w:p>
        </w:tc>
      </w:tr>
      <w:tr>
        <w:tc>
          <w:tcPr>
            <w:tcW w:type="dxa" w:w="4252"/>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Money / status</w:t>
            </w:r>
          </w:p>
        </w:tc>
        <w:tc>
          <w:tcPr>
            <w:tcW w:type="dxa" w:w="2551"/>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w:t>
            </w:r>
          </w:p>
        </w:tc>
        <w:tc>
          <w:tcPr>
            <w:tcW w:type="dxa" w:w="2551"/>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12%</w:t>
            </w:r>
          </w:p>
        </w:tc>
      </w:tr>
    </w:tbl>
    <w:p>
      <w:pPr>
        <w:spacing w:after="40"/>
      </w:pPr>
    </w:p>
    <w:p>
      <w:pPr>
        <w:keepNext/>
        <w:spacing w:before="200" w:after="80"/>
      </w:pPr>
      <w:r>
        <w:rPr>
          <w:rFonts w:ascii="Arial" w:hAnsi="Arial" w:cs="Arial" w:eastAsia="Arial"/>
          <w:b/>
          <w:i w:val="0"/>
          <w:color w:val="1F2A44"/>
          <w:sz w:val="22"/>
        </w:rPr>
        <w:t>4.  Masculinity narratives</w:t>
      </w:r>
    </w:p>
    <w:p>
      <w:pPr>
        <w:spacing w:after="80" w:before="0"/>
      </w:pPr>
      <w:r>
        <w:rPr>
          <w:rFonts w:ascii="Arial" w:hAnsi="Arial" w:cs="Arial" w:eastAsia="Arial"/>
          <w:b w:val="0"/>
          <w:i w:val="0"/>
          <w:color w:val="141414"/>
          <w:sz w:val="21"/>
        </w:rPr>
        <w:t>Each snippet is coded for the underlying masculinity model it advances (or "none" if the snippet is descriptive rather than prescriptive). At the corpus level:</w:t>
      </w:r>
    </w:p>
    <w:p>
      <w:pPr>
        <w:spacing w:after="40"/>
        <w:ind w:left="227"/>
      </w:pPr>
      <w:r>
        <w:rPr>
          <w:rFonts w:ascii="Arial" w:hAnsi="Arial" w:cs="Arial" w:eastAsia="Arial"/>
          <w:b w:val="0"/>
          <w:i w:val="0"/>
          <w:color w:val="141414"/>
          <w:sz w:val="21"/>
        </w:rPr>
        <w:t>• Kenya — the most frequent narrative is "men are disadvantaged victims" (92 snippets); it is the top narrative for Rixpoet and Eddy Kimani. "Men should provide and succeed" tops Kibe. "Men should protect women and children" tops Amerix and Philip Karanja. The progressive counter-narrative "men should be emotionally open" accounts for 41 snippets, concentrated under Rixpoet and Eddy.</w:t>
      </w:r>
    </w:p>
    <w:p>
      <w:pPr>
        <w:spacing w:after="40"/>
        <w:ind w:left="227"/>
      </w:pPr>
      <w:r>
        <w:rPr>
          <w:rFonts w:ascii="Arial" w:hAnsi="Arial" w:cs="Arial" w:eastAsia="Arial"/>
          <w:b w:val="0"/>
          <w:i w:val="0"/>
          <w:color w:val="141414"/>
          <w:sz w:val="21"/>
        </w:rPr>
        <w:t>• Nigeria — "men should provide and succeed" is the most frequent narrative (79 snippets) and tops Ebuka, Agba John Doe, and Wizarab. "Men should protect women and children" tops Banky Wellington. "Men are disadvantaged victims" tops Shola. "Men should improve themselves" tops Deyemi. The progressive counter-narrative "men should be equal partners" accounts for 40 snippets and is concentrated under Banky and Deyemi.</w:t>
      </w:r>
    </w:p>
    <w:tbl>
      <w:tblPr>
        <w:tblW w:type="auto" w:w="0"/>
        <w:tblLayout w:type="fixed"/>
        <w:tblLook w:firstColumn="1" w:firstRow="1" w:lastColumn="0" w:lastRow="0" w:noHBand="0" w:noVBand="1" w:val="04A0"/>
      </w:tblPr>
      <w:tblGrid>
        <w:gridCol w:w="10200"/>
      </w:tblGrid>
      <w:tr>
        <w:tc>
          <w:tcPr>
            <w:tcW w:type="dxa" w:w="10200"/>
            <w:shd w:val="clear" w:color="auto" w:fill="F2F4F7"/>
            <w:tcBorders>
              <w:top w:val="single" w:sz="4" w:color="D0D5DD"/>
              <w:left w:val="single" w:sz="4" w:color="D0D5DD"/>
              <w:bottom w:val="single" w:sz="4" w:color="D0D5DD"/>
              <w:right w:val="single" w:sz="4" w:color="D0D5DD"/>
            </w:tcBorders>
          </w:tcPr>
          <w:p>
            <w:pPr>
              <w:spacing w:after="40"/>
            </w:pPr>
            <w:r/>
            <w:r>
              <w:rPr>
                <w:rFonts w:ascii="Arial" w:hAnsi="Arial" w:cs="Arial" w:eastAsia="Arial"/>
                <w:b/>
                <w:i w:val="0"/>
                <w:color w:val="1F2A44"/>
                <w:sz w:val="20"/>
              </w:rPr>
              <w:t>Cross-country narrative contrast</w:t>
            </w:r>
          </w:p>
          <w:p>
            <w:pPr>
              <w:spacing w:after="40"/>
            </w:pPr>
            <w:r>
              <w:rPr>
                <w:rFonts w:ascii="Arial" w:hAnsi="Arial" w:cs="Arial" w:eastAsia="Arial"/>
                <w:b w:val="0"/>
                <w:i w:val="0"/>
                <w:color w:val="141414"/>
                <w:sz w:val="20"/>
              </w:rPr>
              <w:t>Vulnerability counter-narrative ("emotionally open") is alive in Kenya (41 snippets) and thin in Nigeria (14).</w:t>
            </w:r>
          </w:p>
          <w:p>
            <w:pPr>
              <w:spacing w:after="40"/>
            </w:pPr>
            <w:r>
              <w:rPr>
                <w:rFonts w:ascii="Arial" w:hAnsi="Arial" w:cs="Arial" w:eastAsia="Arial"/>
                <w:b w:val="0"/>
                <w:i w:val="0"/>
                <w:color w:val="141414"/>
                <w:sz w:val="20"/>
              </w:rPr>
              <w:t>Equality counter-narrative ("equal partners") is alive in Nigeria (40 snippets) and nearly absent in Kenya (4).</w:t>
            </w:r>
          </w:p>
        </w:tc>
      </w:tr>
    </w:tbl>
    <w:p>
      <w:pPr>
        <w:spacing w:after="40"/>
      </w:pPr>
    </w:p>
    <w:p>
      <w:pPr>
        <w:keepNext/>
        <w:spacing w:before="200" w:after="80"/>
      </w:pPr>
      <w:r>
        <w:rPr>
          <w:rFonts w:ascii="Arial" w:hAnsi="Arial" w:cs="Arial" w:eastAsia="Arial"/>
          <w:b/>
          <w:i w:val="0"/>
          <w:color w:val="1F2A44"/>
          <w:sz w:val="22"/>
        </w:rPr>
        <w:t>5.  Themes and framing</w:t>
      </w:r>
    </w:p>
    <w:p>
      <w:pPr>
        <w:spacing w:after="80" w:before="0"/>
      </w:pPr>
      <w:r>
        <w:rPr>
          <w:rFonts w:ascii="Arial" w:hAnsi="Arial" w:cs="Arial" w:eastAsia="Arial"/>
          <w:b w:val="0"/>
          <w:i w:val="0"/>
          <w:color w:val="141414"/>
          <w:sz w:val="21"/>
        </w:rPr>
        <w:t>Each snippet and comment is coded for its dominant frame. The table below reports the top frames per country on the content side and the audience side; "content" and "audience" are counts in their respective corpora and are not directly comparable without their denominators.</w:t>
      </w:r>
    </w:p>
    <w:tbl>
      <w:tblPr>
        <w:tblW w:type="auto" w:w="0"/>
        <w:tblLayout w:type="fixed"/>
        <w:tblLook w:firstColumn="1" w:firstRow="1" w:lastColumn="0" w:lastRow="0" w:noHBand="0" w:noVBand="1" w:val="04A0"/>
      </w:tblPr>
      <w:tblGrid>
        <w:gridCol w:w="2040"/>
        <w:gridCol w:w="2040"/>
        <w:gridCol w:w="2040"/>
        <w:gridCol w:w="2040"/>
        <w:gridCol w:w="2040"/>
      </w:tblGrid>
      <w:tr>
        <w:tc>
          <w:tcPr>
            <w:tcW w:type="dxa" w:w="2948"/>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Frame</w:t>
            </w:r>
          </w:p>
        </w:tc>
        <w:tc>
          <w:tcPr>
            <w:tcW w:type="dxa" w:w="1814"/>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KE content (n=394)</w:t>
            </w:r>
          </w:p>
        </w:tc>
        <w:tc>
          <w:tcPr>
            <w:tcW w:type="dxa" w:w="1814"/>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KE audience (n=412)</w:t>
            </w:r>
          </w:p>
        </w:tc>
        <w:tc>
          <w:tcPr>
            <w:tcW w:type="dxa" w:w="1814"/>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NG content (n=381)</w:t>
            </w:r>
          </w:p>
        </w:tc>
        <w:tc>
          <w:tcPr>
            <w:tcW w:type="dxa" w:w="1814"/>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NG audience (n=417)</w:t>
            </w:r>
          </w:p>
        </w:tc>
      </w:tr>
      <w:tr>
        <w:tc>
          <w:tcPr>
            <w:tcW w:type="dxa" w:w="2948"/>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Traditional gender order</w:t>
            </w:r>
          </w:p>
        </w:tc>
        <w:tc>
          <w:tcPr>
            <w:tcW w:type="dxa" w:w="181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79</w:t>
            </w:r>
          </w:p>
        </w:tc>
        <w:tc>
          <w:tcPr>
            <w:tcW w:type="dxa" w:w="181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58</w:t>
            </w:r>
          </w:p>
        </w:tc>
        <w:tc>
          <w:tcPr>
            <w:tcW w:type="dxa" w:w="181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61</w:t>
            </w:r>
          </w:p>
        </w:tc>
        <w:tc>
          <w:tcPr>
            <w:tcW w:type="dxa" w:w="181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111</w:t>
            </w:r>
          </w:p>
        </w:tc>
      </w:tr>
      <w:tr>
        <w:tc>
          <w:tcPr>
            <w:tcW w:type="dxa" w:w="2948"/>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Trauma healing</w:t>
            </w:r>
          </w:p>
        </w:tc>
        <w:tc>
          <w:tcPr>
            <w:tcW w:type="dxa" w:w="1814"/>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59</w:t>
            </w:r>
          </w:p>
        </w:tc>
        <w:tc>
          <w:tcPr>
            <w:tcW w:type="dxa" w:w="1814"/>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62</w:t>
            </w:r>
          </w:p>
        </w:tc>
        <w:tc>
          <w:tcPr>
            <w:tcW w:type="dxa" w:w="1814"/>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5</w:t>
            </w:r>
          </w:p>
        </w:tc>
        <w:tc>
          <w:tcPr>
            <w:tcW w:type="dxa" w:w="1814"/>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1</w:t>
            </w:r>
          </w:p>
        </w:tc>
      </w:tr>
      <w:tr>
        <w:tc>
          <w:tcPr>
            <w:tcW w:type="dxa" w:w="2948"/>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Self-improvement</w:t>
            </w:r>
          </w:p>
        </w:tc>
        <w:tc>
          <w:tcPr>
            <w:tcW w:type="dxa" w:w="181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51</w:t>
            </w:r>
          </w:p>
        </w:tc>
        <w:tc>
          <w:tcPr>
            <w:tcW w:type="dxa" w:w="181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70</w:t>
            </w:r>
          </w:p>
        </w:tc>
        <w:tc>
          <w:tcPr>
            <w:tcW w:type="dxa" w:w="181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w:t>
            </w:r>
          </w:p>
        </w:tc>
        <w:tc>
          <w:tcPr>
            <w:tcW w:type="dxa" w:w="181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w:t>
            </w:r>
          </w:p>
        </w:tc>
      </w:tr>
      <w:tr>
        <w:tc>
          <w:tcPr>
            <w:tcW w:type="dxa" w:w="2948"/>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Provider pressure</w:t>
            </w:r>
          </w:p>
        </w:tc>
        <w:tc>
          <w:tcPr>
            <w:tcW w:type="dxa" w:w="1814"/>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18</w:t>
            </w:r>
          </w:p>
        </w:tc>
        <w:tc>
          <w:tcPr>
            <w:tcW w:type="dxa" w:w="1814"/>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59</w:t>
            </w:r>
          </w:p>
        </w:tc>
        <w:tc>
          <w:tcPr>
            <w:tcW w:type="dxa" w:w="1814"/>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w:t>
            </w:r>
          </w:p>
        </w:tc>
        <w:tc>
          <w:tcPr>
            <w:tcW w:type="dxa" w:w="1814"/>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w:t>
            </w:r>
          </w:p>
        </w:tc>
      </w:tr>
      <w:tr>
        <w:tc>
          <w:tcPr>
            <w:tcW w:type="dxa" w:w="2948"/>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Female blame</w:t>
            </w:r>
          </w:p>
        </w:tc>
        <w:tc>
          <w:tcPr>
            <w:tcW w:type="dxa" w:w="181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36</w:t>
            </w:r>
          </w:p>
        </w:tc>
        <w:tc>
          <w:tcPr>
            <w:tcW w:type="dxa" w:w="181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48</w:t>
            </w:r>
          </w:p>
        </w:tc>
        <w:tc>
          <w:tcPr>
            <w:tcW w:type="dxa" w:w="181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75</w:t>
            </w:r>
          </w:p>
        </w:tc>
        <w:tc>
          <w:tcPr>
            <w:tcW w:type="dxa" w:w="181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82</w:t>
            </w:r>
          </w:p>
        </w:tc>
      </w:tr>
      <w:tr>
        <w:tc>
          <w:tcPr>
            <w:tcW w:type="dxa" w:w="2948"/>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Violence / safety</w:t>
            </w:r>
          </w:p>
        </w:tc>
        <w:tc>
          <w:tcPr>
            <w:tcW w:type="dxa" w:w="1814"/>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w:t>
            </w:r>
          </w:p>
        </w:tc>
        <w:tc>
          <w:tcPr>
            <w:tcW w:type="dxa" w:w="1814"/>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w:t>
            </w:r>
          </w:p>
        </w:tc>
        <w:tc>
          <w:tcPr>
            <w:tcW w:type="dxa" w:w="1814"/>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3</w:t>
            </w:r>
          </w:p>
        </w:tc>
        <w:tc>
          <w:tcPr>
            <w:tcW w:type="dxa" w:w="1814"/>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39</w:t>
            </w:r>
          </w:p>
        </w:tc>
      </w:tr>
    </w:tbl>
    <w:p>
      <w:pPr>
        <w:spacing w:after="40"/>
      </w:pPr>
    </w:p>
    <w:p>
      <w:pPr>
        <w:spacing w:after="40"/>
        <w:ind w:left="227"/>
      </w:pPr>
      <w:r>
        <w:rPr>
          <w:rFonts w:ascii="Arial" w:hAnsi="Arial" w:cs="Arial" w:eastAsia="Arial"/>
          <w:b w:val="0"/>
          <w:i w:val="0"/>
          <w:color w:val="141414"/>
          <w:sz w:val="21"/>
        </w:rPr>
        <w:t>• Kenya — content and audience track each other on traditional gender order and trauma healing. The audience opens self-improvement (51 → 70) and provider pressure (18 → 59) more often than the content does.</w:t>
      </w:r>
    </w:p>
    <w:p>
      <w:pPr>
        <w:spacing w:after="40"/>
        <w:ind w:left="227"/>
      </w:pPr>
      <w:r>
        <w:rPr>
          <w:rFonts w:ascii="Arial" w:hAnsi="Arial" w:cs="Arial" w:eastAsia="Arial"/>
          <w:b w:val="0"/>
          <w:i w:val="0"/>
          <w:color w:val="141414"/>
          <w:sz w:val="21"/>
        </w:rPr>
        <w:t>• Nigeria — the audience inflates traditional gender order (61 → 111) and female blame (75 → 82). Violence / safety appears in 39 audience comments under only 3 content snippets (see §20).</w:t>
      </w:r>
    </w:p>
    <w:p>
      <w:pPr>
        <w:keepNext/>
        <w:spacing w:before="200" w:after="80"/>
      </w:pPr>
      <w:r>
        <w:rPr>
          <w:rFonts w:ascii="Arial" w:hAnsi="Arial" w:cs="Arial" w:eastAsia="Arial"/>
          <w:b/>
          <w:i w:val="0"/>
          <w:color w:val="1F2A44"/>
          <w:sz w:val="22"/>
        </w:rPr>
        <w:t>6.  Problems and solutions diagnosed</w:t>
      </w:r>
    </w:p>
    <w:p>
      <w:pPr>
        <w:spacing w:after="80" w:before="0"/>
      </w:pPr>
      <w:r>
        <w:rPr>
          <w:rFonts w:ascii="Arial" w:hAnsi="Arial" w:cs="Arial" w:eastAsia="Arial"/>
          <w:b w:val="0"/>
          <w:i w:val="0"/>
          <w:color w:val="141414"/>
          <w:sz w:val="21"/>
        </w:rPr>
        <w:t>Each snippet is coded for the problem it identifies (what is wrong) and the solution it prescribes (if any).</w:t>
      </w:r>
    </w:p>
    <w:tbl>
      <w:tblPr>
        <w:tblW w:type="auto" w:w="0"/>
        <w:tblLayout w:type="fixed"/>
        <w:tblLook w:firstColumn="1" w:firstRow="1" w:lastColumn="0" w:lastRow="0" w:noHBand="0" w:noVBand="1" w:val="04A0"/>
      </w:tblPr>
      <w:tblGrid>
        <w:gridCol w:w="3400"/>
        <w:gridCol w:w="3400"/>
        <w:gridCol w:w="3400"/>
      </w:tblGrid>
      <w:tr>
        <w:tc>
          <w:tcPr>
            <w:tcW w:type="dxa" w:w="2551"/>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r>
          </w:p>
        </w:tc>
        <w:tc>
          <w:tcPr>
            <w:tcW w:type="dxa" w:w="3685"/>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Kenya (n=394)</w:t>
            </w:r>
          </w:p>
        </w:tc>
        <w:tc>
          <w:tcPr>
            <w:tcW w:type="dxa" w:w="3685"/>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Nigeria (n=381)</w:t>
            </w:r>
          </w:p>
        </w:tc>
      </w:tr>
      <w:tr>
        <w:tc>
          <w:tcPr>
            <w:tcW w:type="dxa" w:w="2551"/>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Top problem</w:t>
            </w:r>
          </w:p>
        </w:tc>
        <w:tc>
          <w:tcPr>
            <w:tcW w:type="dxa" w:w="3685"/>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Men's behaviour; mental health is unusually high (66)</w:t>
            </w:r>
          </w:p>
        </w:tc>
        <w:tc>
          <w:tcPr>
            <w:tcW w:type="dxa" w:w="3685"/>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Men's behaviour; women / feminism; mental health nearly absent (3)</w:t>
            </w:r>
          </w:p>
        </w:tc>
      </w:tr>
      <w:tr>
        <w:tc>
          <w:tcPr>
            <w:tcW w:type="dxa" w:w="2551"/>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Top solution</w:t>
            </w:r>
          </w:p>
        </w:tc>
        <w:tc>
          <w:tcPr>
            <w:tcW w:type="dxa" w:w="3685"/>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Emotional growth and healing (102)</w:t>
            </w:r>
          </w:p>
        </w:tc>
        <w:tc>
          <w:tcPr>
            <w:tcW w:type="dxa" w:w="3685"/>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Family responsibility (54); emotional growth a distant second (36)</w:t>
            </w:r>
          </w:p>
        </w:tc>
      </w:tr>
      <w:tr>
        <w:tc>
          <w:tcPr>
            <w:tcW w:type="dxa" w:w="2551"/>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No-clear-solution share</w:t>
            </w:r>
          </w:p>
        </w:tc>
        <w:tc>
          <w:tcPr>
            <w:tcW w:type="dxa" w:w="3685"/>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172 / 394 = 44%</w:t>
            </w:r>
          </w:p>
        </w:tc>
        <w:tc>
          <w:tcPr>
            <w:tcW w:type="dxa" w:w="3685"/>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226 / 381 = 59%</w:t>
            </w:r>
          </w:p>
        </w:tc>
      </w:tr>
    </w:tbl>
    <w:p>
      <w:pPr>
        <w:spacing w:after="40"/>
      </w:pPr>
    </w:p>
    <w:p>
      <w:pPr>
        <w:keepNext/>
        <w:spacing w:before="200" w:after="80"/>
      </w:pPr>
      <w:r>
        <w:rPr>
          <w:rFonts w:ascii="Arial" w:hAnsi="Arial" w:cs="Arial" w:eastAsia="Arial"/>
          <w:b/>
          <w:i w:val="0"/>
          <w:color w:val="1F2A44"/>
          <w:sz w:val="22"/>
        </w:rPr>
        <w:t>7.  Three-axis sentiment</w:t>
      </w:r>
    </w:p>
    <w:p>
      <w:pPr>
        <w:spacing w:after="80" w:before="0"/>
      </w:pPr>
      <w:r>
        <w:rPr>
          <w:rFonts w:ascii="Arial" w:hAnsi="Arial" w:cs="Arial" w:eastAsia="Arial"/>
          <w:b w:val="0"/>
          <w:i w:val="0"/>
          <w:color w:val="141414"/>
          <w:sz w:val="21"/>
        </w:rPr>
        <w:t>Sentiment is coded separately for three targets within each content snippet: men, women, and traditional gender norms. Each row of each table below sums to the country's content-snippet n. Audience-side sentiment is reported in Section 14.</w:t>
      </w:r>
    </w:p>
    <w:p>
      <w:pPr>
        <w:spacing w:after="80" w:before="0"/>
      </w:pPr>
      <w:r>
        <w:rPr>
          <w:rFonts w:ascii="Arial" w:hAnsi="Arial" w:cs="Arial" w:eastAsia="Arial"/>
          <w:b w:val="0"/>
          <w:i/>
          <w:color w:val="141414"/>
          <w:sz w:val="20"/>
        </w:rPr>
        <w:t>Kenya · content snippets · n = 394</w:t>
      </w:r>
    </w:p>
    <w:tbl>
      <w:tblPr>
        <w:tblW w:type="auto" w:w="0"/>
        <w:tblLayout w:type="fixed"/>
        <w:tblLook w:firstColumn="1" w:firstRow="1" w:lastColumn="0" w:lastRow="0" w:noHBand="0" w:noVBand="1" w:val="04A0"/>
      </w:tblPr>
      <w:tblGrid>
        <w:gridCol w:w="1700"/>
        <w:gridCol w:w="1700"/>
        <w:gridCol w:w="1700"/>
        <w:gridCol w:w="1700"/>
        <w:gridCol w:w="1700"/>
        <w:gridCol w:w="1700"/>
      </w:tblGrid>
      <w:tr>
        <w:tc>
          <w:tcPr>
            <w:tcW w:type="dxa" w:w="1984"/>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Target</w:t>
            </w:r>
          </w:p>
        </w:tc>
        <w:tc>
          <w:tcPr>
            <w:tcW w:type="dxa" w:w="1587"/>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Positive</w:t>
            </w:r>
          </w:p>
        </w:tc>
        <w:tc>
          <w:tcPr>
            <w:tcW w:type="dxa" w:w="1587"/>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Negative</w:t>
            </w:r>
          </w:p>
        </w:tc>
        <w:tc>
          <w:tcPr>
            <w:tcW w:type="dxa" w:w="1587"/>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Neutral</w:t>
            </w:r>
          </w:p>
        </w:tc>
        <w:tc>
          <w:tcPr>
            <w:tcW w:type="dxa" w:w="1417"/>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Unclear</w:t>
            </w:r>
          </w:p>
        </w:tc>
        <w:tc>
          <w:tcPr>
            <w:tcW w:type="dxa" w:w="1417"/>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Row n</w:t>
            </w:r>
          </w:p>
        </w:tc>
      </w:tr>
      <w:tr>
        <w:tc>
          <w:tcPr>
            <w:tcW w:type="dxa" w:w="198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Men</w:t>
            </w:r>
          </w:p>
        </w:tc>
        <w:tc>
          <w:tcPr>
            <w:tcW w:type="dxa" w:w="1587"/>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181</w:t>
            </w:r>
          </w:p>
        </w:tc>
        <w:tc>
          <w:tcPr>
            <w:tcW w:type="dxa" w:w="1587"/>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98</w:t>
            </w:r>
          </w:p>
        </w:tc>
        <w:tc>
          <w:tcPr>
            <w:tcW w:type="dxa" w:w="1587"/>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115</w:t>
            </w:r>
          </w:p>
        </w:tc>
        <w:tc>
          <w:tcPr>
            <w:tcW w:type="dxa" w:w="1417"/>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0</w:t>
            </w:r>
          </w:p>
        </w:tc>
        <w:tc>
          <w:tcPr>
            <w:tcW w:type="dxa" w:w="1417"/>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394</w:t>
            </w:r>
          </w:p>
        </w:tc>
      </w:tr>
      <w:tr>
        <w:tc>
          <w:tcPr>
            <w:tcW w:type="dxa" w:w="1984"/>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Women</w:t>
            </w:r>
          </w:p>
        </w:tc>
        <w:tc>
          <w:tcPr>
            <w:tcW w:type="dxa" w:w="1587"/>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27</w:t>
            </w:r>
          </w:p>
        </w:tc>
        <w:tc>
          <w:tcPr>
            <w:tcW w:type="dxa" w:w="1587"/>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127</w:t>
            </w:r>
          </w:p>
        </w:tc>
        <w:tc>
          <w:tcPr>
            <w:tcW w:type="dxa" w:w="1587"/>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234</w:t>
            </w:r>
          </w:p>
        </w:tc>
        <w:tc>
          <w:tcPr>
            <w:tcW w:type="dxa" w:w="1417"/>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6</w:t>
            </w:r>
          </w:p>
        </w:tc>
        <w:tc>
          <w:tcPr>
            <w:tcW w:type="dxa" w:w="1417"/>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394</w:t>
            </w:r>
          </w:p>
        </w:tc>
      </w:tr>
      <w:tr>
        <w:tc>
          <w:tcPr>
            <w:tcW w:type="dxa" w:w="198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Norms</w:t>
            </w:r>
          </w:p>
        </w:tc>
        <w:tc>
          <w:tcPr>
            <w:tcW w:type="dxa" w:w="1587"/>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65</w:t>
            </w:r>
          </w:p>
        </w:tc>
        <w:tc>
          <w:tcPr>
            <w:tcW w:type="dxa" w:w="1587"/>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153</w:t>
            </w:r>
          </w:p>
        </w:tc>
        <w:tc>
          <w:tcPr>
            <w:tcW w:type="dxa" w:w="1587"/>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174</w:t>
            </w:r>
          </w:p>
        </w:tc>
        <w:tc>
          <w:tcPr>
            <w:tcW w:type="dxa" w:w="1417"/>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2</w:t>
            </w:r>
          </w:p>
        </w:tc>
        <w:tc>
          <w:tcPr>
            <w:tcW w:type="dxa" w:w="1417"/>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394</w:t>
            </w:r>
          </w:p>
        </w:tc>
      </w:tr>
    </w:tbl>
    <w:p>
      <w:pPr>
        <w:spacing w:after="40"/>
      </w:pPr>
    </w:p>
    <w:p>
      <w:pPr>
        <w:spacing w:after="80" w:before="0"/>
      </w:pPr>
      <w:r>
        <w:rPr>
          <w:rFonts w:ascii="Arial" w:hAnsi="Arial" w:cs="Arial" w:eastAsia="Arial"/>
          <w:b w:val="0"/>
          <w:i/>
          <w:color w:val="141414"/>
          <w:sz w:val="20"/>
        </w:rPr>
        <w:t>Nigeria · content snippets · n = 381</w:t>
      </w:r>
    </w:p>
    <w:tbl>
      <w:tblPr>
        <w:tblW w:type="auto" w:w="0"/>
        <w:tblLayout w:type="fixed"/>
        <w:tblLook w:firstColumn="1" w:firstRow="1" w:lastColumn="0" w:lastRow="0" w:noHBand="0" w:noVBand="1" w:val="04A0"/>
      </w:tblPr>
      <w:tblGrid>
        <w:gridCol w:w="1700"/>
        <w:gridCol w:w="1700"/>
        <w:gridCol w:w="1700"/>
        <w:gridCol w:w="1700"/>
        <w:gridCol w:w="1700"/>
        <w:gridCol w:w="1700"/>
      </w:tblGrid>
      <w:tr>
        <w:tc>
          <w:tcPr>
            <w:tcW w:type="dxa" w:w="1984"/>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Target</w:t>
            </w:r>
          </w:p>
        </w:tc>
        <w:tc>
          <w:tcPr>
            <w:tcW w:type="dxa" w:w="1587"/>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Positive</w:t>
            </w:r>
          </w:p>
        </w:tc>
        <w:tc>
          <w:tcPr>
            <w:tcW w:type="dxa" w:w="1587"/>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Negative</w:t>
            </w:r>
          </w:p>
        </w:tc>
        <w:tc>
          <w:tcPr>
            <w:tcW w:type="dxa" w:w="1587"/>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Neutral</w:t>
            </w:r>
          </w:p>
        </w:tc>
        <w:tc>
          <w:tcPr>
            <w:tcW w:type="dxa" w:w="1417"/>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Unclear</w:t>
            </w:r>
          </w:p>
        </w:tc>
        <w:tc>
          <w:tcPr>
            <w:tcW w:type="dxa" w:w="1417"/>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Row n</w:t>
            </w:r>
          </w:p>
        </w:tc>
      </w:tr>
      <w:tr>
        <w:tc>
          <w:tcPr>
            <w:tcW w:type="dxa" w:w="198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Men</w:t>
            </w:r>
          </w:p>
        </w:tc>
        <w:tc>
          <w:tcPr>
            <w:tcW w:type="dxa" w:w="1587"/>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128</w:t>
            </w:r>
          </w:p>
        </w:tc>
        <w:tc>
          <w:tcPr>
            <w:tcW w:type="dxa" w:w="1587"/>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67</w:t>
            </w:r>
          </w:p>
        </w:tc>
        <w:tc>
          <w:tcPr>
            <w:tcW w:type="dxa" w:w="1587"/>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186</w:t>
            </w:r>
          </w:p>
        </w:tc>
        <w:tc>
          <w:tcPr>
            <w:tcW w:type="dxa" w:w="1417"/>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0</w:t>
            </w:r>
          </w:p>
        </w:tc>
        <w:tc>
          <w:tcPr>
            <w:tcW w:type="dxa" w:w="1417"/>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381</w:t>
            </w:r>
          </w:p>
        </w:tc>
      </w:tr>
      <w:tr>
        <w:tc>
          <w:tcPr>
            <w:tcW w:type="dxa" w:w="1984"/>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Women</w:t>
            </w:r>
          </w:p>
        </w:tc>
        <w:tc>
          <w:tcPr>
            <w:tcW w:type="dxa" w:w="1587"/>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48</w:t>
            </w:r>
          </w:p>
        </w:tc>
        <w:tc>
          <w:tcPr>
            <w:tcW w:type="dxa" w:w="1587"/>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137</w:t>
            </w:r>
          </w:p>
        </w:tc>
        <w:tc>
          <w:tcPr>
            <w:tcW w:type="dxa" w:w="1587"/>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195</w:t>
            </w:r>
          </w:p>
        </w:tc>
        <w:tc>
          <w:tcPr>
            <w:tcW w:type="dxa" w:w="1417"/>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1</w:t>
            </w:r>
          </w:p>
        </w:tc>
        <w:tc>
          <w:tcPr>
            <w:tcW w:type="dxa" w:w="1417"/>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381</w:t>
            </w:r>
          </w:p>
        </w:tc>
      </w:tr>
      <w:tr>
        <w:tc>
          <w:tcPr>
            <w:tcW w:type="dxa" w:w="198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Norms</w:t>
            </w:r>
          </w:p>
        </w:tc>
        <w:tc>
          <w:tcPr>
            <w:tcW w:type="dxa" w:w="1587"/>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51</w:t>
            </w:r>
          </w:p>
        </w:tc>
        <w:tc>
          <w:tcPr>
            <w:tcW w:type="dxa" w:w="1587"/>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183</w:t>
            </w:r>
          </w:p>
        </w:tc>
        <w:tc>
          <w:tcPr>
            <w:tcW w:type="dxa" w:w="1587"/>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147</w:t>
            </w:r>
          </w:p>
        </w:tc>
        <w:tc>
          <w:tcPr>
            <w:tcW w:type="dxa" w:w="1417"/>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0</w:t>
            </w:r>
          </w:p>
        </w:tc>
        <w:tc>
          <w:tcPr>
            <w:tcW w:type="dxa" w:w="1417"/>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381</w:t>
            </w:r>
          </w:p>
        </w:tc>
      </w:tr>
    </w:tbl>
    <w:p>
      <w:pPr>
        <w:spacing w:after="40"/>
      </w:pPr>
    </w:p>
    <w:p>
      <w:pPr>
        <w:spacing w:after="40"/>
        <w:ind w:left="227"/>
      </w:pPr>
      <w:r>
        <w:rPr>
          <w:rFonts w:ascii="Arial" w:hAnsi="Arial" w:cs="Arial" w:eastAsia="Arial"/>
          <w:b w:val="0"/>
          <w:i w:val="0"/>
          <w:color w:val="141414"/>
          <w:sz w:val="21"/>
        </w:rPr>
        <w:t>• Sentiment toward women is mostly neutral in both corpora. Content rarely takes an explicit positive or negative position on women; when it does, the modal direction is negative.</w:t>
      </w:r>
    </w:p>
    <w:p>
      <w:pPr>
        <w:spacing w:after="40"/>
        <w:ind w:left="227"/>
      </w:pPr>
      <w:r>
        <w:rPr>
          <w:rFonts w:ascii="Arial" w:hAnsi="Arial" w:cs="Arial" w:eastAsia="Arial"/>
          <w:b w:val="0"/>
          <w:i w:val="0"/>
          <w:color w:val="141414"/>
          <w:sz w:val="21"/>
        </w:rPr>
        <w:t>• Sentiment toward traditional norms is more polarised. Nigerian content is more critical of those norms (48% negative) than Kenyan content (39%).</w:t>
      </w:r>
    </w:p>
    <w:p>
      <w:pPr>
        <w:keepNext/>
        <w:spacing w:before="200" w:after="80"/>
      </w:pPr>
      <w:r>
        <w:rPr>
          <w:rFonts w:ascii="Arial" w:hAnsi="Arial" w:cs="Arial" w:eastAsia="Arial"/>
          <w:b/>
          <w:i w:val="0"/>
          <w:color w:val="1F2A44"/>
          <w:sz w:val="22"/>
        </w:rPr>
        <w:t>8.  Rhetorical strategies</w:t>
      </w:r>
    </w:p>
    <w:p>
      <w:pPr>
        <w:spacing w:after="80" w:before="0"/>
      </w:pPr>
      <w:r>
        <w:rPr>
          <w:rFonts w:ascii="Arial" w:hAnsi="Arial" w:cs="Arial" w:eastAsia="Arial"/>
          <w:b w:val="0"/>
          <w:i w:val="0"/>
          <w:color w:val="141414"/>
          <w:sz w:val="21"/>
        </w:rPr>
        <w:t>Each snippet is coded for its dominant rhetorical mode (commentary, advice, debate, personal story, testimony, motivational speech, religious/moral teaching, humour, warning, or news/facts).</w:t>
      </w:r>
    </w:p>
    <w:p>
      <w:pPr>
        <w:spacing w:after="40"/>
        <w:ind w:left="227"/>
      </w:pPr>
      <w:r>
        <w:rPr>
          <w:rFonts w:ascii="Arial" w:hAnsi="Arial" w:cs="Arial" w:eastAsia="Arial"/>
          <w:b w:val="0"/>
          <w:i w:val="0"/>
          <w:color w:val="141414"/>
          <w:sz w:val="21"/>
        </w:rPr>
        <w:t>• Kenya — testimony and personal story concentrate under Rixpoet and Eddy (94 personal-story and 21 testimony snippets combined). Advice and instruction concentrate under Amerix.</w:t>
      </w:r>
    </w:p>
    <w:p>
      <w:pPr>
        <w:spacing w:after="40"/>
        <w:ind w:left="227"/>
      </w:pPr>
      <w:r>
        <w:rPr>
          <w:rFonts w:ascii="Arial" w:hAnsi="Arial" w:cs="Arial" w:eastAsia="Arial"/>
          <w:b w:val="0"/>
          <w:i w:val="0"/>
          <w:color w:val="141414"/>
          <w:sz w:val="21"/>
        </w:rPr>
        <w:t>• Nigeria — debate / argument is highest under Deyemi; commentary / opinion dominates the rest (237 snippets overall).</w:t>
      </w:r>
    </w:p>
    <w:tbl>
      <w:tblPr>
        <w:tblW w:type="auto" w:w="0"/>
        <w:tblLayout w:type="fixed"/>
        <w:tblLook w:firstColumn="1" w:firstRow="1" w:lastColumn="0" w:lastRow="0" w:noHBand="0" w:noVBand="1" w:val="04A0"/>
      </w:tblPr>
      <w:tblGrid>
        <w:gridCol w:w="10200"/>
      </w:tblGrid>
      <w:tr>
        <w:tc>
          <w:tcPr>
            <w:tcW w:type="dxa" w:w="10200"/>
            <w:shd w:val="clear" w:color="auto" w:fill="F2F4F7"/>
            <w:tcBorders>
              <w:top w:val="single" w:sz="4" w:color="D0D5DD"/>
              <w:left w:val="single" w:sz="4" w:color="D0D5DD"/>
              <w:bottom w:val="single" w:sz="4" w:color="D0D5DD"/>
              <w:right w:val="single" w:sz="4" w:color="D0D5DD"/>
            </w:tcBorders>
          </w:tcPr>
          <w:p>
            <w:pPr>
              <w:spacing w:after="40"/>
            </w:pPr>
            <w:r/>
            <w:r>
              <w:rPr>
                <w:rFonts w:ascii="Arial" w:hAnsi="Arial" w:cs="Arial" w:eastAsia="Arial"/>
                <w:b/>
                <w:i w:val="0"/>
                <w:color w:val="1F2A44"/>
                <w:sz w:val="20"/>
              </w:rPr>
              <w:t>Why this matters</w:t>
            </w:r>
          </w:p>
          <w:p>
            <w:pPr>
              <w:spacing w:after="40"/>
            </w:pPr>
            <w:r>
              <w:rPr>
                <w:rFonts w:ascii="Arial" w:hAnsi="Arial" w:cs="Arial" w:eastAsia="Arial"/>
                <w:b w:val="0"/>
                <w:i w:val="0"/>
                <w:color w:val="141414"/>
                <w:sz w:val="20"/>
              </w:rPr>
              <w:t>The testimony + personal-story register in Kenya correlates with the highest rates of audience personal disclosure and learning / reflection (see §16). It is the strongest single rhetorical signature of progressive content in this sample.</w:t>
            </w:r>
          </w:p>
        </w:tc>
      </w:tr>
    </w:tbl>
    <w:p>
      <w:pPr>
        <w:spacing w:after="40"/>
      </w:pPr>
    </w:p>
    <w:p>
      <w:pPr>
        <w:keepNext/>
        <w:spacing w:before="200" w:after="80"/>
      </w:pPr>
      <w:r>
        <w:rPr>
          <w:rFonts w:ascii="Arial" w:hAnsi="Arial" w:cs="Arial" w:eastAsia="Arial"/>
          <w:b/>
          <w:i w:val="0"/>
          <w:color w:val="1F2A44"/>
          <w:sz w:val="22"/>
        </w:rPr>
        <w:t>9.  Argument types</w:t>
      </w:r>
    </w:p>
    <w:p>
      <w:pPr>
        <w:spacing w:after="80" w:before="0"/>
      </w:pPr>
      <w:r>
        <w:rPr>
          <w:rFonts w:ascii="Arial" w:hAnsi="Arial" w:cs="Arial" w:eastAsia="Arial"/>
          <w:b w:val="0"/>
          <w:i w:val="0"/>
          <w:color w:val="141414"/>
          <w:sz w:val="21"/>
        </w:rPr>
        <w:t>Generalisation dominates both corpora. Personal experience is the second-largest argument type in Kenyan content (driven by Rixpoet) but is overtaken by advice / instruction in Nigeria.</w:t>
      </w:r>
    </w:p>
    <w:tbl>
      <w:tblPr>
        <w:tblW w:type="auto" w:w="0"/>
        <w:tblLayout w:type="fixed"/>
        <w:tblLook w:firstColumn="1" w:firstRow="1" w:lastColumn="0" w:lastRow="0" w:noHBand="0" w:noVBand="1" w:val="04A0"/>
      </w:tblPr>
      <w:tblGrid>
        <w:gridCol w:w="3400"/>
        <w:gridCol w:w="3400"/>
        <w:gridCol w:w="3400"/>
      </w:tblGrid>
      <w:tr>
        <w:tc>
          <w:tcPr>
            <w:tcW w:type="dxa" w:w="4252"/>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Argument type (content)</w:t>
            </w:r>
          </w:p>
        </w:tc>
        <w:tc>
          <w:tcPr>
            <w:tcW w:type="dxa" w:w="2551"/>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Kenya (n=394)</w:t>
            </w:r>
          </w:p>
        </w:tc>
        <w:tc>
          <w:tcPr>
            <w:tcW w:type="dxa" w:w="2551"/>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Nigeria (n=381)</w:t>
            </w:r>
          </w:p>
        </w:tc>
      </w:tr>
      <w:tr>
        <w:tc>
          <w:tcPr>
            <w:tcW w:type="dxa" w:w="4252"/>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Generalisation</w:t>
            </w:r>
          </w:p>
        </w:tc>
        <w:tc>
          <w:tcPr>
            <w:tcW w:type="dxa" w:w="2551"/>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169</w:t>
            </w:r>
          </w:p>
        </w:tc>
        <w:tc>
          <w:tcPr>
            <w:tcW w:type="dxa" w:w="2551"/>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201</w:t>
            </w:r>
          </w:p>
        </w:tc>
      </w:tr>
      <w:tr>
        <w:tc>
          <w:tcPr>
            <w:tcW w:type="dxa" w:w="4252"/>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Personal experience</w:t>
            </w:r>
          </w:p>
        </w:tc>
        <w:tc>
          <w:tcPr>
            <w:tcW w:type="dxa" w:w="2551"/>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106</w:t>
            </w:r>
          </w:p>
        </w:tc>
        <w:tc>
          <w:tcPr>
            <w:tcW w:type="dxa" w:w="2551"/>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w:t>
            </w:r>
          </w:p>
        </w:tc>
      </w:tr>
      <w:tr>
        <w:tc>
          <w:tcPr>
            <w:tcW w:type="dxa" w:w="4252"/>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Advice / instruction</w:t>
            </w:r>
          </w:p>
        </w:tc>
        <w:tc>
          <w:tcPr>
            <w:tcW w:type="dxa" w:w="2551"/>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w:t>
            </w:r>
          </w:p>
        </w:tc>
        <w:tc>
          <w:tcPr>
            <w:tcW w:type="dxa" w:w="2551"/>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47</w:t>
            </w:r>
          </w:p>
        </w:tc>
      </w:tr>
    </w:tbl>
    <w:p>
      <w:pPr>
        <w:spacing w:after="40"/>
      </w:pPr>
    </w:p>
    <w:p>
      <w:pPr>
        <w:keepNext/>
        <w:spacing w:before="200" w:after="80"/>
      </w:pPr>
      <w:r>
        <w:rPr>
          <w:rFonts w:ascii="Arial" w:hAnsi="Arial" w:cs="Arial" w:eastAsia="Arial"/>
          <w:b/>
          <w:i w:val="0"/>
          <w:color w:val="1F2A44"/>
          <w:sz w:val="22"/>
        </w:rPr>
        <w:t>10.  Misogyny and sexism (content side)</w:t>
      </w:r>
    </w:p>
    <w:p>
      <w:pPr>
        <w:spacing w:after="80" w:before="0"/>
      </w:pPr>
      <w:r>
        <w:rPr>
          <w:rFonts w:ascii="Arial" w:hAnsi="Arial" w:cs="Arial" w:eastAsia="Arial"/>
          <w:b w:val="0"/>
          <w:i w:val="0"/>
          <w:color w:val="141414"/>
          <w:sz w:val="21"/>
        </w:rPr>
        <w:t>Hostile and dehumanising sexism is rare in absolute volume but tightly concentrated. Benevolent / traditional sexism — the "submit", "headship", "real man provides" register — is the broader vehicle through which gender hierarchy is reproduced as common-sense.</w:t>
      </w:r>
    </w:p>
    <w:p>
      <w:pPr>
        <w:spacing w:after="40"/>
        <w:ind w:left="227"/>
      </w:pPr>
      <w:r>
        <w:rPr>
          <w:rFonts w:ascii="Arial" w:hAnsi="Arial" w:cs="Arial" w:eastAsia="Arial"/>
          <w:b w:val="0"/>
          <w:i w:val="0"/>
          <w:color w:val="141414"/>
          <w:sz w:val="21"/>
        </w:rPr>
        <w:t>• Kenya — Amerix is the most hostile-sexism-heavy creator; Rixpoet and Eddy code 0%.</w:t>
      </w:r>
    </w:p>
    <w:p>
      <w:pPr>
        <w:spacing w:after="40"/>
        <w:ind w:left="227"/>
      </w:pPr>
      <w:r>
        <w:rPr>
          <w:rFonts w:ascii="Arial" w:hAnsi="Arial" w:cs="Arial" w:eastAsia="Arial"/>
          <w:b w:val="0"/>
          <w:i w:val="0"/>
          <w:color w:val="141414"/>
          <w:sz w:val="21"/>
        </w:rPr>
        <w:t>• Nigeria — Agba John Doe, Shola, and Wizarab carry most of the sexism load; Ebuka, Deyemi, and Banky code near zero.</w:t>
      </w:r>
    </w:p>
    <w:p>
      <w:pPr>
        <w:keepNext/>
        <w:spacing w:before="200" w:after="80"/>
      </w:pPr>
      <w:r>
        <w:rPr>
          <w:rFonts w:ascii="Arial" w:hAnsi="Arial" w:cs="Arial" w:eastAsia="Arial"/>
          <w:b/>
          <w:i w:val="0"/>
          <w:color w:val="1F2A44"/>
          <w:sz w:val="22"/>
        </w:rPr>
        <w:t>11.  Regressive ↔ progressive orientation by creator</w:t>
      </w:r>
    </w:p>
    <w:p>
      <w:pPr>
        <w:spacing w:after="80" w:before="0"/>
      </w:pPr>
      <w:r>
        <w:rPr>
          <w:rFonts w:ascii="Arial" w:hAnsi="Arial" w:cs="Arial" w:eastAsia="Arial"/>
          <w:b w:val="0"/>
          <w:i w:val="0"/>
          <w:color w:val="141414"/>
          <w:sz w:val="21"/>
        </w:rPr>
        <w:t>Each snippet is coded along a regressive ↔ progressive axis. Regressive: reinforces hierarchy, domination, female submission, misogyny, rigid provider roles, anti-feminism, or male grievance. Progressive: promotes equality, accountability, emotional openness, anti-violence, healing, or partnership. Snippets that do not fit either are coded mixed or unclear.</w:t>
      </w:r>
    </w:p>
    <w:p>
      <w:pPr>
        <w:spacing w:after="40"/>
        <w:ind w:left="227"/>
      </w:pPr>
      <w:r>
        <w:rPr>
          <w:rFonts w:ascii="Arial" w:hAnsi="Arial" w:cs="Arial" w:eastAsia="Arial"/>
          <w:b w:val="0"/>
          <w:i w:val="0"/>
          <w:color w:val="141414"/>
          <w:sz w:val="21"/>
        </w:rPr>
        <w:t>• Kenya — Kibe and Amerix sit at ~85% regressive. Eddy and Rixpoet are progressive-leaning. Philip's small sample (41) skews progressive but the n is too small for a stable read.</w:t>
      </w:r>
    </w:p>
    <w:p>
      <w:pPr>
        <w:spacing w:after="40"/>
        <w:ind w:left="227"/>
      </w:pPr>
      <w:r>
        <w:rPr>
          <w:rFonts w:ascii="Arial" w:hAnsi="Arial" w:cs="Arial" w:eastAsia="Arial"/>
          <w:b w:val="0"/>
          <w:i w:val="0"/>
          <w:color w:val="141414"/>
          <w:sz w:val="21"/>
        </w:rPr>
        <w:t>• Nigeria — Agba John Doe, Shola, and Wizarab are regressive-dominant. Banky and Deyemi are progressive-dominant. Ebuka is mixed-leaning-progressive.</w:t>
      </w:r>
    </w:p>
    <w:p>
      <w:pPr>
        <w:keepNext/>
        <w:spacing w:before="200" w:after="80"/>
      </w:pPr>
      <w:r>
        <w:rPr>
          <w:rFonts w:ascii="Arial" w:hAnsi="Arial" w:cs="Arial" w:eastAsia="Arial"/>
          <w:b/>
          <w:i w:val="0"/>
          <w:color w:val="1F2A44"/>
          <w:sz w:val="25"/>
        </w:rPr>
        <w:t>Part C · Content clusters and entry points</w:t>
      </w:r>
    </w:p>
    <w:p>
      <w:pPr>
        <w:keepNext/>
        <w:spacing w:before="200" w:after="80"/>
      </w:pPr>
      <w:r>
        <w:rPr>
          <w:rFonts w:ascii="Arial" w:hAnsi="Arial" w:cs="Arial" w:eastAsia="Arial"/>
          <w:b/>
          <w:i w:val="0"/>
          <w:color w:val="1F2A44"/>
          <w:sz w:val="22"/>
        </w:rPr>
        <w:t>12.  Per-creator profile</w:t>
      </w:r>
    </w:p>
    <w:p>
      <w:pPr>
        <w:spacing w:after="80" w:before="0"/>
      </w:pPr>
      <w:r>
        <w:rPr>
          <w:rFonts w:ascii="Arial" w:hAnsi="Arial" w:cs="Arial" w:eastAsia="Arial"/>
          <w:b w:val="0"/>
          <w:i w:val="0"/>
          <w:color w:val="141414"/>
          <w:sz w:val="21"/>
        </w:rPr>
        <w:t>Each row is one creator's dominant cluster across the scope-named outputs. Read each row as the creator's profile, not as a ranking against other creators. Sex % is the share of that creator's content snippets coded as carrying any positive level of hostile, dehumanising, or benevolent/traditional sexism. Sup % and Opp % are shares of that creator's audience comments coded as supporting or opposing the original post.</w:t>
      </w:r>
    </w:p>
    <w:p>
      <w:pPr>
        <w:spacing w:after="80" w:before="0"/>
      </w:pPr>
      <w:r>
        <w:rPr>
          <w:rFonts w:ascii="Arial" w:hAnsi="Arial" w:cs="Arial" w:eastAsia="Arial"/>
          <w:b w:val="0"/>
          <w:i/>
          <w:color w:val="141414"/>
          <w:sz w:val="20"/>
        </w:rPr>
        <w:t>Kenya</w:t>
      </w:r>
    </w:p>
    <w:tbl>
      <w:tblPr>
        <w:tblW w:type="auto" w:w="0"/>
        <w:tblLayout w:type="fixed"/>
        <w:tblLook w:firstColumn="1" w:firstRow="1" w:lastColumn="0" w:lastRow="0" w:noHBand="0" w:noVBand="1" w:val="04A0"/>
      </w:tblPr>
      <w:tblGrid>
        <w:gridCol w:w="1020"/>
        <w:gridCol w:w="1020"/>
        <w:gridCol w:w="1020"/>
        <w:gridCol w:w="1020"/>
        <w:gridCol w:w="1020"/>
        <w:gridCol w:w="1020"/>
        <w:gridCol w:w="1020"/>
        <w:gridCol w:w="1020"/>
        <w:gridCol w:w="1020"/>
        <w:gridCol w:w="1020"/>
      </w:tblGrid>
      <w:tr>
        <w:tc>
          <w:tcPr>
            <w:tcW w:type="dxa" w:w="1474"/>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Creator</w:t>
            </w:r>
          </w:p>
        </w:tc>
        <w:tc>
          <w:tcPr>
            <w:tcW w:type="dxa" w:w="1474"/>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Top topic</w:t>
            </w:r>
          </w:p>
        </w:tc>
        <w:tc>
          <w:tcPr>
            <w:tcW w:type="dxa" w:w="1701"/>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Top narrative</w:t>
            </w:r>
          </w:p>
        </w:tc>
        <w:tc>
          <w:tcPr>
            <w:tcW w:type="dxa" w:w="1474"/>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Top frame</w:t>
            </w:r>
          </w:p>
        </w:tc>
        <w:tc>
          <w:tcPr>
            <w:tcW w:type="dxa" w:w="1361"/>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Top rhetoric</w:t>
            </w:r>
          </w:p>
        </w:tc>
        <w:tc>
          <w:tcPr>
            <w:tcW w:type="dxa" w:w="680"/>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Reg %</w:t>
            </w:r>
          </w:p>
        </w:tc>
        <w:tc>
          <w:tcPr>
            <w:tcW w:type="dxa" w:w="680"/>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Prog %</w:t>
            </w:r>
          </w:p>
        </w:tc>
        <w:tc>
          <w:tcPr>
            <w:tcW w:type="dxa" w:w="680"/>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Sex %</w:t>
            </w:r>
          </w:p>
        </w:tc>
        <w:tc>
          <w:tcPr>
            <w:tcW w:type="dxa" w:w="680"/>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Sup %</w:t>
            </w:r>
          </w:p>
        </w:tc>
        <w:tc>
          <w:tcPr>
            <w:tcW w:type="dxa" w:w="680"/>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Opp %</w:t>
            </w:r>
          </w:p>
        </w:tc>
      </w:tr>
      <w:tr>
        <w:tc>
          <w:tcPr>
            <w:tcW w:type="dxa" w:w="147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Rixpoet</w:t>
            </w:r>
          </w:p>
        </w:tc>
        <w:tc>
          <w:tcPr>
            <w:tcW w:type="dxa" w:w="147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Mental health</w:t>
            </w:r>
          </w:p>
        </w:tc>
        <w:tc>
          <w:tcPr>
            <w:tcW w:type="dxa" w:w="1701"/>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Men are disadvantaged victims</w:t>
            </w:r>
          </w:p>
        </w:tc>
        <w:tc>
          <w:tcPr>
            <w:tcW w:type="dxa" w:w="147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Trauma healing</w:t>
            </w:r>
          </w:p>
        </w:tc>
        <w:tc>
          <w:tcPr>
            <w:tcW w:type="dxa" w:w="1361"/>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Personal story</w:t>
            </w:r>
          </w:p>
        </w:tc>
        <w:tc>
          <w:tcPr>
            <w:tcW w:type="dxa" w:w="680"/>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9%</w:t>
            </w:r>
          </w:p>
        </w:tc>
        <w:tc>
          <w:tcPr>
            <w:tcW w:type="dxa" w:w="680"/>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49%</w:t>
            </w:r>
          </w:p>
        </w:tc>
        <w:tc>
          <w:tcPr>
            <w:tcW w:type="dxa" w:w="680"/>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0%</w:t>
            </w:r>
          </w:p>
        </w:tc>
        <w:tc>
          <w:tcPr>
            <w:tcW w:type="dxa" w:w="680"/>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88%</w:t>
            </w:r>
          </w:p>
        </w:tc>
        <w:tc>
          <w:tcPr>
            <w:tcW w:type="dxa" w:w="680"/>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10%</w:t>
            </w:r>
          </w:p>
        </w:tc>
      </w:tr>
      <w:tr>
        <w:tc>
          <w:tcPr>
            <w:tcW w:type="dxa" w:w="1474"/>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Amerix</w:t>
            </w:r>
          </w:p>
        </w:tc>
        <w:tc>
          <w:tcPr>
            <w:tcW w:type="dxa" w:w="1474"/>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Dating / relationships</w:t>
            </w:r>
          </w:p>
        </w:tc>
        <w:tc>
          <w:tcPr>
            <w:tcW w:type="dxa" w:w="1701"/>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Men should protect women / children</w:t>
            </w:r>
          </w:p>
        </w:tc>
        <w:tc>
          <w:tcPr>
            <w:tcW w:type="dxa" w:w="1474"/>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Traditional gender order</w:t>
            </w:r>
          </w:p>
        </w:tc>
        <w:tc>
          <w:tcPr>
            <w:tcW w:type="dxa" w:w="1361"/>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Advice / instruction</w:t>
            </w:r>
          </w:p>
        </w:tc>
        <w:tc>
          <w:tcPr>
            <w:tcW w:type="dxa" w:w="680"/>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86%</w:t>
            </w:r>
          </w:p>
        </w:tc>
        <w:tc>
          <w:tcPr>
            <w:tcW w:type="dxa" w:w="680"/>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12%</w:t>
            </w:r>
          </w:p>
        </w:tc>
        <w:tc>
          <w:tcPr>
            <w:tcW w:type="dxa" w:w="680"/>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74%</w:t>
            </w:r>
          </w:p>
        </w:tc>
        <w:tc>
          <w:tcPr>
            <w:tcW w:type="dxa" w:w="680"/>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41%</w:t>
            </w:r>
          </w:p>
        </w:tc>
        <w:tc>
          <w:tcPr>
            <w:tcW w:type="dxa" w:w="680"/>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55%</w:t>
            </w:r>
          </w:p>
        </w:tc>
      </w:tr>
      <w:tr>
        <w:tc>
          <w:tcPr>
            <w:tcW w:type="dxa" w:w="147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Kibe</w:t>
            </w:r>
          </w:p>
        </w:tc>
        <w:tc>
          <w:tcPr>
            <w:tcW w:type="dxa" w:w="147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Marriage / family</w:t>
            </w:r>
          </w:p>
        </w:tc>
        <w:tc>
          <w:tcPr>
            <w:tcW w:type="dxa" w:w="1701"/>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Men should provide / succeed</w:t>
            </w:r>
          </w:p>
        </w:tc>
        <w:tc>
          <w:tcPr>
            <w:tcW w:type="dxa" w:w="147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Traditional gender order</w:t>
            </w:r>
          </w:p>
        </w:tc>
        <w:tc>
          <w:tcPr>
            <w:tcW w:type="dxa" w:w="1361"/>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Commentary / opinion</w:t>
            </w:r>
          </w:p>
        </w:tc>
        <w:tc>
          <w:tcPr>
            <w:tcW w:type="dxa" w:w="680"/>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81%</w:t>
            </w:r>
          </w:p>
        </w:tc>
        <w:tc>
          <w:tcPr>
            <w:tcW w:type="dxa" w:w="680"/>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13%</w:t>
            </w:r>
          </w:p>
        </w:tc>
        <w:tc>
          <w:tcPr>
            <w:tcW w:type="dxa" w:w="680"/>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47%</w:t>
            </w:r>
          </w:p>
        </w:tc>
        <w:tc>
          <w:tcPr>
            <w:tcW w:type="dxa" w:w="680"/>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44%</w:t>
            </w:r>
          </w:p>
        </w:tc>
        <w:tc>
          <w:tcPr>
            <w:tcW w:type="dxa" w:w="680"/>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46%</w:t>
            </w:r>
          </w:p>
        </w:tc>
      </w:tr>
      <w:tr>
        <w:tc>
          <w:tcPr>
            <w:tcW w:type="dxa" w:w="1474"/>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Eddy</w:t>
            </w:r>
          </w:p>
        </w:tc>
        <w:tc>
          <w:tcPr>
            <w:tcW w:type="dxa" w:w="1474"/>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Mental health</w:t>
            </w:r>
          </w:p>
        </w:tc>
        <w:tc>
          <w:tcPr>
            <w:tcW w:type="dxa" w:w="1701"/>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Men are disadvantaged victims</w:t>
            </w:r>
          </w:p>
        </w:tc>
        <w:tc>
          <w:tcPr>
            <w:tcW w:type="dxa" w:w="1474"/>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Self-improvement</w:t>
            </w:r>
          </w:p>
        </w:tc>
        <w:tc>
          <w:tcPr>
            <w:tcW w:type="dxa" w:w="1361"/>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Commentary / opinion</w:t>
            </w:r>
          </w:p>
        </w:tc>
        <w:tc>
          <w:tcPr>
            <w:tcW w:type="dxa" w:w="680"/>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2%</w:t>
            </w:r>
          </w:p>
        </w:tc>
        <w:tc>
          <w:tcPr>
            <w:tcW w:type="dxa" w:w="680"/>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71%</w:t>
            </w:r>
          </w:p>
        </w:tc>
        <w:tc>
          <w:tcPr>
            <w:tcW w:type="dxa" w:w="680"/>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0%</w:t>
            </w:r>
          </w:p>
        </w:tc>
        <w:tc>
          <w:tcPr>
            <w:tcW w:type="dxa" w:w="680"/>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64%</w:t>
            </w:r>
          </w:p>
        </w:tc>
        <w:tc>
          <w:tcPr>
            <w:tcW w:type="dxa" w:w="680"/>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32%</w:t>
            </w:r>
          </w:p>
        </w:tc>
      </w:tr>
      <w:tr>
        <w:tc>
          <w:tcPr>
            <w:tcW w:type="dxa" w:w="147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Philip</w:t>
            </w:r>
          </w:p>
        </w:tc>
        <w:tc>
          <w:tcPr>
            <w:tcW w:type="dxa" w:w="147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Violence / safety</w:t>
            </w:r>
          </w:p>
        </w:tc>
        <w:tc>
          <w:tcPr>
            <w:tcW w:type="dxa" w:w="1701"/>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Men should protect women / children</w:t>
            </w:r>
          </w:p>
        </w:tc>
        <w:tc>
          <w:tcPr>
            <w:tcW w:type="dxa" w:w="147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Fatherhood responsibility</w:t>
            </w:r>
          </w:p>
        </w:tc>
        <w:tc>
          <w:tcPr>
            <w:tcW w:type="dxa" w:w="1361"/>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Commentary / opinion</w:t>
            </w:r>
          </w:p>
        </w:tc>
        <w:tc>
          <w:tcPr>
            <w:tcW w:type="dxa" w:w="680"/>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10%</w:t>
            </w:r>
          </w:p>
        </w:tc>
        <w:tc>
          <w:tcPr>
            <w:tcW w:type="dxa" w:w="680"/>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46%</w:t>
            </w:r>
          </w:p>
        </w:tc>
        <w:tc>
          <w:tcPr>
            <w:tcW w:type="dxa" w:w="680"/>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2%</w:t>
            </w:r>
          </w:p>
        </w:tc>
        <w:tc>
          <w:tcPr>
            <w:tcW w:type="dxa" w:w="680"/>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w:t>
            </w:r>
          </w:p>
        </w:tc>
        <w:tc>
          <w:tcPr>
            <w:tcW w:type="dxa" w:w="680"/>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w:t>
            </w:r>
          </w:p>
        </w:tc>
      </w:tr>
    </w:tbl>
    <w:p>
      <w:pPr>
        <w:spacing w:after="40"/>
      </w:pPr>
    </w:p>
    <w:p>
      <w:pPr>
        <w:spacing w:after="80" w:before="0"/>
      </w:pPr>
      <w:r>
        <w:rPr>
          <w:rFonts w:ascii="Arial" w:hAnsi="Arial" w:cs="Arial" w:eastAsia="Arial"/>
          <w:b w:val="0"/>
          <w:i/>
          <w:color w:val="141414"/>
          <w:sz w:val="20"/>
        </w:rPr>
        <w:t>Nigeria</w:t>
      </w:r>
    </w:p>
    <w:tbl>
      <w:tblPr>
        <w:tblW w:type="auto" w:w="0"/>
        <w:tblLayout w:type="fixed"/>
        <w:tblLook w:firstColumn="1" w:firstRow="1" w:lastColumn="0" w:lastRow="0" w:noHBand="0" w:noVBand="1" w:val="04A0"/>
      </w:tblPr>
      <w:tblGrid>
        <w:gridCol w:w="1020"/>
        <w:gridCol w:w="1020"/>
        <w:gridCol w:w="1020"/>
        <w:gridCol w:w="1020"/>
        <w:gridCol w:w="1020"/>
        <w:gridCol w:w="1020"/>
        <w:gridCol w:w="1020"/>
        <w:gridCol w:w="1020"/>
        <w:gridCol w:w="1020"/>
        <w:gridCol w:w="1020"/>
      </w:tblGrid>
      <w:tr>
        <w:tc>
          <w:tcPr>
            <w:tcW w:type="dxa" w:w="1474"/>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Creator</w:t>
            </w:r>
          </w:p>
        </w:tc>
        <w:tc>
          <w:tcPr>
            <w:tcW w:type="dxa" w:w="1474"/>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Top topic</w:t>
            </w:r>
          </w:p>
        </w:tc>
        <w:tc>
          <w:tcPr>
            <w:tcW w:type="dxa" w:w="1701"/>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Top narrative</w:t>
            </w:r>
          </w:p>
        </w:tc>
        <w:tc>
          <w:tcPr>
            <w:tcW w:type="dxa" w:w="1474"/>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Top frame</w:t>
            </w:r>
          </w:p>
        </w:tc>
        <w:tc>
          <w:tcPr>
            <w:tcW w:type="dxa" w:w="1361"/>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Top rhetoric</w:t>
            </w:r>
          </w:p>
        </w:tc>
        <w:tc>
          <w:tcPr>
            <w:tcW w:type="dxa" w:w="680"/>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Reg %</w:t>
            </w:r>
          </w:p>
        </w:tc>
        <w:tc>
          <w:tcPr>
            <w:tcW w:type="dxa" w:w="680"/>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Prog %</w:t>
            </w:r>
          </w:p>
        </w:tc>
        <w:tc>
          <w:tcPr>
            <w:tcW w:type="dxa" w:w="680"/>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Sex %</w:t>
            </w:r>
          </w:p>
        </w:tc>
        <w:tc>
          <w:tcPr>
            <w:tcW w:type="dxa" w:w="680"/>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Sup %</w:t>
            </w:r>
          </w:p>
        </w:tc>
        <w:tc>
          <w:tcPr>
            <w:tcW w:type="dxa" w:w="680"/>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Opp %</w:t>
            </w:r>
          </w:p>
        </w:tc>
      </w:tr>
      <w:tr>
        <w:tc>
          <w:tcPr>
            <w:tcW w:type="dxa" w:w="147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Ebuka</w:t>
            </w:r>
          </w:p>
        </w:tc>
        <w:tc>
          <w:tcPr>
            <w:tcW w:type="dxa" w:w="147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Dating / relationships</w:t>
            </w:r>
          </w:p>
        </w:tc>
        <w:tc>
          <w:tcPr>
            <w:tcW w:type="dxa" w:w="1701"/>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Men should provide / succeed</w:t>
            </w:r>
          </w:p>
        </w:tc>
        <w:tc>
          <w:tcPr>
            <w:tcW w:type="dxa" w:w="147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Provider pressure</w:t>
            </w:r>
          </w:p>
        </w:tc>
        <w:tc>
          <w:tcPr>
            <w:tcW w:type="dxa" w:w="1361"/>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Commentary / opinion</w:t>
            </w:r>
          </w:p>
        </w:tc>
        <w:tc>
          <w:tcPr>
            <w:tcW w:type="dxa" w:w="680"/>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16%</w:t>
            </w:r>
          </w:p>
        </w:tc>
        <w:tc>
          <w:tcPr>
            <w:tcW w:type="dxa" w:w="680"/>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34%</w:t>
            </w:r>
          </w:p>
        </w:tc>
        <w:tc>
          <w:tcPr>
            <w:tcW w:type="dxa" w:w="680"/>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6%</w:t>
            </w:r>
          </w:p>
        </w:tc>
        <w:tc>
          <w:tcPr>
            <w:tcW w:type="dxa" w:w="680"/>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w:t>
            </w:r>
          </w:p>
        </w:tc>
        <w:tc>
          <w:tcPr>
            <w:tcW w:type="dxa" w:w="680"/>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w:t>
            </w:r>
          </w:p>
        </w:tc>
      </w:tr>
      <w:tr>
        <w:tc>
          <w:tcPr>
            <w:tcW w:type="dxa" w:w="1474"/>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Agba JD</w:t>
            </w:r>
          </w:p>
        </w:tc>
        <w:tc>
          <w:tcPr>
            <w:tcW w:type="dxa" w:w="1474"/>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Marriage / family</w:t>
            </w:r>
          </w:p>
        </w:tc>
        <w:tc>
          <w:tcPr>
            <w:tcW w:type="dxa" w:w="1701"/>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Men should provide / succeed</w:t>
            </w:r>
          </w:p>
        </w:tc>
        <w:tc>
          <w:tcPr>
            <w:tcW w:type="dxa" w:w="1474"/>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Traditional gender order</w:t>
            </w:r>
          </w:p>
        </w:tc>
        <w:tc>
          <w:tcPr>
            <w:tcW w:type="dxa" w:w="1361"/>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Commentary / opinion</w:t>
            </w:r>
          </w:p>
        </w:tc>
        <w:tc>
          <w:tcPr>
            <w:tcW w:type="dxa" w:w="680"/>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78%</w:t>
            </w:r>
          </w:p>
        </w:tc>
        <w:tc>
          <w:tcPr>
            <w:tcW w:type="dxa" w:w="680"/>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10%</w:t>
            </w:r>
          </w:p>
        </w:tc>
        <w:tc>
          <w:tcPr>
            <w:tcW w:type="dxa" w:w="680"/>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64%</w:t>
            </w:r>
          </w:p>
        </w:tc>
        <w:tc>
          <w:tcPr>
            <w:tcW w:type="dxa" w:w="680"/>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53%</w:t>
            </w:r>
          </w:p>
        </w:tc>
        <w:tc>
          <w:tcPr>
            <w:tcW w:type="dxa" w:w="680"/>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41%</w:t>
            </w:r>
          </w:p>
        </w:tc>
      </w:tr>
      <w:tr>
        <w:tc>
          <w:tcPr>
            <w:tcW w:type="dxa" w:w="147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Banky W.</w:t>
            </w:r>
          </w:p>
        </w:tc>
        <w:tc>
          <w:tcPr>
            <w:tcW w:type="dxa" w:w="147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Fatherhood / parenting</w:t>
            </w:r>
          </w:p>
        </w:tc>
        <w:tc>
          <w:tcPr>
            <w:tcW w:type="dxa" w:w="1701"/>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Men should protect women / children</w:t>
            </w:r>
          </w:p>
        </w:tc>
        <w:tc>
          <w:tcPr>
            <w:tcW w:type="dxa" w:w="147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Fatherhood responsibility</w:t>
            </w:r>
          </w:p>
        </w:tc>
        <w:tc>
          <w:tcPr>
            <w:tcW w:type="dxa" w:w="1361"/>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Commentary / opinion</w:t>
            </w:r>
          </w:p>
        </w:tc>
        <w:tc>
          <w:tcPr>
            <w:tcW w:type="dxa" w:w="680"/>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8%</w:t>
            </w:r>
          </w:p>
        </w:tc>
        <w:tc>
          <w:tcPr>
            <w:tcW w:type="dxa" w:w="680"/>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64%</w:t>
            </w:r>
          </w:p>
        </w:tc>
        <w:tc>
          <w:tcPr>
            <w:tcW w:type="dxa" w:w="680"/>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3%</w:t>
            </w:r>
          </w:p>
        </w:tc>
        <w:tc>
          <w:tcPr>
            <w:tcW w:type="dxa" w:w="680"/>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69%</w:t>
            </w:r>
          </w:p>
        </w:tc>
        <w:tc>
          <w:tcPr>
            <w:tcW w:type="dxa" w:w="680"/>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17%</w:t>
            </w:r>
          </w:p>
        </w:tc>
      </w:tr>
      <w:tr>
        <w:tc>
          <w:tcPr>
            <w:tcW w:type="dxa" w:w="1474"/>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Shola</w:t>
            </w:r>
          </w:p>
        </w:tc>
        <w:tc>
          <w:tcPr>
            <w:tcW w:type="dxa" w:w="1474"/>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Dating / relationships</w:t>
            </w:r>
          </w:p>
        </w:tc>
        <w:tc>
          <w:tcPr>
            <w:tcW w:type="dxa" w:w="1701"/>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Men are disadvantaged victims</w:t>
            </w:r>
          </w:p>
        </w:tc>
        <w:tc>
          <w:tcPr>
            <w:tcW w:type="dxa" w:w="1474"/>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Female blame</w:t>
            </w:r>
          </w:p>
        </w:tc>
        <w:tc>
          <w:tcPr>
            <w:tcW w:type="dxa" w:w="1361"/>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Commentary / opinion</w:t>
            </w:r>
          </w:p>
        </w:tc>
        <w:tc>
          <w:tcPr>
            <w:tcW w:type="dxa" w:w="680"/>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78%</w:t>
            </w:r>
          </w:p>
        </w:tc>
        <w:tc>
          <w:tcPr>
            <w:tcW w:type="dxa" w:w="680"/>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14%</w:t>
            </w:r>
          </w:p>
        </w:tc>
        <w:tc>
          <w:tcPr>
            <w:tcW w:type="dxa" w:w="680"/>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46%</w:t>
            </w:r>
          </w:p>
        </w:tc>
        <w:tc>
          <w:tcPr>
            <w:tcW w:type="dxa" w:w="680"/>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52%</w:t>
            </w:r>
          </w:p>
        </w:tc>
        <w:tc>
          <w:tcPr>
            <w:tcW w:type="dxa" w:w="680"/>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48%</w:t>
            </w:r>
          </w:p>
        </w:tc>
      </w:tr>
      <w:tr>
        <w:tc>
          <w:tcPr>
            <w:tcW w:type="dxa" w:w="147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Wizarab</w:t>
            </w:r>
          </w:p>
        </w:tc>
        <w:tc>
          <w:tcPr>
            <w:tcW w:type="dxa" w:w="147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Dating / relationships</w:t>
            </w:r>
          </w:p>
        </w:tc>
        <w:tc>
          <w:tcPr>
            <w:tcW w:type="dxa" w:w="1701"/>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Men should provide / succeed</w:t>
            </w:r>
          </w:p>
        </w:tc>
        <w:tc>
          <w:tcPr>
            <w:tcW w:type="dxa" w:w="147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Female blame</w:t>
            </w:r>
          </w:p>
        </w:tc>
        <w:tc>
          <w:tcPr>
            <w:tcW w:type="dxa" w:w="1361"/>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Commentary / opinion</w:t>
            </w:r>
          </w:p>
        </w:tc>
        <w:tc>
          <w:tcPr>
            <w:tcW w:type="dxa" w:w="680"/>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59%</w:t>
            </w:r>
          </w:p>
        </w:tc>
        <w:tc>
          <w:tcPr>
            <w:tcW w:type="dxa" w:w="680"/>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14%</w:t>
            </w:r>
          </w:p>
        </w:tc>
        <w:tc>
          <w:tcPr>
            <w:tcW w:type="dxa" w:w="680"/>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41%</w:t>
            </w:r>
          </w:p>
        </w:tc>
        <w:tc>
          <w:tcPr>
            <w:tcW w:type="dxa" w:w="680"/>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w:t>
            </w:r>
          </w:p>
        </w:tc>
        <w:tc>
          <w:tcPr>
            <w:tcW w:type="dxa" w:w="680"/>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w:t>
            </w:r>
          </w:p>
        </w:tc>
      </w:tr>
      <w:tr>
        <w:tc>
          <w:tcPr>
            <w:tcW w:type="dxa" w:w="1474"/>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Deyemi</w:t>
            </w:r>
          </w:p>
        </w:tc>
        <w:tc>
          <w:tcPr>
            <w:tcW w:type="dxa" w:w="1474"/>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Dating / relationships</w:t>
            </w:r>
          </w:p>
        </w:tc>
        <w:tc>
          <w:tcPr>
            <w:tcW w:type="dxa" w:w="1701"/>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Men should improve themselves</w:t>
            </w:r>
          </w:p>
        </w:tc>
        <w:tc>
          <w:tcPr>
            <w:tcW w:type="dxa" w:w="1474"/>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Equality / partnership</w:t>
            </w:r>
          </w:p>
        </w:tc>
        <w:tc>
          <w:tcPr>
            <w:tcW w:type="dxa" w:w="1361"/>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Commentary / opinion</w:t>
            </w:r>
          </w:p>
        </w:tc>
        <w:tc>
          <w:tcPr>
            <w:tcW w:type="dxa" w:w="680"/>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4%</w:t>
            </w:r>
          </w:p>
        </w:tc>
        <w:tc>
          <w:tcPr>
            <w:tcW w:type="dxa" w:w="680"/>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62%</w:t>
            </w:r>
          </w:p>
        </w:tc>
        <w:tc>
          <w:tcPr>
            <w:tcW w:type="dxa" w:w="680"/>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0%</w:t>
            </w:r>
          </w:p>
        </w:tc>
        <w:tc>
          <w:tcPr>
            <w:tcW w:type="dxa" w:w="680"/>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11%</w:t>
            </w:r>
          </w:p>
        </w:tc>
        <w:tc>
          <w:tcPr>
            <w:tcW w:type="dxa" w:w="680"/>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85%</w:t>
            </w:r>
          </w:p>
        </w:tc>
      </w:tr>
    </w:tbl>
    <w:p>
      <w:pPr>
        <w:spacing w:after="40"/>
      </w:pPr>
    </w:p>
    <w:p>
      <w:pPr>
        <w:keepNext/>
        <w:spacing w:before="200" w:after="80"/>
      </w:pPr>
      <w:r>
        <w:rPr>
          <w:rFonts w:ascii="Arial" w:hAnsi="Arial" w:cs="Arial" w:eastAsia="Arial"/>
          <w:b/>
          <w:i w:val="0"/>
          <w:color w:val="1F2A44"/>
          <w:sz w:val="22"/>
        </w:rPr>
        <w:t>13.  Four entry-point archetypes</w:t>
      </w:r>
    </w:p>
    <w:p>
      <w:pPr>
        <w:spacing w:after="80" w:before="0"/>
      </w:pPr>
      <w:r>
        <w:rPr>
          <w:rFonts w:ascii="Arial" w:hAnsi="Arial" w:cs="Arial" w:eastAsia="Arial"/>
          <w:b w:val="0"/>
          <w:i w:val="0"/>
          <w:color w:val="141414"/>
          <w:sz w:val="21"/>
        </w:rPr>
        <w:t>Reading down the per-creator profiles, four clusters appear in this sample. Each archetype is a recurring topic + narrative + rhetoric + sexism combination, and is one of the ways an audience lands in the masculinity ecosystem.</w:t>
      </w:r>
    </w:p>
    <w:tbl>
      <w:tblPr>
        <w:tblW w:type="auto" w:w="0"/>
        <w:tblLayout w:type="fixed"/>
        <w:tblLook w:firstColumn="1" w:firstRow="1" w:lastColumn="0" w:lastRow="0" w:noHBand="0" w:noVBand="1" w:val="04A0"/>
      </w:tblPr>
      <w:tblGrid>
        <w:gridCol w:w="10200"/>
      </w:tblGrid>
      <w:tr>
        <w:tc>
          <w:tcPr>
            <w:tcW w:type="dxa" w:w="10200"/>
            <w:shd w:val="clear" w:color="auto" w:fill="F2F4F7"/>
            <w:tcBorders>
              <w:top w:val="single" w:sz="4" w:color="D0D5DD"/>
              <w:left w:val="single" w:sz="4" w:color="D0D5DD"/>
              <w:bottom w:val="single" w:sz="4" w:color="D0D5DD"/>
              <w:right w:val="single" w:sz="4" w:color="D0D5DD"/>
            </w:tcBorders>
          </w:tcPr>
          <w:p>
            <w:pPr>
              <w:spacing w:after="40"/>
            </w:pPr>
            <w:r/>
            <w:r>
              <w:rPr>
                <w:rFonts w:ascii="Arial" w:hAnsi="Arial" w:cs="Arial" w:eastAsia="Arial"/>
                <w:b/>
                <w:i w:val="0"/>
                <w:color w:val="1F2A44"/>
                <w:sz w:val="20"/>
              </w:rPr>
              <w:t>Archetype 1 — Grievance and dominance</w:t>
            </w:r>
          </w:p>
          <w:p>
            <w:pPr>
              <w:spacing w:after="40"/>
            </w:pPr>
            <w:r>
              <w:rPr>
                <w:rFonts w:ascii="Arial" w:hAnsi="Arial" w:cs="Arial" w:eastAsia="Arial"/>
                <w:b w:val="0"/>
                <w:i w:val="0"/>
                <w:color w:val="141414"/>
                <w:sz w:val="20"/>
              </w:rPr>
              <w:t>Creators: Andrew Kibe, Eric Amunga (Amerix), Wizarab.</w:t>
            </w:r>
          </w:p>
          <w:p>
            <w:pPr>
              <w:spacing w:after="40"/>
            </w:pPr>
            <w:r>
              <w:rPr>
                <w:rFonts w:ascii="Arial" w:hAnsi="Arial" w:cs="Arial" w:eastAsia="Arial"/>
                <w:b w:val="0"/>
                <w:i w:val="0"/>
                <w:color w:val="141414"/>
                <w:sz w:val="20"/>
              </w:rPr>
              <w:t>Narrative: "men are disadvantaged victims" / "men should dominate, lead". Topics: gender debate, dating / relationships. Frames: traditional gender order, male victimhood, female blame. Rhetoric: advice / instruction and commentary / opinion. Hostile-sexism rate: 41–74%.</w:t>
            </w:r>
          </w:p>
          <w:p>
            <w:pPr>
              <w:spacing w:after="40"/>
            </w:pPr>
            <w:r>
              <w:rPr>
                <w:rFonts w:ascii="Arial" w:hAnsi="Arial" w:cs="Arial" w:eastAsia="Arial"/>
                <w:b w:val="0"/>
                <w:i w:val="0"/>
                <w:color w:val="141414"/>
                <w:sz w:val="20"/>
              </w:rPr>
              <w:t>Audience signature: high opposes share (Amerix opposes 55%); uptake splits between intensifies and challenges. This is the manosphere-aligned entry point.</w:t>
            </w:r>
          </w:p>
        </w:tc>
      </w:tr>
    </w:tbl>
    <w:p>
      <w:pPr>
        <w:spacing w:after="40"/>
      </w:pPr>
    </w:p>
    <w:tbl>
      <w:tblPr>
        <w:tblW w:type="auto" w:w="0"/>
        <w:tblLayout w:type="fixed"/>
        <w:tblLook w:firstColumn="1" w:firstRow="1" w:lastColumn="0" w:lastRow="0" w:noHBand="0" w:noVBand="1" w:val="04A0"/>
      </w:tblPr>
      <w:tblGrid>
        <w:gridCol w:w="10200"/>
      </w:tblGrid>
      <w:tr>
        <w:tc>
          <w:tcPr>
            <w:tcW w:type="dxa" w:w="10200"/>
            <w:shd w:val="clear" w:color="auto" w:fill="F2F4F7"/>
            <w:tcBorders>
              <w:top w:val="single" w:sz="4" w:color="D0D5DD"/>
              <w:left w:val="single" w:sz="4" w:color="D0D5DD"/>
              <w:bottom w:val="single" w:sz="4" w:color="D0D5DD"/>
              <w:right w:val="single" w:sz="4" w:color="D0D5DD"/>
            </w:tcBorders>
          </w:tcPr>
          <w:p>
            <w:pPr>
              <w:spacing w:after="40"/>
            </w:pPr>
            <w:r/>
            <w:r>
              <w:rPr>
                <w:rFonts w:ascii="Arial" w:hAnsi="Arial" w:cs="Arial" w:eastAsia="Arial"/>
                <w:b/>
                <w:i w:val="0"/>
                <w:color w:val="1F2A44"/>
                <w:sz w:val="20"/>
              </w:rPr>
              <w:t>Archetype 2 — Provider and traditional order</w:t>
            </w:r>
          </w:p>
          <w:p>
            <w:pPr>
              <w:spacing w:after="40"/>
            </w:pPr>
            <w:r>
              <w:rPr>
                <w:rFonts w:ascii="Arial" w:hAnsi="Arial" w:cs="Arial" w:eastAsia="Arial"/>
                <w:b w:val="0"/>
                <w:i w:val="0"/>
                <w:color w:val="141414"/>
                <w:sz w:val="20"/>
              </w:rPr>
              <w:t>Creators: Shola, Agba John Doe.</w:t>
            </w:r>
          </w:p>
          <w:p>
            <w:pPr>
              <w:spacing w:after="40"/>
            </w:pPr>
            <w:r>
              <w:rPr>
                <w:rFonts w:ascii="Arial" w:hAnsi="Arial" w:cs="Arial" w:eastAsia="Arial"/>
                <w:b w:val="0"/>
                <w:i w:val="0"/>
                <w:color w:val="141414"/>
                <w:sz w:val="20"/>
              </w:rPr>
              <w:t>Narrative: "men should provide and succeed" / "men should protect women and children". Topics: dating / relationships, money / status, marriage / family. Frames: traditional gender order, provider pressure, female blame. Rhetoric: commentary / opinion. Hostile-sexism rate: ~46%.</w:t>
            </w:r>
          </w:p>
          <w:p>
            <w:pPr>
              <w:spacing w:after="40"/>
            </w:pPr>
            <w:r>
              <w:rPr>
                <w:rFonts w:ascii="Arial" w:hAnsi="Arial" w:cs="Arial" w:eastAsia="Arial"/>
                <w:b w:val="0"/>
                <w:i w:val="0"/>
                <w:color w:val="141414"/>
                <w:sz w:val="20"/>
              </w:rPr>
              <w:t>Audience signature: high supports rate and high intensifies uptake. This is the soft-regressive entry point — gender hierarchy framed through wealth and bridewealth.</w:t>
            </w:r>
          </w:p>
        </w:tc>
      </w:tr>
    </w:tbl>
    <w:p>
      <w:pPr>
        <w:spacing w:after="40"/>
      </w:pPr>
    </w:p>
    <w:tbl>
      <w:tblPr>
        <w:tblW w:type="auto" w:w="0"/>
        <w:tblLayout w:type="fixed"/>
        <w:tblLook w:firstColumn="1" w:firstRow="1" w:lastColumn="0" w:lastRow="0" w:noHBand="0" w:noVBand="1" w:val="04A0"/>
      </w:tblPr>
      <w:tblGrid>
        <w:gridCol w:w="10200"/>
      </w:tblGrid>
      <w:tr>
        <w:tc>
          <w:tcPr>
            <w:tcW w:type="dxa" w:w="10200"/>
            <w:shd w:val="clear" w:color="auto" w:fill="F2F4F7"/>
            <w:tcBorders>
              <w:top w:val="single" w:sz="4" w:color="D0D5DD"/>
              <w:left w:val="single" w:sz="4" w:color="D0D5DD"/>
              <w:bottom w:val="single" w:sz="4" w:color="D0D5DD"/>
              <w:right w:val="single" w:sz="4" w:color="D0D5DD"/>
            </w:tcBorders>
          </w:tcPr>
          <w:p>
            <w:pPr>
              <w:spacing w:after="40"/>
            </w:pPr>
            <w:r/>
            <w:r>
              <w:rPr>
                <w:rFonts w:ascii="Arial" w:hAnsi="Arial" w:cs="Arial" w:eastAsia="Arial"/>
                <w:b/>
                <w:i w:val="0"/>
                <w:color w:val="1F2A44"/>
                <w:sz w:val="20"/>
              </w:rPr>
              <w:t>Archetype 3 — Healing and emotional growth</w:t>
            </w:r>
          </w:p>
          <w:p>
            <w:pPr>
              <w:spacing w:after="40"/>
            </w:pPr>
            <w:r>
              <w:rPr>
                <w:rFonts w:ascii="Arial" w:hAnsi="Arial" w:cs="Arial" w:eastAsia="Arial"/>
                <w:b w:val="0"/>
                <w:i w:val="0"/>
                <w:color w:val="141414"/>
                <w:sz w:val="20"/>
              </w:rPr>
              <w:t>Creators: Onyango Otieno (Rixpoet), Eddy Kimani, Banky Wellington.</w:t>
            </w:r>
          </w:p>
          <w:p>
            <w:pPr>
              <w:spacing w:after="40"/>
            </w:pPr>
            <w:r>
              <w:rPr>
                <w:rFonts w:ascii="Arial" w:hAnsi="Arial" w:cs="Arial" w:eastAsia="Arial"/>
                <w:b w:val="0"/>
                <w:i w:val="0"/>
                <w:color w:val="141414"/>
                <w:sz w:val="20"/>
              </w:rPr>
              <w:t>Narrative: "men should be emotionally open" / "men should improve themselves". Topics: mental health, fatherhood / parenting, gender debate. Frames: trauma healing, self-improvement, equality / partnership. Rhetoric: testimony, personal story, motivational speech. Hostile-sexism rate: ~0%.</w:t>
            </w:r>
          </w:p>
          <w:p>
            <w:pPr>
              <w:spacing w:after="40"/>
            </w:pPr>
            <w:r>
              <w:rPr>
                <w:rFonts w:ascii="Arial" w:hAnsi="Arial" w:cs="Arial" w:eastAsia="Arial"/>
                <w:b w:val="0"/>
                <w:i w:val="0"/>
                <w:color w:val="141414"/>
                <w:sz w:val="20"/>
              </w:rPr>
              <w:t>Audience signature: high supports and extends-original-message uptake; audience reports personal disclosure and learning / reflection at rates not observed under the other archetypes in this sample. The healing register is the clearest counter-narrative signature in the data.</w:t>
            </w:r>
          </w:p>
        </w:tc>
      </w:tr>
    </w:tbl>
    <w:p>
      <w:pPr>
        <w:spacing w:after="40"/>
      </w:pPr>
    </w:p>
    <w:tbl>
      <w:tblPr>
        <w:tblW w:type="auto" w:w="0"/>
        <w:tblLayout w:type="fixed"/>
        <w:tblLook w:firstColumn="1" w:firstRow="1" w:lastColumn="0" w:lastRow="0" w:noHBand="0" w:noVBand="1" w:val="04A0"/>
      </w:tblPr>
      <w:tblGrid>
        <w:gridCol w:w="10200"/>
      </w:tblGrid>
      <w:tr>
        <w:tc>
          <w:tcPr>
            <w:tcW w:type="dxa" w:w="10200"/>
            <w:shd w:val="clear" w:color="auto" w:fill="F2F4F7"/>
            <w:tcBorders>
              <w:top w:val="single" w:sz="4" w:color="D0D5DD"/>
              <w:left w:val="single" w:sz="4" w:color="D0D5DD"/>
              <w:bottom w:val="single" w:sz="4" w:color="D0D5DD"/>
              <w:right w:val="single" w:sz="4" w:color="D0D5DD"/>
            </w:tcBorders>
          </w:tcPr>
          <w:p>
            <w:pPr>
              <w:spacing w:after="40"/>
            </w:pPr>
            <w:r/>
            <w:r>
              <w:rPr>
                <w:rFonts w:ascii="Arial" w:hAnsi="Arial" w:cs="Arial" w:eastAsia="Arial"/>
                <w:b/>
                <w:i w:val="0"/>
                <w:color w:val="1F2A44"/>
                <w:sz w:val="20"/>
              </w:rPr>
              <w:t>Archetype 4 — Partnership and fatherhood</w:t>
            </w:r>
          </w:p>
          <w:p>
            <w:pPr>
              <w:spacing w:after="40"/>
            </w:pPr>
            <w:r>
              <w:rPr>
                <w:rFonts w:ascii="Arial" w:hAnsi="Arial" w:cs="Arial" w:eastAsia="Arial"/>
                <w:b w:val="0"/>
                <w:i w:val="0"/>
                <w:color w:val="141414"/>
                <w:sz w:val="20"/>
              </w:rPr>
              <w:t>Creators: Banky Wellington, Deyemi Okanlawon, Ebuka Obi-Uchendu, Philip Karanja.</w:t>
            </w:r>
          </w:p>
          <w:p>
            <w:pPr>
              <w:spacing w:after="40"/>
            </w:pPr>
            <w:r>
              <w:rPr>
                <w:rFonts w:ascii="Arial" w:hAnsi="Arial" w:cs="Arial" w:eastAsia="Arial"/>
                <w:b w:val="0"/>
                <w:i w:val="0"/>
                <w:color w:val="141414"/>
                <w:sz w:val="20"/>
              </w:rPr>
              <w:t>Narrative: "men should be equal partners" / "men should protect women and children". Topics: marriage / family, fatherhood / parenting. Frames: equality / partnership, fatherhood responsibility. Rhetoric: commentary / opinion and advice / instruction. Hostile-sexism rate: ~3%.</w:t>
            </w:r>
          </w:p>
          <w:p>
            <w:pPr>
              <w:spacing w:after="40"/>
            </w:pPr>
            <w:r>
              <w:rPr>
                <w:rFonts w:ascii="Arial" w:hAnsi="Arial" w:cs="Arial" w:eastAsia="Arial"/>
                <w:b w:val="0"/>
                <w:i w:val="0"/>
                <w:color w:val="141414"/>
                <w:sz w:val="20"/>
              </w:rPr>
              <w:t>Audience signature: Banky's audience supports and extends; Deyemi's audience opposes at 85%. Partnership and fatherhood content can be received as moralism unless it is paired with the healing register (Archetype 3).</w:t>
            </w:r>
          </w:p>
        </w:tc>
      </w:tr>
    </w:tbl>
    <w:p>
      <w:pPr>
        <w:spacing w:after="40"/>
      </w:pPr>
    </w:p>
    <w:p>
      <w:pPr>
        <w:keepNext/>
        <w:spacing w:before="200" w:after="80"/>
      </w:pPr>
      <w:r>
        <w:rPr>
          <w:rFonts w:ascii="Arial" w:hAnsi="Arial" w:cs="Arial" w:eastAsia="Arial"/>
          <w:b/>
          <w:i w:val="0"/>
          <w:color w:val="1F2A44"/>
          <w:sz w:val="25"/>
        </w:rPr>
        <w:t>Part D · Audience reception (Scope Component 3)</w:t>
      </w:r>
    </w:p>
    <w:p>
      <w:pPr>
        <w:keepNext/>
        <w:spacing w:before="200" w:after="80"/>
      </w:pPr>
      <w:r>
        <w:rPr>
          <w:rFonts w:ascii="Arial" w:hAnsi="Arial" w:cs="Arial" w:eastAsia="Arial"/>
          <w:b/>
          <w:i w:val="0"/>
          <w:color w:val="1F2A44"/>
          <w:sz w:val="22"/>
        </w:rPr>
        <w:t>14.  Audience stance</w:t>
      </w:r>
    </w:p>
    <w:p>
      <w:pPr>
        <w:spacing w:after="80" w:before="0"/>
      </w:pPr>
      <w:r>
        <w:rPr>
          <w:rFonts w:ascii="Arial" w:hAnsi="Arial" w:cs="Arial" w:eastAsia="Arial"/>
          <w:b w:val="0"/>
          <w:i w:val="0"/>
          <w:color w:val="141414"/>
          <w:sz w:val="21"/>
        </w:rPr>
        <w:t>Stance is coded toward the original post, not toward gender in general. Per Section 12: Rixpoet's audience supports at 88%; Amerix attracts the most opposition in Kenya. In Nigeria, Deyemi's audience opposes at 85% (68 of 80 comments).</w:t>
      </w:r>
    </w:p>
    <w:p>
      <w:pPr>
        <w:keepNext/>
        <w:spacing w:before="200" w:after="80"/>
      </w:pPr>
      <w:r>
        <w:rPr>
          <w:rFonts w:ascii="Arial" w:hAnsi="Arial" w:cs="Arial" w:eastAsia="Arial"/>
          <w:b/>
          <w:i w:val="0"/>
          <w:color w:val="1F2A44"/>
          <w:sz w:val="22"/>
        </w:rPr>
        <w:t>15.  Audience uptake</w:t>
      </w:r>
    </w:p>
    <w:p>
      <w:pPr>
        <w:spacing w:after="80" w:before="0"/>
      </w:pPr>
      <w:r>
        <w:rPr>
          <w:rFonts w:ascii="Arial" w:hAnsi="Arial" w:cs="Arial" w:eastAsia="Arial"/>
          <w:b w:val="0"/>
          <w:i w:val="0"/>
          <w:color w:val="141414"/>
          <w:sz w:val="21"/>
        </w:rPr>
        <w:t>Each comment is coded for how it relates to the post: intensifies the message (pushes it further), extends it (agrees and adds reasoning), softens it, or challenges it. This separates passive agreement from active amplification.</w:t>
      </w:r>
    </w:p>
    <w:tbl>
      <w:tblPr>
        <w:tblW w:type="auto" w:w="0"/>
        <w:tblLayout w:type="fixed"/>
        <w:tblLook w:firstColumn="1" w:firstRow="1" w:lastColumn="0" w:lastRow="0" w:noHBand="0" w:noVBand="1" w:val="04A0"/>
      </w:tblPr>
      <w:tblGrid>
        <w:gridCol w:w="1700"/>
        <w:gridCol w:w="1700"/>
        <w:gridCol w:w="1700"/>
        <w:gridCol w:w="1700"/>
        <w:gridCol w:w="1700"/>
        <w:gridCol w:w="1700"/>
      </w:tblGrid>
      <w:tr>
        <w:tc>
          <w:tcPr>
            <w:tcW w:type="dxa" w:w="1587"/>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Creator</w:t>
            </w:r>
          </w:p>
        </w:tc>
        <w:tc>
          <w:tcPr>
            <w:tcW w:type="dxa" w:w="1134"/>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Country</w:t>
            </w:r>
          </w:p>
        </w:tc>
        <w:tc>
          <w:tcPr>
            <w:tcW w:type="dxa" w:w="1474"/>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Intensifies</w:t>
            </w:r>
          </w:p>
        </w:tc>
        <w:tc>
          <w:tcPr>
            <w:tcW w:type="dxa" w:w="1474"/>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Extends</w:t>
            </w:r>
          </w:p>
        </w:tc>
        <w:tc>
          <w:tcPr>
            <w:tcW w:type="dxa" w:w="1474"/>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Challenges</w:t>
            </w:r>
          </w:p>
        </w:tc>
        <w:tc>
          <w:tcPr>
            <w:tcW w:type="dxa" w:w="1361"/>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Comments (n)</w:t>
            </w:r>
          </w:p>
        </w:tc>
      </w:tr>
      <w:tr>
        <w:tc>
          <w:tcPr>
            <w:tcW w:type="dxa" w:w="1587"/>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Amerix</w:t>
            </w:r>
          </w:p>
        </w:tc>
        <w:tc>
          <w:tcPr>
            <w:tcW w:type="dxa" w:w="113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Kenya</w:t>
            </w:r>
          </w:p>
        </w:tc>
        <w:tc>
          <w:tcPr>
            <w:tcW w:type="dxa" w:w="147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53 (38%)</w:t>
            </w:r>
          </w:p>
        </w:tc>
        <w:tc>
          <w:tcPr>
            <w:tcW w:type="dxa" w:w="147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4 (3%)</w:t>
            </w:r>
          </w:p>
        </w:tc>
        <w:tc>
          <w:tcPr>
            <w:tcW w:type="dxa" w:w="147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76 (54%)</w:t>
            </w:r>
          </w:p>
        </w:tc>
        <w:tc>
          <w:tcPr>
            <w:tcW w:type="dxa" w:w="1361"/>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140</w:t>
            </w:r>
          </w:p>
        </w:tc>
      </w:tr>
      <w:tr>
        <w:tc>
          <w:tcPr>
            <w:tcW w:type="dxa" w:w="1587"/>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Eddy</w:t>
            </w:r>
          </w:p>
        </w:tc>
        <w:tc>
          <w:tcPr>
            <w:tcW w:type="dxa" w:w="1134"/>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Kenya</w:t>
            </w:r>
          </w:p>
        </w:tc>
        <w:tc>
          <w:tcPr>
            <w:tcW w:type="dxa" w:w="1474"/>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49 (45%)</w:t>
            </w:r>
          </w:p>
        </w:tc>
        <w:tc>
          <w:tcPr>
            <w:tcW w:type="dxa" w:w="1474"/>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42 (38%)</w:t>
            </w:r>
          </w:p>
        </w:tc>
        <w:tc>
          <w:tcPr>
            <w:tcW w:type="dxa" w:w="1474"/>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13 (12%)</w:t>
            </w:r>
          </w:p>
        </w:tc>
        <w:tc>
          <w:tcPr>
            <w:tcW w:type="dxa" w:w="1361"/>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110</w:t>
            </w:r>
          </w:p>
        </w:tc>
      </w:tr>
      <w:tr>
        <w:tc>
          <w:tcPr>
            <w:tcW w:type="dxa" w:w="1587"/>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Rixpoet</w:t>
            </w:r>
          </w:p>
        </w:tc>
        <w:tc>
          <w:tcPr>
            <w:tcW w:type="dxa" w:w="113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Kenya</w:t>
            </w:r>
          </w:p>
        </w:tc>
        <w:tc>
          <w:tcPr>
            <w:tcW w:type="dxa" w:w="147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32 (35%)</w:t>
            </w:r>
          </w:p>
        </w:tc>
        <w:tc>
          <w:tcPr>
            <w:tcW w:type="dxa" w:w="147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46 (50%)</w:t>
            </w:r>
          </w:p>
        </w:tc>
        <w:tc>
          <w:tcPr>
            <w:tcW w:type="dxa" w:w="147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6 (7%)</w:t>
            </w:r>
          </w:p>
        </w:tc>
        <w:tc>
          <w:tcPr>
            <w:tcW w:type="dxa" w:w="1361"/>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92</w:t>
            </w:r>
          </w:p>
        </w:tc>
      </w:tr>
      <w:tr>
        <w:tc>
          <w:tcPr>
            <w:tcW w:type="dxa" w:w="1587"/>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Kibe</w:t>
            </w:r>
          </w:p>
        </w:tc>
        <w:tc>
          <w:tcPr>
            <w:tcW w:type="dxa" w:w="1134"/>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Kenya</w:t>
            </w:r>
          </w:p>
        </w:tc>
        <w:tc>
          <w:tcPr>
            <w:tcW w:type="dxa" w:w="1474"/>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29 (41%)</w:t>
            </w:r>
          </w:p>
        </w:tc>
        <w:tc>
          <w:tcPr>
            <w:tcW w:type="dxa" w:w="1474"/>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4 (6%)</w:t>
            </w:r>
          </w:p>
        </w:tc>
        <w:tc>
          <w:tcPr>
            <w:tcW w:type="dxa" w:w="1474"/>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26 (37%)</w:t>
            </w:r>
          </w:p>
        </w:tc>
        <w:tc>
          <w:tcPr>
            <w:tcW w:type="dxa" w:w="1361"/>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70</w:t>
            </w:r>
          </w:p>
        </w:tc>
      </w:tr>
      <w:tr>
        <w:tc>
          <w:tcPr>
            <w:tcW w:type="dxa" w:w="1587"/>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Agba JD</w:t>
            </w:r>
          </w:p>
        </w:tc>
        <w:tc>
          <w:tcPr>
            <w:tcW w:type="dxa" w:w="113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Nigeria</w:t>
            </w:r>
          </w:p>
        </w:tc>
        <w:tc>
          <w:tcPr>
            <w:tcW w:type="dxa" w:w="147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68 (42%)</w:t>
            </w:r>
          </w:p>
        </w:tc>
        <w:tc>
          <w:tcPr>
            <w:tcW w:type="dxa" w:w="147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8 (5%)</w:t>
            </w:r>
          </w:p>
        </w:tc>
        <w:tc>
          <w:tcPr>
            <w:tcW w:type="dxa" w:w="147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61 (38%)</w:t>
            </w:r>
          </w:p>
        </w:tc>
        <w:tc>
          <w:tcPr>
            <w:tcW w:type="dxa" w:w="1361"/>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161</w:t>
            </w:r>
          </w:p>
        </w:tc>
      </w:tr>
      <w:tr>
        <w:tc>
          <w:tcPr>
            <w:tcW w:type="dxa" w:w="1587"/>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Banky W.</w:t>
            </w:r>
          </w:p>
        </w:tc>
        <w:tc>
          <w:tcPr>
            <w:tcW w:type="dxa" w:w="1134"/>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Nigeria</w:t>
            </w:r>
          </w:p>
        </w:tc>
        <w:tc>
          <w:tcPr>
            <w:tcW w:type="dxa" w:w="1474"/>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39 (35%)</w:t>
            </w:r>
          </w:p>
        </w:tc>
        <w:tc>
          <w:tcPr>
            <w:tcW w:type="dxa" w:w="1474"/>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41 (37%)</w:t>
            </w:r>
          </w:p>
        </w:tc>
        <w:tc>
          <w:tcPr>
            <w:tcW w:type="dxa" w:w="1474"/>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12 (11%)</w:t>
            </w:r>
          </w:p>
        </w:tc>
        <w:tc>
          <w:tcPr>
            <w:tcW w:type="dxa" w:w="1361"/>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110</w:t>
            </w:r>
          </w:p>
        </w:tc>
      </w:tr>
      <w:tr>
        <w:tc>
          <w:tcPr>
            <w:tcW w:type="dxa" w:w="1587"/>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Deyemi</w:t>
            </w:r>
          </w:p>
        </w:tc>
        <w:tc>
          <w:tcPr>
            <w:tcW w:type="dxa" w:w="113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Nigeria</w:t>
            </w:r>
          </w:p>
        </w:tc>
        <w:tc>
          <w:tcPr>
            <w:tcW w:type="dxa" w:w="147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37 (46%)</w:t>
            </w:r>
          </w:p>
        </w:tc>
        <w:tc>
          <w:tcPr>
            <w:tcW w:type="dxa" w:w="147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2 (2%)</w:t>
            </w:r>
          </w:p>
        </w:tc>
        <w:tc>
          <w:tcPr>
            <w:tcW w:type="dxa" w:w="147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38 (48%)</w:t>
            </w:r>
          </w:p>
        </w:tc>
        <w:tc>
          <w:tcPr>
            <w:tcW w:type="dxa" w:w="1361"/>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80</w:t>
            </w:r>
          </w:p>
        </w:tc>
      </w:tr>
      <w:tr>
        <w:tc>
          <w:tcPr>
            <w:tcW w:type="dxa" w:w="1587"/>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Shola</w:t>
            </w:r>
          </w:p>
        </w:tc>
        <w:tc>
          <w:tcPr>
            <w:tcW w:type="dxa" w:w="1134"/>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Nigeria</w:t>
            </w:r>
          </w:p>
        </w:tc>
        <w:tc>
          <w:tcPr>
            <w:tcW w:type="dxa" w:w="1474"/>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37 (56%)</w:t>
            </w:r>
          </w:p>
        </w:tc>
        <w:tc>
          <w:tcPr>
            <w:tcW w:type="dxa" w:w="1474"/>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4 (6%)</w:t>
            </w:r>
          </w:p>
        </w:tc>
        <w:tc>
          <w:tcPr>
            <w:tcW w:type="dxa" w:w="1474"/>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24 (36%)</w:t>
            </w:r>
          </w:p>
        </w:tc>
        <w:tc>
          <w:tcPr>
            <w:tcW w:type="dxa" w:w="1361"/>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66</w:t>
            </w:r>
          </w:p>
        </w:tc>
      </w:tr>
    </w:tbl>
    <w:p>
      <w:pPr>
        <w:spacing w:after="40"/>
      </w:pPr>
    </w:p>
    <w:p>
      <w:pPr>
        <w:keepNext/>
        <w:spacing w:before="200" w:after="80"/>
      </w:pPr>
      <w:r>
        <w:rPr>
          <w:rFonts w:ascii="Arial" w:hAnsi="Arial" w:cs="Arial" w:eastAsia="Arial"/>
          <w:b/>
          <w:i w:val="0"/>
          <w:color w:val="1F2A44"/>
          <w:sz w:val="22"/>
        </w:rPr>
        <w:t>16.  Perceived impact</w:t>
      </w:r>
    </w:p>
    <w:p>
      <w:pPr>
        <w:spacing w:after="80" w:before="0"/>
      </w:pPr>
      <w:r>
        <w:rPr>
          <w:rFonts w:ascii="Arial" w:hAnsi="Arial" w:cs="Arial" w:eastAsia="Arial"/>
          <w:b w:val="0"/>
          <w:i w:val="0"/>
          <w:color w:val="141414"/>
          <w:sz w:val="21"/>
        </w:rPr>
        <w:t>Each comment is coded for the impact it reports: validation, learning / reflection, personal disclosure, advice to others, resistance / pushback, emotional support, entertainment / humour, or no clear impact.</w:t>
      </w:r>
    </w:p>
    <w:p>
      <w:pPr>
        <w:spacing w:after="40"/>
        <w:ind w:left="227"/>
      </w:pPr>
      <w:r>
        <w:rPr>
          <w:rFonts w:ascii="Arial" w:hAnsi="Arial" w:cs="Arial" w:eastAsia="Arial"/>
          <w:b w:val="0"/>
          <w:i w:val="0"/>
          <w:color w:val="141414"/>
          <w:sz w:val="21"/>
        </w:rPr>
        <w:t>• Kenya — Rixpoet drives personal disclosure and learning / reflection. Amerix drives resistance and pushback.</w:t>
      </w:r>
    </w:p>
    <w:p>
      <w:pPr>
        <w:spacing w:after="40"/>
        <w:ind w:left="227"/>
      </w:pPr>
      <w:r>
        <w:rPr>
          <w:rFonts w:ascii="Arial" w:hAnsi="Arial" w:cs="Arial" w:eastAsia="Arial"/>
          <w:b w:val="0"/>
          <w:i w:val="0"/>
          <w:color w:val="141414"/>
          <w:sz w:val="21"/>
        </w:rPr>
        <w:t>• Nigeria — Banky Wellington drives learning / reflection and emotional support. Deyemi drives resistance and pushback.</w:t>
      </w:r>
    </w:p>
    <w:tbl>
      <w:tblPr>
        <w:tblW w:type="auto" w:w="0"/>
        <w:tblLayout w:type="fixed"/>
        <w:tblLook w:firstColumn="1" w:firstRow="1" w:lastColumn="0" w:lastRow="0" w:noHBand="0" w:noVBand="1" w:val="04A0"/>
      </w:tblPr>
      <w:tblGrid>
        <w:gridCol w:w="10200"/>
      </w:tblGrid>
      <w:tr>
        <w:tc>
          <w:tcPr>
            <w:tcW w:type="dxa" w:w="10200"/>
            <w:shd w:val="clear" w:color="auto" w:fill="F2F4F7"/>
            <w:tcBorders>
              <w:top w:val="single" w:sz="4" w:color="D0D5DD"/>
              <w:left w:val="single" w:sz="4" w:color="D0D5DD"/>
              <w:bottom w:val="single" w:sz="4" w:color="D0D5DD"/>
              <w:right w:val="single" w:sz="4" w:color="D0D5DD"/>
            </w:tcBorders>
          </w:tcPr>
          <w:p>
            <w:pPr>
              <w:spacing w:after="40"/>
            </w:pPr>
            <w:r/>
            <w:r>
              <w:rPr>
                <w:rFonts w:ascii="Arial" w:hAnsi="Arial" w:cs="Arial" w:eastAsia="Arial"/>
                <w:b/>
                <w:i w:val="0"/>
                <w:color w:val="1F2A44"/>
                <w:sz w:val="20"/>
              </w:rPr>
              <w:t>Key contrast</w:t>
            </w:r>
          </w:p>
          <w:p>
            <w:pPr>
              <w:spacing w:after="40"/>
            </w:pPr>
            <w:r>
              <w:rPr>
                <w:rFonts w:ascii="Arial" w:hAnsi="Arial" w:cs="Arial" w:eastAsia="Arial"/>
                <w:b w:val="0"/>
                <w:i w:val="0"/>
                <w:color w:val="141414"/>
                <w:sz w:val="20"/>
              </w:rPr>
              <w:t>Kenya: validation (155) &gt; resistance / pushback (100) &gt; learning / reflection (69). Most audience engagement here is acknowledgement or amplification.</w:t>
            </w:r>
          </w:p>
          <w:p>
            <w:pPr>
              <w:spacing w:after="40"/>
            </w:pPr>
            <w:r>
              <w:rPr>
                <w:rFonts w:ascii="Arial" w:hAnsi="Arial" w:cs="Arial" w:eastAsia="Arial"/>
                <w:b w:val="0"/>
                <w:i w:val="0"/>
                <w:color w:val="141414"/>
                <w:sz w:val="20"/>
              </w:rPr>
              <w:t>Nigeria: resistance / pushback (150) &gt; validation (113) &gt; learning / reflection (78). Nigerian threads in this sample are organised counter-publics rather than uniform echo chambers — a material consideration for playbook framing.</w:t>
            </w:r>
          </w:p>
          <w:p>
            <w:pPr>
              <w:spacing w:after="40"/>
            </w:pPr>
            <w:r>
              <w:rPr>
                <w:rFonts w:ascii="Arial" w:hAnsi="Arial" w:cs="Arial" w:eastAsia="Arial"/>
                <w:b w:val="0"/>
                <w:i w:val="0"/>
                <w:color w:val="141414"/>
                <w:sz w:val="20"/>
              </w:rPr>
              <w:t>Personal disclosure is a Kenya-specific signature in the sample (15 vs 3 comments) and appears almost entirely under the healing register, where it co-occurs with learning / reflection and emotional support.</w:t>
            </w:r>
          </w:p>
        </w:tc>
      </w:tr>
    </w:tbl>
    <w:p>
      <w:pPr>
        <w:spacing w:after="40"/>
      </w:pPr>
    </w:p>
    <w:p>
      <w:pPr>
        <w:keepNext/>
        <w:spacing w:before="200" w:after="80"/>
      </w:pPr>
      <w:r>
        <w:rPr>
          <w:rFonts w:ascii="Arial" w:hAnsi="Arial" w:cs="Arial" w:eastAsia="Arial"/>
          <w:b/>
          <w:i w:val="0"/>
          <w:color w:val="1F2A44"/>
          <w:sz w:val="22"/>
        </w:rPr>
        <w:t>17.  Emotion landscape</w:t>
      </w:r>
    </w:p>
    <w:p>
      <w:pPr>
        <w:spacing w:after="80" w:before="0"/>
      </w:pPr>
      <w:r>
        <w:rPr>
          <w:rFonts w:ascii="Arial" w:hAnsi="Arial" w:cs="Arial" w:eastAsia="Arial"/>
          <w:b w:val="0"/>
          <w:i w:val="0"/>
          <w:color w:val="141414"/>
          <w:sz w:val="21"/>
        </w:rPr>
        <w:t>Anger and contempt cluster on regressive creators. Hope, admiration, and concern cluster on progressive creators. Sadness is rare but meaningful and appears almost exclusively under healing-register content (Rixpoet, Banky Wellington).</w:t>
      </w:r>
    </w:p>
    <w:p>
      <w:pPr>
        <w:keepNext/>
        <w:spacing w:before="200" w:after="80"/>
      </w:pPr>
      <w:r>
        <w:rPr>
          <w:rFonts w:ascii="Arial" w:hAnsi="Arial" w:cs="Arial" w:eastAsia="Arial"/>
          <w:b/>
          <w:i w:val="0"/>
          <w:color w:val="1F2A44"/>
          <w:sz w:val="22"/>
        </w:rPr>
        <w:t>18.  Audience argument types</w:t>
      </w:r>
    </w:p>
    <w:p>
      <w:pPr>
        <w:spacing w:after="80" w:before="0"/>
      </w:pPr>
      <w:r>
        <w:rPr>
          <w:rFonts w:ascii="Arial" w:hAnsi="Arial" w:cs="Arial" w:eastAsia="Arial"/>
          <w:b w:val="0"/>
          <w:i w:val="0"/>
          <w:color w:val="141414"/>
          <w:sz w:val="21"/>
        </w:rPr>
        <w:t>Kenya's audience leans on personal experience (120 of 412 = 29%), driven by Rixpoet's mental-health register. Nigeria's audience leans on generalisation (167 of 417 = 40%), consistent with the dating / relationships topic mix.</w:t>
      </w:r>
    </w:p>
    <w:p>
      <w:pPr>
        <w:keepNext/>
        <w:spacing w:before="200" w:after="80"/>
      </w:pPr>
      <w:r>
        <w:rPr>
          <w:rFonts w:ascii="Arial" w:hAnsi="Arial" w:cs="Arial" w:eastAsia="Arial"/>
          <w:b/>
          <w:i w:val="0"/>
          <w:color w:val="1F2A44"/>
          <w:sz w:val="22"/>
        </w:rPr>
        <w:t>19.  Audience-side sexism</w:t>
      </w:r>
    </w:p>
    <w:p>
      <w:pPr>
        <w:spacing w:after="80" w:before="0"/>
      </w:pPr>
      <w:r>
        <w:rPr>
          <w:rFonts w:ascii="Arial" w:hAnsi="Arial" w:cs="Arial" w:eastAsia="Arial"/>
          <w:b w:val="0"/>
          <w:i w:val="0"/>
          <w:color w:val="141414"/>
          <w:sz w:val="21"/>
        </w:rPr>
        <w:t>Audiences both reproduce and challenge sexism in the original posts. Hostile sexism in audience comments concentrates under the regressive-dominant creators who already produce it: Amerix's audience reproduces it; Rixpoet's audience codes 0%. In Nigeria the same pattern holds under Agba John Doe and Shola, with Banky's audience near zero.</w:t>
      </w:r>
    </w:p>
    <w:p>
      <w:pPr>
        <w:keepNext/>
        <w:spacing w:before="200" w:after="80"/>
      </w:pPr>
      <w:r>
        <w:rPr>
          <w:rFonts w:ascii="Arial" w:hAnsi="Arial" w:cs="Arial" w:eastAsia="Arial"/>
          <w:b/>
          <w:i w:val="0"/>
          <w:color w:val="1F2A44"/>
          <w:sz w:val="25"/>
        </w:rPr>
        <w:t>Part E · Linked content–audience insights</w:t>
      </w:r>
    </w:p>
    <w:p>
      <w:pPr>
        <w:keepNext/>
        <w:spacing w:before="200" w:after="80"/>
      </w:pPr>
      <w:r>
        <w:rPr>
          <w:rFonts w:ascii="Arial" w:hAnsi="Arial" w:cs="Arial" w:eastAsia="Arial"/>
          <w:b/>
          <w:i w:val="0"/>
          <w:color w:val="1F2A44"/>
          <w:sz w:val="22"/>
        </w:rPr>
        <w:t>20.  Frame gap — where audiences open or close frames</w:t>
      </w:r>
    </w:p>
    <w:p>
      <w:pPr>
        <w:spacing w:after="80" w:before="0"/>
      </w:pPr>
      <w:r>
        <w:rPr>
          <w:rFonts w:ascii="Arial" w:hAnsi="Arial" w:cs="Arial" w:eastAsia="Arial"/>
          <w:b w:val="0"/>
          <w:i w:val="0"/>
          <w:color w:val="141414"/>
          <w:sz w:val="21"/>
        </w:rPr>
        <w:t>The frame comparison in Section 5 shows where audiences are doing more than reflecting creators. Three patterns are large enough to flag for the playbook.</w:t>
      </w:r>
    </w:p>
    <w:p>
      <w:pPr>
        <w:spacing w:after="40"/>
        <w:ind w:left="227"/>
      </w:pPr>
      <w:r>
        <w:rPr>
          <w:rFonts w:ascii="Arial" w:hAnsi="Arial" w:cs="Arial" w:eastAsia="Arial"/>
          <w:b w:val="0"/>
          <w:i w:val="0"/>
          <w:color w:val="141414"/>
          <w:sz w:val="21"/>
        </w:rPr>
        <w:t>• Kenya — content vs audience track each other on traditional gender order (79 → 58: audience deflates) and trauma healing (59 → 62: roughly reciprocal under Rixpoet and Eddy). The audience opens self-improvement and provider pressure more often than the content does (see §5).</w:t>
      </w:r>
    </w:p>
    <w:p>
      <w:pPr>
        <w:spacing w:after="40"/>
        <w:ind w:left="227"/>
      </w:pPr>
      <w:r>
        <w:rPr>
          <w:rFonts w:ascii="Arial" w:hAnsi="Arial" w:cs="Arial" w:eastAsia="Arial"/>
          <w:b w:val="0"/>
          <w:i w:val="0"/>
          <w:color w:val="141414"/>
          <w:sz w:val="21"/>
        </w:rPr>
        <w:t>• Nigeria — audience inflates traditional gender order (61 → 111) and female blame (75 → 82). The audience does the regressive frame-keeping work even where the content does not foreground these frames most.</w:t>
      </w:r>
    </w:p>
    <w:p>
      <w:pPr>
        <w:spacing w:after="40"/>
        <w:ind w:left="227"/>
      </w:pPr>
      <w:r>
        <w:rPr>
          <w:rFonts w:ascii="Arial" w:hAnsi="Arial" w:cs="Arial" w:eastAsia="Arial"/>
          <w:b w:val="0"/>
          <w:i w:val="0"/>
          <w:color w:val="141414"/>
          <w:sz w:val="21"/>
        </w:rPr>
        <w:t>• Nigeria — violence / safety appears in 39 audience comments under only 3 content snippets (almost all Deyemi Okanlawon). This is an unmet demand for GBV / safety conversation: the audience is asking for it; creators in this sample are not leading it.</w:t>
      </w:r>
    </w:p>
    <w:p>
      <w:pPr>
        <w:spacing w:after="40"/>
        <w:ind w:left="227"/>
      </w:pPr>
      <w:r>
        <w:rPr>
          <w:rFonts w:ascii="Arial" w:hAnsi="Arial" w:cs="Arial" w:eastAsia="Arial"/>
          <w:b w:val="0"/>
          <w:i w:val="0"/>
          <w:color w:val="141414"/>
          <w:sz w:val="21"/>
        </w:rPr>
        <w:t>• Trauma healing is concentrated and reciprocal in Kenya (content 59 / audience 62, almost entirely Rixpoet and Eddy). It does not exist in the Nigerian set (content 5 / audience 1). This is a counter-narrative gap rather than saturation.</w:t>
      </w:r>
    </w:p>
    <w:p>
      <w:pPr>
        <w:keepNext/>
        <w:spacing w:before="200" w:after="80"/>
      </w:pPr>
      <w:r>
        <w:rPr>
          <w:rFonts w:ascii="Arial" w:hAnsi="Arial" w:cs="Arial" w:eastAsia="Arial"/>
          <w:b/>
          <w:i w:val="0"/>
          <w:color w:val="1F2A44"/>
          <w:sz w:val="22"/>
        </w:rPr>
        <w:t>21.  Where audiences amplify regressive frames</w:t>
      </w:r>
    </w:p>
    <w:p>
      <w:pPr>
        <w:spacing w:after="80" w:before="0"/>
      </w:pPr>
      <w:r>
        <w:rPr>
          <w:rFonts w:ascii="Arial" w:hAnsi="Arial" w:cs="Arial" w:eastAsia="Arial"/>
          <w:b w:val="0"/>
          <w:i w:val="0"/>
          <w:color w:val="141414"/>
          <w:sz w:val="21"/>
        </w:rPr>
        <w:t>By creator, the gap between intensifies-the-message and challenges-the-message uptake (Section 15) shows where the audience is doing amplification work and where it is doing resistance work. Amerix and Deyemi sit on opposite sides of the same dynamic: high challenge rates against very different content. Banky and Rixpoet show the inverse — high extends shares, low challenge.</w:t>
      </w:r>
    </w:p>
    <w:p>
      <w:pPr>
        <w:keepNext/>
        <w:spacing w:before="200" w:after="80"/>
      </w:pPr>
      <w:r>
        <w:rPr>
          <w:rFonts w:ascii="Arial" w:hAnsi="Arial" w:cs="Arial" w:eastAsia="Arial"/>
          <w:b/>
          <w:i w:val="0"/>
          <w:color w:val="1F2A44"/>
          <w:sz w:val="25"/>
        </w:rPr>
        <w:t>Part F · Toward the playbook (Component 4 bridge)</w:t>
      </w:r>
    </w:p>
    <w:p>
      <w:pPr>
        <w:keepNext/>
        <w:spacing w:before="200" w:after="80"/>
      </w:pPr>
      <w:r>
        <w:rPr>
          <w:rFonts w:ascii="Arial" w:hAnsi="Arial" w:cs="Arial" w:eastAsia="Arial"/>
          <w:b/>
          <w:i w:val="0"/>
          <w:color w:val="1F2A44"/>
          <w:sz w:val="22"/>
        </w:rPr>
        <w:t>22.  Counter-narrative levers visible in the data</w:t>
      </w:r>
    </w:p>
    <w:p>
      <w:pPr>
        <w:spacing w:after="80" w:before="0"/>
      </w:pPr>
      <w:r>
        <w:rPr>
          <w:rFonts w:ascii="Arial" w:hAnsi="Arial" w:cs="Arial" w:eastAsia="Arial"/>
          <w:b w:val="0"/>
          <w:i w:val="0"/>
          <w:color w:val="141414"/>
          <w:sz w:val="21"/>
        </w:rPr>
        <w:t>Four narrative-and-rhetoric bundles already produce healthier audience signatures in this sample. Each is a candidate the playbook can lean on.</w:t>
      </w:r>
    </w:p>
    <w:tbl>
      <w:tblPr>
        <w:tblW w:type="auto" w:w="0"/>
        <w:tblLayout w:type="fixed"/>
        <w:tblLook w:firstColumn="1" w:firstRow="1" w:lastColumn="0" w:lastRow="0" w:noHBand="0" w:noVBand="1" w:val="04A0"/>
      </w:tblPr>
      <w:tblGrid>
        <w:gridCol w:w="10200"/>
      </w:tblGrid>
      <w:tr>
        <w:tc>
          <w:tcPr>
            <w:tcW w:type="dxa" w:w="10200"/>
            <w:shd w:val="clear" w:color="auto" w:fill="F2F4F7"/>
            <w:tcBorders>
              <w:top w:val="single" w:sz="4" w:color="D0D5DD"/>
              <w:left w:val="single" w:sz="4" w:color="D0D5DD"/>
              <w:bottom w:val="single" w:sz="4" w:color="D0D5DD"/>
              <w:right w:val="single" w:sz="4" w:color="D0D5DD"/>
            </w:tcBorders>
          </w:tcPr>
          <w:p>
            <w:pPr>
              <w:spacing w:after="40"/>
            </w:pPr>
            <w:r/>
            <w:r>
              <w:rPr>
                <w:rFonts w:ascii="Arial" w:hAnsi="Arial" w:cs="Arial" w:eastAsia="Arial"/>
                <w:b/>
                <w:i w:val="0"/>
                <w:color w:val="1F2A44"/>
                <w:sz w:val="20"/>
              </w:rPr>
              <w:t>Lever 1 — Healing / testimony register</w:t>
            </w:r>
          </w:p>
          <w:p>
            <w:pPr>
              <w:spacing w:after="40"/>
            </w:pPr>
            <w:r>
              <w:rPr>
                <w:rFonts w:ascii="Arial" w:hAnsi="Arial" w:cs="Arial" w:eastAsia="Arial"/>
                <w:b w:val="0"/>
                <w:i w:val="0"/>
                <w:color w:val="141414"/>
                <w:sz w:val="20"/>
              </w:rPr>
              <w:t>Pattern: personal story plus testimony rhetoric, trauma-healing frame, "men should be emotionally open" narrative.</w:t>
            </w:r>
          </w:p>
          <w:p>
            <w:pPr>
              <w:spacing w:after="40"/>
            </w:pPr>
            <w:r>
              <w:rPr>
                <w:rFonts w:ascii="Arial" w:hAnsi="Arial" w:cs="Arial" w:eastAsia="Arial"/>
                <w:b w:val="0"/>
                <w:i w:val="0"/>
                <w:color w:val="141414"/>
                <w:sz w:val="20"/>
              </w:rPr>
              <w:t>Why it works in the data: produces the highest rates of audience personal disclosure and learning / reflection. Engages male grievance without arguing against it.</w:t>
            </w:r>
          </w:p>
          <w:p>
            <w:pPr>
              <w:spacing w:after="40"/>
            </w:pPr>
            <w:r>
              <w:rPr>
                <w:rFonts w:ascii="Arial" w:hAnsi="Arial" w:cs="Arial" w:eastAsia="Arial"/>
                <w:b w:val="0"/>
                <w:i w:val="0"/>
                <w:color w:val="141414"/>
                <w:sz w:val="20"/>
              </w:rPr>
              <w:t>Where it works now: Rixpoet (KE), Eddy Kimani (KE), Banky Wellington (NG).</w:t>
            </w:r>
          </w:p>
          <w:p>
            <w:pPr>
              <w:spacing w:after="40"/>
            </w:pPr>
            <w:r>
              <w:rPr>
                <w:rFonts w:ascii="Arial" w:hAnsi="Arial" w:cs="Arial" w:eastAsia="Arial"/>
                <w:b w:val="0"/>
                <w:i w:val="0"/>
                <w:color w:val="141414"/>
                <w:sz w:val="20"/>
              </w:rPr>
              <w:t>Risk: thin Nigerian footprint — only Banky carries the register. The playbook should look for additional Nigerian creators in this register.</w:t>
            </w:r>
          </w:p>
        </w:tc>
      </w:tr>
    </w:tbl>
    <w:p>
      <w:pPr>
        <w:spacing w:after="40"/>
      </w:pPr>
    </w:p>
    <w:tbl>
      <w:tblPr>
        <w:tblW w:type="auto" w:w="0"/>
        <w:tblLayout w:type="fixed"/>
        <w:tblLook w:firstColumn="1" w:firstRow="1" w:lastColumn="0" w:lastRow="0" w:noHBand="0" w:noVBand="1" w:val="04A0"/>
      </w:tblPr>
      <w:tblGrid>
        <w:gridCol w:w="10200"/>
      </w:tblGrid>
      <w:tr>
        <w:tc>
          <w:tcPr>
            <w:tcW w:type="dxa" w:w="10200"/>
            <w:shd w:val="clear" w:color="auto" w:fill="F2F4F7"/>
            <w:tcBorders>
              <w:top w:val="single" w:sz="4" w:color="D0D5DD"/>
              <w:left w:val="single" w:sz="4" w:color="D0D5DD"/>
              <w:bottom w:val="single" w:sz="4" w:color="D0D5DD"/>
              <w:right w:val="single" w:sz="4" w:color="D0D5DD"/>
            </w:tcBorders>
          </w:tcPr>
          <w:p>
            <w:pPr>
              <w:spacing w:after="40"/>
            </w:pPr>
            <w:r/>
            <w:r>
              <w:rPr>
                <w:rFonts w:ascii="Arial" w:hAnsi="Arial" w:cs="Arial" w:eastAsia="Arial"/>
                <w:b/>
                <w:i w:val="0"/>
                <w:color w:val="1F2A44"/>
                <w:sz w:val="20"/>
              </w:rPr>
              <w:t>Lever 2 — Fatherhood-led equality</w:t>
            </w:r>
          </w:p>
          <w:p>
            <w:pPr>
              <w:spacing w:after="40"/>
            </w:pPr>
            <w:r>
              <w:rPr>
                <w:rFonts w:ascii="Arial" w:hAnsi="Arial" w:cs="Arial" w:eastAsia="Arial"/>
                <w:b w:val="0"/>
                <w:i w:val="0"/>
                <w:color w:val="141414"/>
                <w:sz w:val="20"/>
              </w:rPr>
              <w:t>Pattern: commentary / opinion plus advice rhetoric, fatherhood-responsibility frame, "men should be equal partners" narrative.</w:t>
            </w:r>
          </w:p>
          <w:p>
            <w:pPr>
              <w:spacing w:after="40"/>
            </w:pPr>
            <w:r>
              <w:rPr>
                <w:rFonts w:ascii="Arial" w:hAnsi="Arial" w:cs="Arial" w:eastAsia="Arial"/>
                <w:b w:val="0"/>
                <w:i w:val="0"/>
                <w:color w:val="141414"/>
                <w:sz w:val="20"/>
              </w:rPr>
              <w:t>Why it works: positions equality as responsible-father identity rather than concession. Audiences tend to extend rather than intensify.</w:t>
            </w:r>
          </w:p>
          <w:p>
            <w:pPr>
              <w:spacing w:after="40"/>
            </w:pPr>
            <w:r>
              <w:rPr>
                <w:rFonts w:ascii="Arial" w:hAnsi="Arial" w:cs="Arial" w:eastAsia="Arial"/>
                <w:b w:val="0"/>
                <w:i w:val="0"/>
                <w:color w:val="141414"/>
                <w:sz w:val="20"/>
              </w:rPr>
              <w:t>Where it works now: Banky Wellington, Philip Karanja. Deyemi Okanlawon uses this register but draws organised opposition (audience opposes 85%) — the content needs to be paired with the healing register to land.</w:t>
            </w:r>
          </w:p>
        </w:tc>
      </w:tr>
    </w:tbl>
    <w:p>
      <w:pPr>
        <w:spacing w:after="40"/>
      </w:pPr>
    </w:p>
    <w:tbl>
      <w:tblPr>
        <w:tblW w:type="auto" w:w="0"/>
        <w:tblLayout w:type="fixed"/>
        <w:tblLook w:firstColumn="1" w:firstRow="1" w:lastColumn="0" w:lastRow="0" w:noHBand="0" w:noVBand="1" w:val="04A0"/>
      </w:tblPr>
      <w:tblGrid>
        <w:gridCol w:w="10200"/>
      </w:tblGrid>
      <w:tr>
        <w:tc>
          <w:tcPr>
            <w:tcW w:type="dxa" w:w="10200"/>
            <w:shd w:val="clear" w:color="auto" w:fill="F2F4F7"/>
            <w:tcBorders>
              <w:top w:val="single" w:sz="4" w:color="D0D5DD"/>
              <w:left w:val="single" w:sz="4" w:color="D0D5DD"/>
              <w:bottom w:val="single" w:sz="4" w:color="D0D5DD"/>
              <w:right w:val="single" w:sz="4" w:color="D0D5DD"/>
            </w:tcBorders>
          </w:tcPr>
          <w:p>
            <w:pPr>
              <w:spacing w:after="40"/>
            </w:pPr>
            <w:r/>
            <w:r>
              <w:rPr>
                <w:rFonts w:ascii="Arial" w:hAnsi="Arial" w:cs="Arial" w:eastAsia="Arial"/>
                <w:b/>
                <w:i w:val="0"/>
                <w:color w:val="1F2A44"/>
                <w:sz w:val="20"/>
              </w:rPr>
              <w:t>Lever 3 — Reframe the provider story without abandoning it</w:t>
            </w:r>
          </w:p>
          <w:p>
            <w:pPr>
              <w:spacing w:after="40"/>
            </w:pPr>
            <w:r>
              <w:rPr>
                <w:rFonts w:ascii="Arial" w:hAnsi="Arial" w:cs="Arial" w:eastAsia="Arial"/>
                <w:b w:val="0"/>
                <w:i w:val="0"/>
                <w:color w:val="141414"/>
                <w:sz w:val="20"/>
              </w:rPr>
              <w:t>The most common Nigerian regressive narrative is "men should provide and succeed". The provider-pressure frame is real for adolescent boys and young men; direct attack is unlikely to land. The opening in the data is to decouple provider success from women's submission. Banky Wellington's content already does this; the playbook can scale that move.</w:t>
            </w:r>
          </w:p>
        </w:tc>
      </w:tr>
    </w:tbl>
    <w:p>
      <w:pPr>
        <w:spacing w:after="40"/>
      </w:pPr>
    </w:p>
    <w:tbl>
      <w:tblPr>
        <w:tblW w:type="auto" w:w="0"/>
        <w:tblLayout w:type="fixed"/>
        <w:tblLook w:firstColumn="1" w:firstRow="1" w:lastColumn="0" w:lastRow="0" w:noHBand="0" w:noVBand="1" w:val="04A0"/>
      </w:tblPr>
      <w:tblGrid>
        <w:gridCol w:w="10200"/>
      </w:tblGrid>
      <w:tr>
        <w:tc>
          <w:tcPr>
            <w:tcW w:type="dxa" w:w="10200"/>
            <w:shd w:val="clear" w:color="auto" w:fill="F2F4F7"/>
            <w:tcBorders>
              <w:top w:val="single" w:sz="4" w:color="D0D5DD"/>
              <w:left w:val="single" w:sz="4" w:color="D0D5DD"/>
              <w:bottom w:val="single" w:sz="4" w:color="D0D5DD"/>
              <w:right w:val="single" w:sz="4" w:color="D0D5DD"/>
            </w:tcBorders>
          </w:tcPr>
          <w:p>
            <w:pPr>
              <w:spacing w:after="40"/>
            </w:pPr>
            <w:r/>
            <w:r>
              <w:rPr>
                <w:rFonts w:ascii="Arial" w:hAnsi="Arial" w:cs="Arial" w:eastAsia="Arial"/>
                <w:b/>
                <w:i w:val="0"/>
                <w:color w:val="1F2A44"/>
                <w:sz w:val="20"/>
              </w:rPr>
              <w:t>Lever 4 — Meet the unmet demand for GBV / safety conversation</w:t>
            </w:r>
          </w:p>
          <w:p>
            <w:pPr>
              <w:spacing w:after="40"/>
            </w:pPr>
            <w:r>
              <w:rPr>
                <w:rFonts w:ascii="Arial" w:hAnsi="Arial" w:cs="Arial" w:eastAsia="Arial"/>
                <w:b w:val="0"/>
                <w:i w:val="0"/>
                <w:color w:val="141414"/>
                <w:sz w:val="20"/>
              </w:rPr>
              <w:t>In Nigeria, violence / safety appears in 39 audience comments under only 3 content snippets. The audience is asking for this conversation and the sample's creators are not leading it. The playbook can occupy this gap directly via Male Changemakers and progressive creators.</w:t>
            </w:r>
          </w:p>
        </w:tc>
      </w:tr>
    </w:tbl>
    <w:p>
      <w:pPr>
        <w:spacing w:after="40"/>
      </w:pPr>
    </w:p>
    <w:p>
      <w:pPr>
        <w:keepNext/>
        <w:spacing w:before="200" w:after="80"/>
      </w:pPr>
      <w:r>
        <w:rPr>
          <w:rFonts w:ascii="Arial" w:hAnsi="Arial" w:cs="Arial" w:eastAsia="Arial"/>
          <w:b/>
          <w:i w:val="0"/>
          <w:color w:val="1F2A44"/>
          <w:sz w:val="25"/>
        </w:rPr>
        <w:t>Part G · Appendices</w:t>
      </w:r>
    </w:p>
    <w:p>
      <w:pPr>
        <w:keepNext/>
        <w:spacing w:before="200" w:after="80"/>
      </w:pPr>
      <w:r>
        <w:rPr>
          <w:rFonts w:ascii="Arial" w:hAnsi="Arial" w:cs="Arial" w:eastAsia="Arial"/>
          <w:b/>
          <w:i w:val="0"/>
          <w:color w:val="1F2A44"/>
          <w:sz w:val="22"/>
        </w:rPr>
        <w:t>23.  Definitions and computation</w:t>
      </w:r>
    </w:p>
    <w:p>
      <w:pPr>
        <w:spacing w:after="80" w:before="0"/>
      </w:pPr>
      <w:r>
        <w:rPr>
          <w:rFonts w:ascii="Arial" w:hAnsi="Arial" w:cs="Arial" w:eastAsia="Arial"/>
          <w:b w:val="0"/>
          <w:i w:val="0"/>
          <w:color w:val="141414"/>
          <w:sz w:val="21"/>
        </w:rPr>
        <w:t>Each coded variable and how its figures are computed. Percentages use the denominator stated in the table; percentages on the content side use the country's content-snippet n (KE = 394, NG = 381) unless otherwise noted; percentages on the audience side use the country's audience-comment n (KE = 412, NG = 417).</w:t>
      </w:r>
    </w:p>
    <w:tbl>
      <w:tblPr>
        <w:tblW w:type="auto" w:w="0"/>
        <w:tblLayout w:type="fixed"/>
        <w:tblLook w:firstColumn="1" w:firstRow="1" w:lastColumn="0" w:lastRow="0" w:noHBand="0" w:noVBand="1" w:val="04A0"/>
      </w:tblPr>
      <w:tblGrid>
        <w:gridCol w:w="2040"/>
        <w:gridCol w:w="2040"/>
        <w:gridCol w:w="2040"/>
        <w:gridCol w:w="2040"/>
        <w:gridCol w:w="2040"/>
      </w:tblGrid>
      <w:tr>
        <w:tc>
          <w:tcPr>
            <w:tcW w:type="dxa" w:w="1701"/>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Variable</w:t>
            </w:r>
          </w:p>
        </w:tc>
        <w:tc>
          <w:tcPr>
            <w:tcW w:type="dxa" w:w="2041"/>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What it captures</w:t>
            </w:r>
          </w:p>
        </w:tc>
        <w:tc>
          <w:tcPr>
            <w:tcW w:type="dxa" w:w="3288"/>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Values</w:t>
            </w:r>
          </w:p>
        </w:tc>
        <w:tc>
          <w:tcPr>
            <w:tcW w:type="dxa" w:w="1587"/>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Denominator</w:t>
            </w:r>
          </w:p>
        </w:tc>
        <w:tc>
          <w:tcPr>
            <w:tcW w:type="dxa" w:w="1134"/>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Coded on</w:t>
            </w:r>
          </w:p>
        </w:tc>
      </w:tr>
      <w:tr>
        <w:tc>
          <w:tcPr>
            <w:tcW w:type="dxa" w:w="1701"/>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Topic</w:t>
            </w:r>
          </w:p>
        </w:tc>
        <w:tc>
          <w:tcPr>
            <w:tcW w:type="dxa" w:w="2041"/>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The main subject the snippet or comment is about.</w:t>
            </w:r>
          </w:p>
        </w:tc>
        <w:tc>
          <w:tcPr>
            <w:tcW w:type="dxa" w:w="3288"/>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Mental health · Dating-relationships · Marriage-family · Gender debate · Fatherhood-parenting · Money-status · Violence-safety · Other.</w:t>
            </w:r>
          </w:p>
        </w:tc>
        <w:tc>
          <w:tcPr>
            <w:tcW w:type="dxa" w:w="1587"/>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Country content n or audience n.</w:t>
            </w:r>
          </w:p>
        </w:tc>
        <w:tc>
          <w:tcPr>
            <w:tcW w:type="dxa" w:w="113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Content + Audience</w:t>
            </w:r>
          </w:p>
        </w:tc>
      </w:tr>
      <w:tr>
        <w:tc>
          <w:tcPr>
            <w:tcW w:type="dxa" w:w="1701"/>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Narrative</w:t>
            </w:r>
          </w:p>
        </w:tc>
        <w:tc>
          <w:tcPr>
            <w:tcW w:type="dxa" w:w="2041"/>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The masculinity model the snippet pushes; "none" if descriptive only.</w:t>
            </w:r>
          </w:p>
        </w:tc>
        <w:tc>
          <w:tcPr>
            <w:tcW w:type="dxa" w:w="3288"/>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Men are disadvantaged victims · Men should provide and succeed · Men should protect women and children · Men should improve themselves · Men should be emotionally open · Men should be equal partners · Men should dominate / lead · Other / none.</w:t>
            </w:r>
          </w:p>
        </w:tc>
        <w:tc>
          <w:tcPr>
            <w:tcW w:type="dxa" w:w="1587"/>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Country content n.</w:t>
            </w:r>
          </w:p>
        </w:tc>
        <w:tc>
          <w:tcPr>
            <w:tcW w:type="dxa" w:w="1134"/>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Content only</w:t>
            </w:r>
          </w:p>
        </w:tc>
      </w:tr>
      <w:tr>
        <w:tc>
          <w:tcPr>
            <w:tcW w:type="dxa" w:w="1701"/>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Frame</w:t>
            </w:r>
          </w:p>
        </w:tc>
        <w:tc>
          <w:tcPr>
            <w:tcW w:type="dxa" w:w="2041"/>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The dominant packaging of meaning around the topic.</w:t>
            </w:r>
          </w:p>
        </w:tc>
        <w:tc>
          <w:tcPr>
            <w:tcW w:type="dxa" w:w="3288"/>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Traditional gender order · Trauma healing · Self-improvement · Provider pressure · Female blame · Equality-partnership · Fatherhood-responsibility · Violence-safety · Other.</w:t>
            </w:r>
          </w:p>
        </w:tc>
        <w:tc>
          <w:tcPr>
            <w:tcW w:type="dxa" w:w="1587"/>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Country content n or audience n separately.</w:t>
            </w:r>
          </w:p>
        </w:tc>
        <w:tc>
          <w:tcPr>
            <w:tcW w:type="dxa" w:w="113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Content + Audience</w:t>
            </w:r>
          </w:p>
        </w:tc>
      </w:tr>
      <w:tr>
        <w:tc>
          <w:tcPr>
            <w:tcW w:type="dxa" w:w="1701"/>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Problem / Solution</w:t>
            </w:r>
          </w:p>
        </w:tc>
        <w:tc>
          <w:tcPr>
            <w:tcW w:type="dxa" w:w="2041"/>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What the snippet says is wrong and what (if anything) it prescribes.</w:t>
            </w:r>
          </w:p>
        </w:tc>
        <w:tc>
          <w:tcPr>
            <w:tcW w:type="dxa" w:w="3288"/>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Open category list; "no clear problem" / "no clear solution" allowed.</w:t>
            </w:r>
          </w:p>
        </w:tc>
        <w:tc>
          <w:tcPr>
            <w:tcW w:type="dxa" w:w="1587"/>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Country content n.</w:t>
            </w:r>
          </w:p>
        </w:tc>
        <w:tc>
          <w:tcPr>
            <w:tcW w:type="dxa" w:w="1134"/>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Content only</w:t>
            </w:r>
          </w:p>
        </w:tc>
      </w:tr>
      <w:tr>
        <w:tc>
          <w:tcPr>
            <w:tcW w:type="dxa" w:w="1701"/>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Sentiment (3-axis)</w:t>
            </w:r>
          </w:p>
        </w:tc>
        <w:tc>
          <w:tcPr>
            <w:tcW w:type="dxa" w:w="2041"/>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Separate sentiment toward men, women, and traditional norms.</w:t>
            </w:r>
          </w:p>
        </w:tc>
        <w:tc>
          <w:tcPr>
            <w:tcW w:type="dxa" w:w="3288"/>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Positive · Negative · Neutral · Unclear.</w:t>
            </w:r>
          </w:p>
        </w:tc>
        <w:tc>
          <w:tcPr>
            <w:tcW w:type="dxa" w:w="1587"/>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Country content n per target row.</w:t>
            </w:r>
          </w:p>
        </w:tc>
        <w:tc>
          <w:tcPr>
            <w:tcW w:type="dxa" w:w="113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Content only</w:t>
            </w:r>
          </w:p>
        </w:tc>
      </w:tr>
      <w:tr>
        <w:tc>
          <w:tcPr>
            <w:tcW w:type="dxa" w:w="1701"/>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Rhetoric</w:t>
            </w:r>
          </w:p>
        </w:tc>
        <w:tc>
          <w:tcPr>
            <w:tcW w:type="dxa" w:w="2041"/>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Dominant rhetorical mode.</w:t>
            </w:r>
          </w:p>
        </w:tc>
        <w:tc>
          <w:tcPr>
            <w:tcW w:type="dxa" w:w="3288"/>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Commentary / opinion · Advice / instruction · Debate / argument · Personal story · Testimony · Motivational speech · Religious / moral teaching · Humour / satire · Warning / threat · News / facts.</w:t>
            </w:r>
          </w:p>
        </w:tc>
        <w:tc>
          <w:tcPr>
            <w:tcW w:type="dxa" w:w="1587"/>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Country content n.</w:t>
            </w:r>
          </w:p>
        </w:tc>
        <w:tc>
          <w:tcPr>
            <w:tcW w:type="dxa" w:w="1134"/>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Content only</w:t>
            </w:r>
          </w:p>
        </w:tc>
      </w:tr>
      <w:tr>
        <w:tc>
          <w:tcPr>
            <w:tcW w:type="dxa" w:w="1701"/>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Argument type</w:t>
            </w:r>
          </w:p>
        </w:tc>
        <w:tc>
          <w:tcPr>
            <w:tcW w:type="dxa" w:w="2041"/>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How the claim is supported.</w:t>
            </w:r>
          </w:p>
        </w:tc>
        <w:tc>
          <w:tcPr>
            <w:tcW w:type="dxa" w:w="3288"/>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Generalisation · Personal experience · Advice / instruction · Data / statistic · Religious / moral appeal · Other.</w:t>
            </w:r>
          </w:p>
        </w:tc>
        <w:tc>
          <w:tcPr>
            <w:tcW w:type="dxa" w:w="1587"/>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Country content n or audience n.</w:t>
            </w:r>
          </w:p>
        </w:tc>
        <w:tc>
          <w:tcPr>
            <w:tcW w:type="dxa" w:w="113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Content + Audience</w:t>
            </w:r>
          </w:p>
        </w:tc>
      </w:tr>
      <w:tr>
        <w:tc>
          <w:tcPr>
            <w:tcW w:type="dxa" w:w="1701"/>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Sexism (3-level)</w:t>
            </w:r>
          </w:p>
        </w:tc>
        <w:tc>
          <w:tcPr>
            <w:tcW w:type="dxa" w:w="2041"/>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Hostile, dehumanising, or benevolent / traditional sexism present in the snippet or comment.</w:t>
            </w:r>
          </w:p>
        </w:tc>
        <w:tc>
          <w:tcPr>
            <w:tcW w:type="dxa" w:w="3288"/>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Hostile · Dehumanising · Benevolent-traditional · None.</w:t>
            </w:r>
          </w:p>
        </w:tc>
        <w:tc>
          <w:tcPr>
            <w:tcW w:type="dxa" w:w="1587"/>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Country content n or audience n.</w:t>
            </w:r>
          </w:p>
        </w:tc>
        <w:tc>
          <w:tcPr>
            <w:tcW w:type="dxa" w:w="1134"/>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Content + Audience</w:t>
            </w:r>
          </w:p>
        </w:tc>
      </w:tr>
      <w:tr>
        <w:tc>
          <w:tcPr>
            <w:tcW w:type="dxa" w:w="1701"/>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Orientation</w:t>
            </w:r>
          </w:p>
        </w:tc>
        <w:tc>
          <w:tcPr>
            <w:tcW w:type="dxa" w:w="2041"/>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Regressive vs progressive position on the masculinity axis.</w:t>
            </w:r>
          </w:p>
        </w:tc>
        <w:tc>
          <w:tcPr>
            <w:tcW w:type="dxa" w:w="3288"/>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Regressive · Progressive · Mixed-unclear.</w:t>
            </w:r>
          </w:p>
        </w:tc>
        <w:tc>
          <w:tcPr>
            <w:tcW w:type="dxa" w:w="1587"/>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Country content n.</w:t>
            </w:r>
          </w:p>
        </w:tc>
        <w:tc>
          <w:tcPr>
            <w:tcW w:type="dxa" w:w="113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Content only (does NOT apply to audience)</w:t>
            </w:r>
          </w:p>
        </w:tc>
      </w:tr>
      <w:tr>
        <w:tc>
          <w:tcPr>
            <w:tcW w:type="dxa" w:w="1701"/>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Stance (audience)</w:t>
            </w:r>
          </w:p>
        </w:tc>
        <w:tc>
          <w:tcPr>
            <w:tcW w:type="dxa" w:w="2041"/>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Stance of the comment toward its parent post.</w:t>
            </w:r>
          </w:p>
        </w:tc>
        <w:tc>
          <w:tcPr>
            <w:tcW w:type="dxa" w:w="3288"/>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Supports · Opposes · Neutral · Unclear.</w:t>
            </w:r>
          </w:p>
        </w:tc>
        <w:tc>
          <w:tcPr>
            <w:tcW w:type="dxa" w:w="1587"/>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Country audience n.</w:t>
            </w:r>
          </w:p>
        </w:tc>
        <w:tc>
          <w:tcPr>
            <w:tcW w:type="dxa" w:w="1134"/>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Audience only</w:t>
            </w:r>
          </w:p>
        </w:tc>
      </w:tr>
      <w:tr>
        <w:tc>
          <w:tcPr>
            <w:tcW w:type="dxa" w:w="1701"/>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Uptake mode (audience)</w:t>
            </w:r>
          </w:p>
        </w:tc>
        <w:tc>
          <w:tcPr>
            <w:tcW w:type="dxa" w:w="2041"/>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How the comment relates to the post.</w:t>
            </w:r>
          </w:p>
        </w:tc>
        <w:tc>
          <w:tcPr>
            <w:tcW w:type="dxa" w:w="3288"/>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Intensifies · Extends · Softens · Challenges.</w:t>
            </w:r>
          </w:p>
        </w:tc>
        <w:tc>
          <w:tcPr>
            <w:tcW w:type="dxa" w:w="1587"/>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Country audience n per creator (table 15).</w:t>
            </w:r>
          </w:p>
        </w:tc>
        <w:tc>
          <w:tcPr>
            <w:tcW w:type="dxa" w:w="113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Audience only</w:t>
            </w:r>
          </w:p>
        </w:tc>
      </w:tr>
      <w:tr>
        <w:tc>
          <w:tcPr>
            <w:tcW w:type="dxa" w:w="1701"/>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Perceived impact (audience)</w:t>
            </w:r>
          </w:p>
        </w:tc>
        <w:tc>
          <w:tcPr>
            <w:tcW w:type="dxa" w:w="2041"/>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What kind of impact the commenter reports.</w:t>
            </w:r>
          </w:p>
        </w:tc>
        <w:tc>
          <w:tcPr>
            <w:tcW w:type="dxa" w:w="3288"/>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Validation · Learning / reflection · Personal disclosure · Advice to others · Resistance / pushback · Emotional support · Entertainment / humour · No clear impact.</w:t>
            </w:r>
          </w:p>
        </w:tc>
        <w:tc>
          <w:tcPr>
            <w:tcW w:type="dxa" w:w="1587"/>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Country audience n.</w:t>
            </w:r>
          </w:p>
        </w:tc>
        <w:tc>
          <w:tcPr>
            <w:tcW w:type="dxa" w:w="1134"/>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Audience only</w:t>
            </w:r>
          </w:p>
        </w:tc>
      </w:tr>
      <w:tr>
        <w:tc>
          <w:tcPr>
            <w:tcW w:type="dxa" w:w="1701"/>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Confidence</w:t>
            </w:r>
          </w:p>
        </w:tc>
        <w:tc>
          <w:tcPr>
            <w:tcW w:type="dxa" w:w="2041"/>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LLM self-reported certainty on the row.</w:t>
            </w:r>
          </w:p>
        </w:tc>
        <w:tc>
          <w:tcPr>
            <w:tcW w:type="dxa" w:w="3288"/>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High · Medium · Low.</w:t>
            </w:r>
          </w:p>
        </w:tc>
        <w:tc>
          <w:tcPr>
            <w:tcW w:type="dxa" w:w="1587"/>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Country content n or audience n.</w:t>
            </w:r>
          </w:p>
        </w:tc>
        <w:tc>
          <w:tcPr>
            <w:tcW w:type="dxa" w:w="113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All rows</w:t>
            </w:r>
          </w:p>
        </w:tc>
      </w:tr>
    </w:tbl>
    <w:p>
      <w:pPr>
        <w:spacing w:after="40"/>
      </w:pPr>
    </w:p>
    <w:p>
      <w:pPr>
        <w:spacing w:after="80" w:before="0"/>
      </w:pPr>
      <w:r>
        <w:rPr>
          <w:rFonts w:ascii="Arial" w:hAnsi="Arial" w:cs="Arial" w:eastAsia="Arial"/>
          <w:b w:val="0"/>
          <w:i/>
          <w:color w:val="555555"/>
          <w:sz w:val="20"/>
        </w:rPr>
        <w:t>Computation rules. All percentages are share = numerator ÷ denominator stated in the table. Where the denominator changes (per creator, per country, per target), the table reports the n in its own column. Counts and percentages are not weighted; they describe the curated sample only.</w:t>
      </w:r>
    </w:p>
    <w:p>
      <w:pPr>
        <w:keepNext/>
        <w:spacing w:before="200" w:after="80"/>
      </w:pPr>
      <w:r>
        <w:rPr>
          <w:rFonts w:ascii="Arial" w:hAnsi="Arial" w:cs="Arial" w:eastAsia="Arial"/>
          <w:b/>
          <w:i w:val="0"/>
          <w:color w:val="1F2A44"/>
          <w:sz w:val="22"/>
        </w:rPr>
        <w:t>24.  Methodology</w:t>
      </w:r>
    </w:p>
    <w:p>
      <w:pPr>
        <w:spacing w:after="80" w:before="0"/>
      </w:pPr>
      <w:r>
        <w:rPr>
          <w:rFonts w:ascii="Arial" w:hAnsi="Arial" w:cs="Arial" w:eastAsia="Arial"/>
          <w:b w:val="0"/>
          <w:i w:val="0"/>
          <w:color w:val="141414"/>
          <w:sz w:val="21"/>
        </w:rPr>
        <w:t>Coding pipeline. Every row was coded by gpt-4o-mini using OpenAI Structured Outputs with a strict JSON schema that enumerates every allowed value. Temperature is fixed at 0. Responses are cached on disk by SHA-256 of (model, schema, system prompt, user prompt), so reruns are free and deterministic. Per-row uncertainty is captured by a confidence column (high / medium / low) and a verbatim evidence_quote field. The sentiment enum is four-valued (positive · negative · neutral · unclear). The LLM is the final coder.</w:t>
      </w:r>
    </w:p>
    <w:p>
      <w:pPr>
        <w:spacing w:after="80" w:before="0"/>
      </w:pPr>
      <w:r>
        <w:rPr>
          <w:rFonts w:ascii="Arial" w:hAnsi="Arial" w:cs="Arial" w:eastAsia="Arial"/>
          <w:b w:val="0"/>
          <w:i/>
          <w:color w:val="141414"/>
          <w:sz w:val="20"/>
        </w:rPr>
        <w:t>Coding completeness</w:t>
      </w:r>
    </w:p>
    <w:tbl>
      <w:tblPr>
        <w:tblW w:type="auto" w:w="0"/>
        <w:tblLayout w:type="fixed"/>
        <w:tblLook w:firstColumn="1" w:firstRow="1" w:lastColumn="0" w:lastRow="0" w:noHBand="0" w:noVBand="1" w:val="04A0"/>
      </w:tblPr>
      <w:tblGrid>
        <w:gridCol w:w="2040"/>
        <w:gridCol w:w="2040"/>
        <w:gridCol w:w="2040"/>
        <w:gridCol w:w="2040"/>
        <w:gridCol w:w="2040"/>
      </w:tblGrid>
      <w:tr>
        <w:tc>
          <w:tcPr>
            <w:tcW w:type="dxa" w:w="1984"/>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Confidence</w:t>
            </w:r>
          </w:p>
        </w:tc>
        <w:tc>
          <w:tcPr>
            <w:tcW w:type="dxa" w:w="1701"/>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KE audience</w:t>
            </w:r>
          </w:p>
        </w:tc>
        <w:tc>
          <w:tcPr>
            <w:tcW w:type="dxa" w:w="1701"/>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KE content</w:t>
            </w:r>
          </w:p>
        </w:tc>
        <w:tc>
          <w:tcPr>
            <w:tcW w:type="dxa" w:w="1701"/>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NG audience</w:t>
            </w:r>
          </w:p>
        </w:tc>
        <w:tc>
          <w:tcPr>
            <w:tcW w:type="dxa" w:w="1701"/>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NG content</w:t>
            </w:r>
          </w:p>
        </w:tc>
      </w:tr>
      <w:tr>
        <w:tc>
          <w:tcPr>
            <w:tcW w:type="dxa" w:w="198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High</w:t>
            </w:r>
          </w:p>
        </w:tc>
        <w:tc>
          <w:tcPr>
            <w:tcW w:type="dxa" w:w="1701"/>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321 (78%)</w:t>
            </w:r>
          </w:p>
        </w:tc>
        <w:tc>
          <w:tcPr>
            <w:tcW w:type="dxa" w:w="1701"/>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365 (93%)</w:t>
            </w:r>
          </w:p>
        </w:tc>
        <w:tc>
          <w:tcPr>
            <w:tcW w:type="dxa" w:w="1701"/>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335 (80%)</w:t>
            </w:r>
          </w:p>
        </w:tc>
        <w:tc>
          <w:tcPr>
            <w:tcW w:type="dxa" w:w="1701"/>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340 (89%)</w:t>
            </w:r>
          </w:p>
        </w:tc>
      </w:tr>
      <w:tr>
        <w:tc>
          <w:tcPr>
            <w:tcW w:type="dxa" w:w="1984"/>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Medium</w:t>
            </w:r>
          </w:p>
        </w:tc>
        <w:tc>
          <w:tcPr>
            <w:tcW w:type="dxa" w:w="1701"/>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88 (21%)</w:t>
            </w:r>
          </w:p>
        </w:tc>
        <w:tc>
          <w:tcPr>
            <w:tcW w:type="dxa" w:w="1701"/>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27 (7%)</w:t>
            </w:r>
          </w:p>
        </w:tc>
        <w:tc>
          <w:tcPr>
            <w:tcW w:type="dxa" w:w="1701"/>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82 (20%)</w:t>
            </w:r>
          </w:p>
        </w:tc>
        <w:tc>
          <w:tcPr>
            <w:tcW w:type="dxa" w:w="1701"/>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41 (11%)</w:t>
            </w:r>
          </w:p>
        </w:tc>
      </w:tr>
      <w:tr>
        <w:tc>
          <w:tcPr>
            <w:tcW w:type="dxa" w:w="198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Low</w:t>
            </w:r>
          </w:p>
        </w:tc>
        <w:tc>
          <w:tcPr>
            <w:tcW w:type="dxa" w:w="1701"/>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3</w:t>
            </w:r>
          </w:p>
        </w:tc>
        <w:tc>
          <w:tcPr>
            <w:tcW w:type="dxa" w:w="1701"/>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2</w:t>
            </w:r>
          </w:p>
        </w:tc>
        <w:tc>
          <w:tcPr>
            <w:tcW w:type="dxa" w:w="1701"/>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0</w:t>
            </w:r>
          </w:p>
        </w:tc>
        <w:tc>
          <w:tcPr>
            <w:tcW w:type="dxa" w:w="1701"/>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0</w:t>
            </w:r>
          </w:p>
        </w:tc>
      </w:tr>
      <w:tr>
        <w:tc>
          <w:tcPr>
            <w:tcW w:type="dxa" w:w="1984"/>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Errors / fallbacks</w:t>
            </w:r>
          </w:p>
        </w:tc>
        <w:tc>
          <w:tcPr>
            <w:tcW w:type="dxa" w:w="1701"/>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0</w:t>
            </w:r>
          </w:p>
        </w:tc>
        <w:tc>
          <w:tcPr>
            <w:tcW w:type="dxa" w:w="1701"/>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0</w:t>
            </w:r>
          </w:p>
        </w:tc>
        <w:tc>
          <w:tcPr>
            <w:tcW w:type="dxa" w:w="1701"/>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0</w:t>
            </w:r>
          </w:p>
        </w:tc>
        <w:tc>
          <w:tcPr>
            <w:tcW w:type="dxa" w:w="1701"/>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0</w:t>
            </w:r>
          </w:p>
        </w:tc>
      </w:tr>
    </w:tbl>
    <w:p>
      <w:pPr>
        <w:spacing w:after="40"/>
      </w:pPr>
    </w:p>
    <w:p>
      <w:pPr>
        <w:spacing w:after="80" w:before="0"/>
      </w:pPr>
      <w:r>
        <w:rPr>
          <w:rFonts w:ascii="Arial" w:hAnsi="Arial" w:cs="Arial" w:eastAsia="Arial"/>
          <w:b w:val="0"/>
          <w:i w:val="0"/>
          <w:color w:val="141414"/>
          <w:sz w:val="21"/>
        </w:rPr>
        <w:t>Engagement metrics (view counts, impressions, comments, re-shares). Per Scope, engagement metrics are correlated with content variables in the final deck rather than in this exploratory document. View counts are not exposed on all platforms in the sample (e.g., X / Twitter does not surface view counts on older posts in all cases), so the deck reports metric-level analyses wherever the metric is available and flags the gap otherwise.</w:t>
      </w:r>
    </w:p>
    <w:p>
      <w:pPr>
        <w:keepNext/>
        <w:spacing w:before="200" w:after="80"/>
      </w:pPr>
      <w:r>
        <w:rPr>
          <w:rFonts w:ascii="Arial" w:hAnsi="Arial" w:cs="Arial" w:eastAsia="Arial"/>
          <w:b/>
          <w:i w:val="0"/>
          <w:color w:val="1F2A44"/>
          <w:sz w:val="22"/>
        </w:rPr>
        <w:t>25.  Limitations, sampling, and how to read the figures</w:t>
      </w:r>
    </w:p>
    <w:p>
      <w:pPr>
        <w:spacing w:after="80" w:before="0"/>
      </w:pPr>
      <w:r>
        <w:rPr>
          <w:rFonts w:ascii="Arial" w:hAnsi="Arial" w:cs="Arial" w:eastAsia="Arial"/>
          <w:b w:val="0"/>
          <w:i w:val="0"/>
          <w:color w:val="141414"/>
          <w:sz w:val="21"/>
        </w:rPr>
        <w:t>Sampling is purposive, not random. Eleven creators were selected to span the regressive ↔ progressive spectrum so that both ends of the masculinity discourse are observable in the data. The sample is therefore high-signal at both poles and is not a population estimate of "Kenyan men" or "Nigerian men". Corpus-level shares (the 43% / 35% / 31% headline numbers) describe what is in the sample; per-creator and per-archetype figures (Sections 2, 12, 13) are the primary unit of analysis.</w:t>
      </w:r>
    </w:p>
    <w:p>
      <w:pPr>
        <w:spacing w:after="80" w:before="0"/>
      </w:pPr>
      <w:r>
        <w:rPr>
          <w:rFonts w:ascii="Arial" w:hAnsi="Arial" w:cs="Arial" w:eastAsia="Arial"/>
          <w:b w:val="0"/>
          <w:i w:val="0"/>
          <w:color w:val="141414"/>
          <w:sz w:val="21"/>
        </w:rPr>
        <w:t>Three audiences are absent or partial. Ebuka Obi-Uchendu, Philip Karanja, and Wizarab have zero audience comments in the current sample (the scraped threads did not surface engaged audience text within the chosen window). Per-creator audience tables omit them; their content-side coding is included. Reading audience patterns at the country level should account for this.</w:t>
      </w:r>
    </w:p>
    <w:p>
      <w:pPr>
        <w:spacing w:after="80" w:before="0"/>
      </w:pPr>
      <w:r>
        <w:rPr>
          <w:rFonts w:ascii="Arial" w:hAnsi="Arial" w:cs="Arial" w:eastAsia="Arial"/>
          <w:b w:val="0"/>
          <w:i w:val="0"/>
          <w:color w:val="141414"/>
          <w:sz w:val="21"/>
        </w:rPr>
        <w:t>Language, sarcasm, and code-switching. Sarcasm, slang, and code-switching across English, Sheng, Swahili, and Pidgin carry a higher false-classification risk and are flagged with confidence = low (Section 24).</w:t>
      </w:r>
    </w:p>
    <w:p>
      <w:pPr>
        <w:spacing w:after="80" w:before="0"/>
      </w:pPr>
      <w:r>
        <w:rPr>
          <w:rFonts w:ascii="Arial" w:hAnsi="Arial" w:cs="Arial" w:eastAsia="Arial"/>
          <w:b w:val="0"/>
          <w:i w:val="0"/>
          <w:color w:val="141414"/>
          <w:sz w:val="21"/>
        </w:rPr>
        <w:t>Single-coder limitation. The LLM is the final coder. A human-coded recheck on a random sample is recommended for publication-grade reliability estimates; that work is scheduled in the focused pass.</w:t>
      </w:r>
    </w:p>
    <w:p>
      <w:pPr>
        <w:keepNext/>
        <w:spacing w:before="200" w:after="80"/>
      </w:pPr>
      <w:r>
        <w:rPr>
          <w:rFonts w:ascii="Arial" w:hAnsi="Arial" w:cs="Arial" w:eastAsia="Arial"/>
          <w:b/>
          <w:i w:val="0"/>
          <w:color w:val="1F2A44"/>
          <w:sz w:val="22"/>
        </w:rPr>
        <w:t>26.  Representative quotes</w:t>
      </w:r>
    </w:p>
    <w:p>
      <w:pPr>
        <w:spacing w:after="80" w:before="0"/>
      </w:pPr>
      <w:r>
        <w:rPr>
          <w:rFonts w:ascii="Arial" w:hAnsi="Arial" w:cs="Arial" w:eastAsia="Arial"/>
          <w:b w:val="0"/>
          <w:i/>
          <w:color w:val="141414"/>
          <w:sz w:val="20"/>
        </w:rPr>
        <w:t>Content side — Kenya</w:t>
      </w:r>
    </w:p>
    <w:tbl>
      <w:tblPr>
        <w:tblW w:type="auto" w:w="0"/>
        <w:tblLayout w:type="fixed"/>
        <w:tblLook w:firstColumn="1" w:firstRow="1" w:lastColumn="0" w:lastRow="0" w:noHBand="0" w:noVBand="1" w:val="04A0"/>
      </w:tblPr>
      <w:tblGrid>
        <w:gridCol w:w="3400"/>
        <w:gridCol w:w="3400"/>
        <w:gridCol w:w="3400"/>
      </w:tblGrid>
      <w:tr>
        <w:tc>
          <w:tcPr>
            <w:tcW w:type="dxa" w:w="2381"/>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Orientation · Frame</w:t>
            </w:r>
          </w:p>
        </w:tc>
        <w:tc>
          <w:tcPr>
            <w:tcW w:type="dxa" w:w="1984"/>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Creator</w:t>
            </w:r>
          </w:p>
        </w:tc>
        <w:tc>
          <w:tcPr>
            <w:tcW w:type="dxa" w:w="4819"/>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Quote</w:t>
            </w:r>
          </w:p>
        </w:tc>
      </w:tr>
      <w:tr>
        <w:tc>
          <w:tcPr>
            <w:tcW w:type="dxa" w:w="2381"/>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Regressive · social accountability</w:t>
            </w:r>
          </w:p>
        </w:tc>
        <w:tc>
          <w:tcPr>
            <w:tcW w:type="dxa" w:w="198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Eric Amunga (Amerix)</w:t>
            </w:r>
          </w:p>
        </w:tc>
        <w:tc>
          <w:tcPr>
            <w:tcW w:type="dxa" w:w="4819"/>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"This woman had been assaulted by her husband after an evening quarrel because of food."</w:t>
            </w:r>
          </w:p>
        </w:tc>
      </w:tr>
      <w:tr>
        <w:tc>
          <w:tcPr>
            <w:tcW w:type="dxa" w:w="2381"/>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Regressive · female blame</w:t>
            </w:r>
          </w:p>
        </w:tc>
        <w:tc>
          <w:tcPr>
            <w:tcW w:type="dxa" w:w="1984"/>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Eric Amunga (Amerix)</w:t>
            </w:r>
          </w:p>
        </w:tc>
        <w:tc>
          <w:tcPr>
            <w:tcW w:type="dxa" w:w="4819"/>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"Women are performers, and you, the man, are the audience."</w:t>
            </w:r>
          </w:p>
        </w:tc>
      </w:tr>
      <w:tr>
        <w:tc>
          <w:tcPr>
            <w:tcW w:type="dxa" w:w="2381"/>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Progressive · trauma healing</w:t>
            </w:r>
          </w:p>
        </w:tc>
        <w:tc>
          <w:tcPr>
            <w:tcW w:type="dxa" w:w="198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Onyango Otieno (Rixpoet)</w:t>
            </w:r>
          </w:p>
        </w:tc>
        <w:tc>
          <w:tcPr>
            <w:tcW w:type="dxa" w:w="4819"/>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"the world out there people are struggling the same way we are struggling."</w:t>
            </w:r>
          </w:p>
        </w:tc>
      </w:tr>
      <w:tr>
        <w:tc>
          <w:tcPr>
            <w:tcW w:type="dxa" w:w="2381"/>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Progressive · male victimhood</w:t>
            </w:r>
          </w:p>
        </w:tc>
        <w:tc>
          <w:tcPr>
            <w:tcW w:type="dxa" w:w="1984"/>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Onyango Otieno (Rixpoet)</w:t>
            </w:r>
          </w:p>
        </w:tc>
        <w:tc>
          <w:tcPr>
            <w:tcW w:type="dxa" w:w="4819"/>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"these are symptoms of trauma that you are exhibiting in your behavior"</w:t>
            </w:r>
          </w:p>
        </w:tc>
      </w:tr>
      <w:tr>
        <w:tc>
          <w:tcPr>
            <w:tcW w:type="dxa" w:w="2381"/>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Regressive · self-improvement</w:t>
            </w:r>
          </w:p>
        </w:tc>
        <w:tc>
          <w:tcPr>
            <w:tcW w:type="dxa" w:w="198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Eddy Kimani</w:t>
            </w:r>
          </w:p>
        </w:tc>
        <w:tc>
          <w:tcPr>
            <w:tcW w:type="dxa" w:w="4819"/>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"Because I'm the man. That was my thinking at the time."</w:t>
            </w:r>
          </w:p>
        </w:tc>
      </w:tr>
      <w:tr>
        <w:tc>
          <w:tcPr>
            <w:tcW w:type="dxa" w:w="2381"/>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Regressive · male victimhood</w:t>
            </w:r>
          </w:p>
        </w:tc>
        <w:tc>
          <w:tcPr>
            <w:tcW w:type="dxa" w:w="1984"/>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Andrew Kibe</w:t>
            </w:r>
          </w:p>
        </w:tc>
        <w:tc>
          <w:tcPr>
            <w:tcW w:type="dxa" w:w="4819"/>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"your biggest bully was your mother."</w:t>
            </w:r>
          </w:p>
        </w:tc>
      </w:tr>
    </w:tbl>
    <w:p>
      <w:pPr>
        <w:spacing w:after="40"/>
      </w:pPr>
    </w:p>
    <w:p>
      <w:pPr>
        <w:spacing w:after="80" w:before="0"/>
      </w:pPr>
      <w:r>
        <w:rPr>
          <w:rFonts w:ascii="Arial" w:hAnsi="Arial" w:cs="Arial" w:eastAsia="Arial"/>
          <w:b w:val="0"/>
          <w:i/>
          <w:color w:val="141414"/>
          <w:sz w:val="20"/>
        </w:rPr>
        <w:t>Content side — Nigeria</w:t>
      </w:r>
    </w:p>
    <w:tbl>
      <w:tblPr>
        <w:tblW w:type="auto" w:w="0"/>
        <w:tblLayout w:type="fixed"/>
        <w:tblLook w:firstColumn="1" w:firstRow="1" w:lastColumn="0" w:lastRow="0" w:noHBand="0" w:noVBand="1" w:val="04A0"/>
      </w:tblPr>
      <w:tblGrid>
        <w:gridCol w:w="3400"/>
        <w:gridCol w:w="3400"/>
        <w:gridCol w:w="3400"/>
      </w:tblGrid>
      <w:tr>
        <w:tc>
          <w:tcPr>
            <w:tcW w:type="dxa" w:w="2381"/>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Orientation · Frame</w:t>
            </w:r>
          </w:p>
        </w:tc>
        <w:tc>
          <w:tcPr>
            <w:tcW w:type="dxa" w:w="1984"/>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Creator</w:t>
            </w:r>
          </w:p>
        </w:tc>
        <w:tc>
          <w:tcPr>
            <w:tcW w:type="dxa" w:w="4819"/>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Quote</w:t>
            </w:r>
          </w:p>
        </w:tc>
      </w:tr>
      <w:tr>
        <w:tc>
          <w:tcPr>
            <w:tcW w:type="dxa" w:w="2381"/>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Regressive · trauma healing</w:t>
            </w:r>
          </w:p>
        </w:tc>
        <w:tc>
          <w:tcPr>
            <w:tcW w:type="dxa" w:w="198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Banky Wellington</w:t>
            </w:r>
          </w:p>
        </w:tc>
        <w:tc>
          <w:tcPr>
            <w:tcW w:type="dxa" w:w="4819"/>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"I would never allow a woman to put me in that position again."</w:t>
            </w:r>
          </w:p>
        </w:tc>
      </w:tr>
      <w:tr>
        <w:tc>
          <w:tcPr>
            <w:tcW w:type="dxa" w:w="2381"/>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Progressive · fatherhood responsibility</w:t>
            </w:r>
          </w:p>
        </w:tc>
        <w:tc>
          <w:tcPr>
            <w:tcW w:type="dxa" w:w="1984"/>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Banky Wellington</w:t>
            </w:r>
          </w:p>
        </w:tc>
        <w:tc>
          <w:tcPr>
            <w:tcW w:type="dxa" w:w="4819"/>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"fathers are supposed to give love and discipline, right?"</w:t>
            </w:r>
          </w:p>
        </w:tc>
      </w:tr>
      <w:tr>
        <w:tc>
          <w:tcPr>
            <w:tcW w:type="dxa" w:w="2381"/>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Mixed · mixed / unclear</w:t>
            </w:r>
          </w:p>
        </w:tc>
        <w:tc>
          <w:tcPr>
            <w:tcW w:type="dxa" w:w="198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Ebuka Obi-Uchendu</w:t>
            </w:r>
          </w:p>
        </w:tc>
        <w:tc>
          <w:tcPr>
            <w:tcW w:type="dxa" w:w="4819"/>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"the general perception, and I use general very strongly, is that Nigerian men are not that way."</w:t>
            </w:r>
          </w:p>
        </w:tc>
      </w:tr>
      <w:tr>
        <w:tc>
          <w:tcPr>
            <w:tcW w:type="dxa" w:w="2381"/>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Progressive · traditional gender order</w:t>
            </w:r>
          </w:p>
        </w:tc>
        <w:tc>
          <w:tcPr>
            <w:tcW w:type="dxa" w:w="1984"/>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Ebuka Obi-Uchendu</w:t>
            </w:r>
          </w:p>
        </w:tc>
        <w:tc>
          <w:tcPr>
            <w:tcW w:type="dxa" w:w="4819"/>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"45% of men today aged 18 to 26 report that they've never approached a woman in person for dating."</w:t>
            </w:r>
          </w:p>
        </w:tc>
      </w:tr>
      <w:tr>
        <w:tc>
          <w:tcPr>
            <w:tcW w:type="dxa" w:w="2381"/>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Regressive · female blame</w:t>
            </w:r>
          </w:p>
        </w:tc>
        <w:tc>
          <w:tcPr>
            <w:tcW w:type="dxa" w:w="198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Wizarab</w:t>
            </w:r>
          </w:p>
        </w:tc>
        <w:tc>
          <w:tcPr>
            <w:tcW w:type="dxa" w:w="4819"/>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"You are hoping he leaves his girlfriend for you one day. Keep dreaming"</w:t>
            </w:r>
          </w:p>
        </w:tc>
      </w:tr>
      <w:tr>
        <w:tc>
          <w:tcPr>
            <w:tcW w:type="dxa" w:w="2381"/>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Progressive · equality / partnership</w:t>
            </w:r>
          </w:p>
        </w:tc>
        <w:tc>
          <w:tcPr>
            <w:tcW w:type="dxa" w:w="1984"/>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Wizarab</w:t>
            </w:r>
          </w:p>
        </w:tc>
        <w:tc>
          <w:tcPr>
            <w:tcW w:type="dxa" w:w="4819"/>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"Tell her you're shy and smile."</w:t>
            </w:r>
          </w:p>
        </w:tc>
      </w:tr>
    </w:tbl>
    <w:p>
      <w:pPr>
        <w:spacing w:after="40"/>
      </w:pPr>
    </w:p>
    <w:p>
      <w:pPr>
        <w:spacing w:after="80" w:before="0"/>
      </w:pPr>
      <w:r>
        <w:rPr>
          <w:rFonts w:ascii="Arial" w:hAnsi="Arial" w:cs="Arial" w:eastAsia="Arial"/>
          <w:b w:val="0"/>
          <w:i/>
          <w:color w:val="141414"/>
          <w:sz w:val="20"/>
        </w:rPr>
        <w:t>Audience side — Kenya</w:t>
      </w:r>
    </w:p>
    <w:tbl>
      <w:tblPr>
        <w:tblW w:type="auto" w:w="0"/>
        <w:tblLayout w:type="fixed"/>
        <w:tblLook w:firstColumn="1" w:firstRow="1" w:lastColumn="0" w:lastRow="0" w:noHBand="0" w:noVBand="1" w:val="04A0"/>
      </w:tblPr>
      <w:tblGrid>
        <w:gridCol w:w="3400"/>
        <w:gridCol w:w="3400"/>
        <w:gridCol w:w="3400"/>
      </w:tblGrid>
      <w:tr>
        <w:tc>
          <w:tcPr>
            <w:tcW w:type="dxa" w:w="2381"/>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Stance · Frame</w:t>
            </w:r>
          </w:p>
        </w:tc>
        <w:tc>
          <w:tcPr>
            <w:tcW w:type="dxa" w:w="1984"/>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Creator</w:t>
            </w:r>
          </w:p>
        </w:tc>
        <w:tc>
          <w:tcPr>
            <w:tcW w:type="dxa" w:w="4819"/>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Quote</w:t>
            </w:r>
          </w:p>
        </w:tc>
      </w:tr>
      <w:tr>
        <w:tc>
          <w:tcPr>
            <w:tcW w:type="dxa" w:w="2381"/>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Opposes · female blame</w:t>
            </w:r>
          </w:p>
        </w:tc>
        <w:tc>
          <w:tcPr>
            <w:tcW w:type="dxa" w:w="198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Eddy Kimani</w:t>
            </w:r>
          </w:p>
        </w:tc>
        <w:tc>
          <w:tcPr>
            <w:tcW w:type="dxa" w:w="4819"/>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"this empowerment of women has challenged the men, and men have nothing left to challenge women with"</w:t>
            </w:r>
          </w:p>
        </w:tc>
      </w:tr>
      <w:tr>
        <w:tc>
          <w:tcPr>
            <w:tcW w:type="dxa" w:w="2381"/>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Supports · trauma healing</w:t>
            </w:r>
          </w:p>
        </w:tc>
        <w:tc>
          <w:tcPr>
            <w:tcW w:type="dxa" w:w="1984"/>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Onyango Otieno (Rixpoet)</w:t>
            </w:r>
          </w:p>
        </w:tc>
        <w:tc>
          <w:tcPr>
            <w:tcW w:type="dxa" w:w="4819"/>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"I try everyday to think positive about myself and after I get some money am planning to at least try counseling."</w:t>
            </w:r>
          </w:p>
        </w:tc>
      </w:tr>
      <w:tr>
        <w:tc>
          <w:tcPr>
            <w:tcW w:type="dxa" w:w="2381"/>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Supports · trauma healing</w:t>
            </w:r>
          </w:p>
        </w:tc>
        <w:tc>
          <w:tcPr>
            <w:tcW w:type="dxa" w:w="198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Onyango Otieno (Rixpoet)</w:t>
            </w:r>
          </w:p>
        </w:tc>
        <w:tc>
          <w:tcPr>
            <w:tcW w:type="dxa" w:w="4819"/>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"I have been on the healing path for 15 years now and am glad am free!!"</w:t>
            </w:r>
          </w:p>
        </w:tc>
      </w:tr>
      <w:tr>
        <w:tc>
          <w:tcPr>
            <w:tcW w:type="dxa" w:w="2381"/>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Supports · self-improvement</w:t>
            </w:r>
          </w:p>
        </w:tc>
        <w:tc>
          <w:tcPr>
            <w:tcW w:type="dxa" w:w="1984"/>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Eddy Kimani</w:t>
            </w:r>
          </w:p>
        </w:tc>
        <w:tc>
          <w:tcPr>
            <w:tcW w:type="dxa" w:w="4819"/>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"peace is priceless to me now."</w:t>
            </w:r>
          </w:p>
        </w:tc>
      </w:tr>
      <w:tr>
        <w:tc>
          <w:tcPr>
            <w:tcW w:type="dxa" w:w="2381"/>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Supports · self-improvement</w:t>
            </w:r>
          </w:p>
        </w:tc>
        <w:tc>
          <w:tcPr>
            <w:tcW w:type="dxa" w:w="198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Eric Amunga (Amerix)</w:t>
            </w:r>
          </w:p>
        </w:tc>
        <w:tc>
          <w:tcPr>
            <w:tcW w:type="dxa" w:w="4819"/>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"A man's desire for greatness is so strong that he will attempt to experience it through someone else."</w:t>
            </w:r>
          </w:p>
        </w:tc>
      </w:tr>
      <w:tr>
        <w:tc>
          <w:tcPr>
            <w:tcW w:type="dxa" w:w="2381"/>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Supports · provider pressure</w:t>
            </w:r>
          </w:p>
        </w:tc>
        <w:tc>
          <w:tcPr>
            <w:tcW w:type="dxa" w:w="1984"/>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Andrew Kibe</w:t>
            </w:r>
          </w:p>
        </w:tc>
        <w:tc>
          <w:tcPr>
            <w:tcW w:type="dxa" w:w="4819"/>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"If you love cars, you don't park one in the garage for life and act like the showroom doesn't exist."</w:t>
            </w:r>
          </w:p>
        </w:tc>
      </w:tr>
    </w:tbl>
    <w:p>
      <w:pPr>
        <w:spacing w:after="40"/>
      </w:pPr>
    </w:p>
    <w:p>
      <w:pPr>
        <w:spacing w:after="80" w:before="0"/>
      </w:pPr>
      <w:r>
        <w:rPr>
          <w:rFonts w:ascii="Arial" w:hAnsi="Arial" w:cs="Arial" w:eastAsia="Arial"/>
          <w:b w:val="0"/>
          <w:i/>
          <w:color w:val="141414"/>
          <w:sz w:val="20"/>
        </w:rPr>
        <w:t>Audience side — Nigeria</w:t>
      </w:r>
    </w:p>
    <w:tbl>
      <w:tblPr>
        <w:tblW w:type="auto" w:w="0"/>
        <w:tblLayout w:type="fixed"/>
        <w:tblLook w:firstColumn="1" w:firstRow="1" w:lastColumn="0" w:lastRow="0" w:noHBand="0" w:noVBand="1" w:val="04A0"/>
      </w:tblPr>
      <w:tblGrid>
        <w:gridCol w:w="3400"/>
        <w:gridCol w:w="3400"/>
        <w:gridCol w:w="3400"/>
      </w:tblGrid>
      <w:tr>
        <w:tc>
          <w:tcPr>
            <w:tcW w:type="dxa" w:w="2381"/>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Stance · Frame</w:t>
            </w:r>
          </w:p>
        </w:tc>
        <w:tc>
          <w:tcPr>
            <w:tcW w:type="dxa" w:w="1984"/>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Creator</w:t>
            </w:r>
          </w:p>
        </w:tc>
        <w:tc>
          <w:tcPr>
            <w:tcW w:type="dxa" w:w="4819"/>
            <w:vAlign w:val="center"/>
            <w:shd w:val="clear" w:color="auto" w:fill="1F2A44"/>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FFFFFF"/>
                <w:sz w:val="19"/>
              </w:rPr>
              <w:t>Quote</w:t>
            </w:r>
          </w:p>
        </w:tc>
      </w:tr>
      <w:tr>
        <w:tc>
          <w:tcPr>
            <w:tcW w:type="dxa" w:w="2381"/>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Supports · self-improvement</w:t>
            </w:r>
          </w:p>
        </w:tc>
        <w:tc>
          <w:tcPr>
            <w:tcW w:type="dxa" w:w="198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Banky Wellington</w:t>
            </w:r>
          </w:p>
        </w:tc>
        <w:tc>
          <w:tcPr>
            <w:tcW w:type="dxa" w:w="4819"/>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"the shame didn't just come from outside. They were already ashamed inside."</w:t>
            </w:r>
          </w:p>
        </w:tc>
      </w:tr>
      <w:tr>
        <w:tc>
          <w:tcPr>
            <w:tcW w:type="dxa" w:w="2381"/>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Supports · traditional gender order</w:t>
            </w:r>
          </w:p>
        </w:tc>
        <w:tc>
          <w:tcPr>
            <w:tcW w:type="dxa" w:w="1984"/>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Banky Wellington</w:t>
            </w:r>
          </w:p>
        </w:tc>
        <w:tc>
          <w:tcPr>
            <w:tcW w:type="dxa" w:w="4819"/>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"Loving Banky's push back on many aspects of this conversation that was sliding into lazy generalising mindsets."</w:t>
            </w:r>
          </w:p>
        </w:tc>
      </w:tr>
      <w:tr>
        <w:tc>
          <w:tcPr>
            <w:tcW w:type="dxa" w:w="2381"/>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Opposes · violence / safety</w:t>
            </w:r>
          </w:p>
        </w:tc>
        <w:tc>
          <w:tcPr>
            <w:tcW w:type="dxa" w:w="198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Deyemi Okanlawon</w:t>
            </w:r>
          </w:p>
        </w:tc>
        <w:tc>
          <w:tcPr>
            <w:tcW w:type="dxa" w:w="4819"/>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"You can't talk about rapists without talking about the accusers."</w:t>
            </w:r>
          </w:p>
        </w:tc>
      </w:tr>
      <w:tr>
        <w:tc>
          <w:tcPr>
            <w:tcW w:type="dxa" w:w="2381"/>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Opposes · male victimhood</w:t>
            </w:r>
          </w:p>
        </w:tc>
        <w:tc>
          <w:tcPr>
            <w:tcW w:type="dxa" w:w="1984"/>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Deyemi Okanlawon</w:t>
            </w:r>
          </w:p>
        </w:tc>
        <w:tc>
          <w:tcPr>
            <w:tcW w:type="dxa" w:w="4819"/>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"you hopeless, horny degenerates calling yourselves men are the reason innocent boys have no say"</w:t>
            </w:r>
          </w:p>
        </w:tc>
      </w:tr>
      <w:tr>
        <w:tc>
          <w:tcPr>
            <w:tcW w:type="dxa" w:w="2381"/>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Opposes · female blame</w:t>
            </w:r>
          </w:p>
        </w:tc>
        <w:tc>
          <w:tcPr>
            <w:tcW w:type="dxa" w:w="1984"/>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Shola</w:t>
            </w:r>
          </w:p>
        </w:tc>
        <w:tc>
          <w:tcPr>
            <w:tcW w:type="dxa" w:w="4819"/>
            <w:vAlign w:val="center"/>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"They are never, ever satisfied even when given everything"</w:t>
            </w:r>
          </w:p>
        </w:tc>
      </w:tr>
      <w:tr>
        <w:tc>
          <w:tcPr>
            <w:tcW w:type="dxa" w:w="2381"/>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i w:val="0"/>
                <w:color w:val="141414"/>
                <w:sz w:val="20"/>
              </w:rPr>
              <w:t>Opposes · female blame</w:t>
            </w:r>
          </w:p>
        </w:tc>
        <w:tc>
          <w:tcPr>
            <w:tcW w:type="dxa" w:w="1984"/>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Shola</w:t>
            </w:r>
          </w:p>
        </w:tc>
        <w:tc>
          <w:tcPr>
            <w:tcW w:type="dxa" w:w="4819"/>
            <w:vAlign w:val="center"/>
            <w:shd w:val="clear" w:color="auto" w:fill="FAFAFA"/>
            <w:tcBorders>
              <w:top w:val="single" w:sz="4" w:color="BFBFBF"/>
              <w:left w:val="single" w:sz="4" w:color="BFBFBF"/>
              <w:bottom w:val="single" w:sz="4" w:color="BFBFBF"/>
              <w:right w:val="single" w:sz="4" w:color="BFBFBF"/>
            </w:tcBorders>
          </w:tcPr>
          <w:p>
            <w:pPr>
              <w:spacing w:before="0" w:after="0"/>
              <w:jc w:val="left"/>
            </w:pPr>
            <w:r/>
            <w:r>
              <w:rPr>
                <w:rFonts w:ascii="Arial" w:hAnsi="Arial" w:cs="Arial" w:eastAsia="Arial"/>
                <w:b w:val="0"/>
                <w:i w:val="0"/>
                <w:color w:val="141414"/>
                <w:sz w:val="20"/>
              </w:rPr>
              <w:t>"women are then perceived to age faster, they often become desperate for marriage"</w:t>
            </w:r>
          </w:p>
        </w:tc>
      </w:tr>
    </w:tbl>
    <w:p>
      <w:pPr>
        <w:spacing w:after="40"/>
      </w:pPr>
    </w:p>
    <w:p>
      <w:pPr>
        <w:spacing w:after="80" w:before="0"/>
      </w:pPr>
      <w:r>
        <w:rPr>
          <w:rFonts w:ascii="Arial" w:hAnsi="Arial" w:cs="Arial" w:eastAsia="Arial"/>
          <w:b w:val="0"/>
          <w:i/>
          <w:color w:val="555555"/>
          <w:sz w:val="19"/>
        </w:rPr>
        <w:t>Source: coded CSVs from the Phase 1 LLM coding pipeline (gpt-4o-mini, schema v2, sentiment four-valued, temperature 0, deterministic cache). Section numbers map to the Gates Masculinity Project Scope of Work, Components 2 and 3.</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