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6E1E" w14:textId="24ACF7BA" w:rsidR="00487DD0" w:rsidRDefault="00487DD0" w:rsidP="00487DD0">
      <w:pPr>
        <w:jc w:val="center"/>
      </w:pPr>
      <w:r>
        <w:t>DETAILED REASEARCH ON MANUFACTURING OPPORTUNITIES</w:t>
      </w:r>
    </w:p>
    <w:p w14:paraId="6D6EB582" w14:textId="21101856" w:rsidR="00487DD0" w:rsidRPr="00487DD0" w:rsidRDefault="00487DD0" w:rsidP="00487DD0">
      <w:r w:rsidRPr="00487DD0">
        <w:t>We identified global </w:t>
      </w:r>
      <w:r w:rsidRPr="00487DD0">
        <w:rPr>
          <w:b/>
          <w:bCs/>
        </w:rPr>
        <w:t>toy OEMs</w:t>
      </w:r>
      <w:r w:rsidRPr="00487DD0">
        <w:t> and </w:t>
      </w:r>
      <w:r w:rsidRPr="00487DD0">
        <w:rPr>
          <w:b/>
          <w:bCs/>
        </w:rPr>
        <w:t>consumer brands</w:t>
      </w:r>
      <w:r w:rsidRPr="00487DD0">
        <w:t> that actively seek contract manufacturing outside China. Major toy firms (e.g. </w:t>
      </w:r>
      <w:r w:rsidRPr="00487DD0">
        <w:rPr>
          <w:b/>
          <w:bCs/>
        </w:rPr>
        <w:t>Hasbro, Mattel, LEGO, Spin Master, Bandai, MGA Entertainment</w:t>
      </w:r>
      <w:r w:rsidRPr="00487DD0">
        <w:t>) have publicly announced strategies to diversify their production (e.g. Hasbro’s investments in India, LEGO’s $1B Vietnam factory, Bandai’s exploration of India/Vietnam). Similarly, appliance and electronics leaders (e.g. </w:t>
      </w:r>
      <w:r w:rsidRPr="00487DD0">
        <w:rPr>
          <w:b/>
          <w:bCs/>
        </w:rPr>
        <w:t>Dyson, Whirlpool, Samsung, LG, Panasonic, Philips, Siemens, ABB, Schneider</w:t>
      </w:r>
      <w:r w:rsidRPr="00487DD0">
        <w:t>) rely on global supply chains and outsource significant plastic parts. We used trade press (Reuters, AP, industry reports) and company sources (CSR factory lists, websites) to find evidence of outsourcing, production volume signals, and likely procurement contacts. Companies were scored (1–10) on </w:t>
      </w:r>
      <w:r w:rsidRPr="00487DD0">
        <w:rPr>
          <w:i/>
          <w:iCs/>
        </w:rPr>
        <w:t>fit</w:t>
      </w:r>
      <w:r w:rsidRPr="00487DD0">
        <w:t> (how well they match FFT’s mid-sized plastic-</w:t>
      </w:r>
      <w:proofErr w:type="spellStart"/>
      <w:r w:rsidRPr="00487DD0">
        <w:t>molding</w:t>
      </w:r>
      <w:proofErr w:type="spellEnd"/>
      <w:r w:rsidRPr="00487DD0">
        <w:t xml:space="preserve"> profile) and </w:t>
      </w:r>
      <w:r w:rsidRPr="00487DD0">
        <w:rPr>
          <w:i/>
          <w:iCs/>
        </w:rPr>
        <w:t>priority</w:t>
      </w:r>
      <w:r w:rsidRPr="00487DD0">
        <w:t> (market size and immediacy).</w:t>
      </w:r>
    </w:p>
    <w:p w14:paraId="4B36231A" w14:textId="77777777" w:rsidR="00487DD0" w:rsidRPr="00487DD0" w:rsidRDefault="00487DD0" w:rsidP="00487DD0">
      <w:r w:rsidRPr="00487DD0">
        <w:t>Our criteria prioritized firms with large-scale plastic part needs and signals of supply-chain expansion to India or Southeast Asia. We documented required certifications by sector (e.g. </w:t>
      </w:r>
      <w:r w:rsidRPr="00487DD0">
        <w:rPr>
          <w:b/>
          <w:bCs/>
        </w:rPr>
        <w:t>Toys:</w:t>
      </w:r>
      <w:r w:rsidRPr="00487DD0">
        <w:t> EN71, ASTM F963, CPSIA; </w:t>
      </w:r>
      <w:r w:rsidRPr="00487DD0">
        <w:rPr>
          <w:b/>
          <w:bCs/>
        </w:rPr>
        <w:t>Electronics:</w:t>
      </w:r>
      <w:r w:rsidRPr="00487DD0">
        <w:t> UL/FCC, CE, RoHS; </w:t>
      </w:r>
      <w:r w:rsidRPr="00487DD0">
        <w:rPr>
          <w:b/>
          <w:bCs/>
        </w:rPr>
        <w:t>Appliances/Switchgear:</w:t>
      </w:r>
      <w:r w:rsidRPr="00487DD0">
        <w:t> UL/IEC, CE, BIS), summarized below. We also compiled tailored outreach messages and meeting asks. The final deliverables include two Excel prospect lists (Toy OEMs vs. Mixed industries), an outreach playbook with email/LinkedIn templates, and a research timeline and outreach flowchart.</w:t>
      </w:r>
    </w:p>
    <w:p w14:paraId="76ED856B" w14:textId="77777777" w:rsidR="00487DD0" w:rsidRPr="00487DD0" w:rsidRDefault="00487DD0" w:rsidP="00487DD0">
      <w:r w:rsidRPr="00487DD0">
        <w:rPr>
          <w:b/>
          <w:bCs/>
        </w:rPr>
        <w:t>Key findings:</w:t>
      </w:r>
      <w:r w:rsidRPr="00487DD0">
        <w:t> The toy companies </w:t>
      </w:r>
      <w:r w:rsidRPr="00487DD0">
        <w:rPr>
          <w:b/>
          <w:bCs/>
        </w:rPr>
        <w:t>Hasbro, Mattel, LEGO, Spin Master, Bandai</w:t>
      </w:r>
      <w:r w:rsidRPr="00487DD0">
        <w:t> and </w:t>
      </w:r>
      <w:r w:rsidRPr="00487DD0">
        <w:rPr>
          <w:b/>
          <w:bCs/>
        </w:rPr>
        <w:t>MGA</w:t>
      </w:r>
      <w:r w:rsidRPr="00487DD0">
        <w:t> represent high-priority targets – all have publicly noted moves to new factories in Vietnam/India. For example, </w:t>
      </w:r>
      <w:r w:rsidRPr="00487DD0">
        <w:rPr>
          <w:i/>
          <w:iCs/>
        </w:rPr>
        <w:t>“Bandai still mostly manufactures in China… looking at India and Thailand as additional locations”</w:t>
      </w:r>
      <w:r w:rsidRPr="00487DD0">
        <w:t>. On the appliances/electronics side, giants like </w:t>
      </w:r>
      <w:r w:rsidRPr="00487DD0">
        <w:rPr>
          <w:b/>
          <w:bCs/>
        </w:rPr>
        <w:t>Samsung, LG, Whirlpool, Dyson, Panasonic, GE Appliances</w:t>
      </w:r>
      <w:r w:rsidRPr="00487DD0">
        <w:t> each have sizable plastic component needs (e.g. vacuum cleaners, appliances, gadgets) and existing global manufacturing footprints. These firms often post procurement jobs and maintain supplier lists; FFT’s India plant with EN71/ISO9001 and IECEE compliance is a strong fit.</w:t>
      </w:r>
    </w:p>
    <w:p w14:paraId="11244612" w14:textId="77777777" w:rsidR="00487DD0" w:rsidRPr="00487DD0" w:rsidRDefault="00487DD0" w:rsidP="00487DD0">
      <w:r w:rsidRPr="00487DD0">
        <w:rPr>
          <w:i/>
          <w:iCs/>
        </w:rPr>
        <w:t>LEGO’s new Vietnam factory (April 2025) illustrates toy brands shifting production away from China.</w:t>
      </w:r>
    </w:p>
    <w:p w14:paraId="37A0DF1B" w14:textId="77777777" w:rsidR="00487DD0" w:rsidRPr="00487DD0" w:rsidRDefault="00487DD0" w:rsidP="00487DD0">
      <w:r w:rsidRPr="00487DD0">
        <w:rPr>
          <w:i/>
          <w:iCs/>
        </w:rPr>
        <w:t xml:space="preserve">Contract manufacturer </w:t>
      </w:r>
      <w:proofErr w:type="spellStart"/>
      <w:r w:rsidRPr="00487DD0">
        <w:rPr>
          <w:i/>
          <w:iCs/>
        </w:rPr>
        <w:t>Aequs</w:t>
      </w:r>
      <w:proofErr w:type="spellEnd"/>
      <w:r w:rsidRPr="00487DD0">
        <w:rPr>
          <w:i/>
          <w:iCs/>
        </w:rPr>
        <w:t xml:space="preserve"> (India) advertises producing “toy vehicles, figures, dolls” and consumer electronics. FFT offers similar plastic-</w:t>
      </w:r>
      <w:proofErr w:type="spellStart"/>
      <w:r w:rsidRPr="00487DD0">
        <w:rPr>
          <w:i/>
          <w:iCs/>
        </w:rPr>
        <w:t>molding</w:t>
      </w:r>
      <w:proofErr w:type="spellEnd"/>
      <w:r w:rsidRPr="00487DD0">
        <w:rPr>
          <w:i/>
          <w:iCs/>
        </w:rPr>
        <w:t xml:space="preserve"> capabilities.</w:t>
      </w:r>
    </w:p>
    <w:p w14:paraId="319BDBFC" w14:textId="77777777" w:rsidR="00487DD0" w:rsidRPr="00487DD0" w:rsidRDefault="00487DD0" w:rsidP="00487DD0">
      <w:r w:rsidRPr="00487DD0">
        <w:t>A key research step was validating each prospect’s outsourcing. For instance, Hasbro’s public CSR Factory List names two Indian plastic plants (</w:t>
      </w:r>
      <w:proofErr w:type="spellStart"/>
      <w:r w:rsidRPr="00487DD0">
        <w:t>Aequs</w:t>
      </w:r>
      <w:proofErr w:type="spellEnd"/>
      <w:r w:rsidRPr="00487DD0">
        <w:t xml:space="preserve"> Belgaum and Jay Precision Maharashtra), confirming Hasbro’s use of Indian OEMs. Reuters notes </w:t>
      </w:r>
      <w:r w:rsidRPr="00487DD0">
        <w:rPr>
          <w:i/>
          <w:iCs/>
        </w:rPr>
        <w:t>“</w:t>
      </w:r>
      <w:proofErr w:type="spellStart"/>
      <w:r w:rsidRPr="00487DD0">
        <w:rPr>
          <w:i/>
          <w:iCs/>
        </w:rPr>
        <w:t>Aequs</w:t>
      </w:r>
      <w:proofErr w:type="spellEnd"/>
      <w:r w:rsidRPr="00487DD0">
        <w:rPr>
          <w:i/>
          <w:iCs/>
        </w:rPr>
        <w:t xml:space="preserve"> makes dozens of types of toys for Hasbro and … Spin Master”</w:t>
      </w:r>
      <w:r w:rsidRPr="00487DD0">
        <w:t>, reinforcing both companies as top prospects. We similarly found Mattel’s supply chain moving out of China and noted VTech’s expansion into Malaysia as a proxy for its global sourcing. Wherever possible, we captured estimates of volume (e.g. “High” sales implies large part count) and required certifications (from company reports and regulatory lists). The attached spreadsheets list 13 Toy OEMs and 21 mixed-industry companies, with our evidence quotes and customized outreach lines.</w:t>
      </w:r>
    </w:p>
    <w:p w14:paraId="43532FD5" w14:textId="77777777" w:rsidR="00487DD0" w:rsidRDefault="00487DD0" w:rsidP="00487DD0">
      <w:r w:rsidRPr="00487DD0">
        <w:rPr>
          <w:b/>
          <w:bCs/>
        </w:rPr>
        <w:t>Prioritization:</w:t>
      </w:r>
      <w:r w:rsidRPr="00487DD0">
        <w:t> Toy OEMs earning </w:t>
      </w:r>
      <w:r w:rsidRPr="00487DD0">
        <w:rPr>
          <w:i/>
          <w:iCs/>
        </w:rPr>
        <w:t>Priority=High</w:t>
      </w:r>
      <w:r w:rsidRPr="00487DD0">
        <w:t> </w:t>
      </w:r>
      <w:proofErr w:type="gramStart"/>
      <w:r w:rsidRPr="00487DD0">
        <w:t>include</w:t>
      </w:r>
      <w:proofErr w:type="gramEnd"/>
      <w:r w:rsidRPr="00487DD0">
        <w:t xml:space="preserve"> Hasbro, Mattel, LEGO, Spin Master, Bandai and MGA (big brands expanding supply chains), all scoring 8–10 on fit. Mixed prospects rated </w:t>
      </w:r>
      <w:r w:rsidRPr="00487DD0">
        <w:rPr>
          <w:i/>
          <w:iCs/>
        </w:rPr>
        <w:t>High</w:t>
      </w:r>
      <w:r w:rsidRPr="00487DD0">
        <w:t xml:space="preserve"> include Dyson, Whirlpool, Samsung, LG, Panasonic and GE Appliances (global leaders with massive part needs). Medium-fit targets (e.g. Bose, Funko, ABB, Eaton) may buy </w:t>
      </w:r>
      <w:r w:rsidRPr="00487DD0">
        <w:lastRenderedPageBreak/>
        <w:t>selected parts but with lower volume or slower approval. Low-fit companies (e.g. Ravensburger, Playmobil) have limited plastic content or vertical integration.</w:t>
      </w:r>
    </w:p>
    <w:p w14:paraId="46CF6822" w14:textId="77777777" w:rsidR="00487DD0" w:rsidRDefault="00487DD0" w:rsidP="00487DD0"/>
    <w:p w14:paraId="6BC0F47D" w14:textId="34BA7109" w:rsidR="00487DD0" w:rsidRDefault="00487DD0" w:rsidP="00487DD0">
      <w:pPr>
        <w:rPr>
          <w:b/>
          <w:bCs/>
        </w:rPr>
      </w:pPr>
      <w:proofErr w:type="gramStart"/>
      <w:r w:rsidRPr="00487DD0">
        <w:rPr>
          <w:b/>
          <w:bCs/>
        </w:rPr>
        <w:t>OUTREACH</w:t>
      </w:r>
      <w:r>
        <w:rPr>
          <w:b/>
          <w:bCs/>
        </w:rPr>
        <w:t>:-</w:t>
      </w:r>
      <w:proofErr w:type="gramEnd"/>
    </w:p>
    <w:p w14:paraId="63A9FA37" w14:textId="77777777" w:rsidR="00487DD0" w:rsidRDefault="00487DD0" w:rsidP="00487DD0">
      <w:pPr>
        <w:rPr>
          <w:b/>
          <w:bCs/>
        </w:rPr>
      </w:pPr>
    </w:p>
    <w:p w14:paraId="5A9408F0" w14:textId="01ED2A35" w:rsidR="00487DD0" w:rsidRPr="00487DD0" w:rsidRDefault="00487DD0" w:rsidP="00487DD0">
      <w:r w:rsidRPr="00487DD0">
        <w:drawing>
          <wp:inline distT="0" distB="0" distL="0" distR="0" wp14:anchorId="0278EED3" wp14:editId="1E282730">
            <wp:extent cx="5731510" cy="806450"/>
            <wp:effectExtent l="0" t="0" r="2540" b="0"/>
            <wp:docPr id="186737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79741" name=""/>
                    <pic:cNvPicPr/>
                  </pic:nvPicPr>
                  <pic:blipFill>
                    <a:blip r:embed="rId5"/>
                    <a:stretch>
                      <a:fillRect/>
                    </a:stretch>
                  </pic:blipFill>
                  <pic:spPr>
                    <a:xfrm>
                      <a:off x="0" y="0"/>
                      <a:ext cx="5731510" cy="806450"/>
                    </a:xfrm>
                    <a:prstGeom prst="rect">
                      <a:avLst/>
                    </a:prstGeom>
                  </pic:spPr>
                </pic:pic>
              </a:graphicData>
            </a:graphic>
          </wp:inline>
        </w:drawing>
      </w:r>
    </w:p>
    <w:p w14:paraId="39C8F3C3" w14:textId="77777777" w:rsidR="00487DD0" w:rsidRPr="00487DD0" w:rsidRDefault="00487DD0" w:rsidP="00487DD0">
      <w:pPr>
        <w:numPr>
          <w:ilvl w:val="0"/>
          <w:numId w:val="1"/>
        </w:numPr>
      </w:pPr>
      <w:r w:rsidRPr="00487DD0">
        <w:rPr>
          <w:b/>
          <w:bCs/>
        </w:rPr>
        <w:t>Initial Email (Day 0):</w:t>
      </w:r>
      <w:r w:rsidRPr="00487DD0">
        <w:t> 2-line personalized opener referencing company news and FFT’s value. </w:t>
      </w:r>
      <w:r w:rsidRPr="00487DD0">
        <w:rPr>
          <w:i/>
          <w:iCs/>
        </w:rPr>
        <w:t xml:space="preserve">E.g.: “We noticed Hasbro’s efforts to diversify beyond China. FFT’s Indian plant offers toy-grade precision </w:t>
      </w:r>
      <w:proofErr w:type="spellStart"/>
      <w:r w:rsidRPr="00487DD0">
        <w:rPr>
          <w:i/>
          <w:iCs/>
        </w:rPr>
        <w:t>molding</w:t>
      </w:r>
      <w:proofErr w:type="spellEnd"/>
      <w:r w:rsidRPr="00487DD0">
        <w:rPr>
          <w:i/>
          <w:iCs/>
        </w:rPr>
        <w:t xml:space="preserve"> and is EN71/CPSIA certified.”</w:t>
      </w:r>
      <w:r w:rsidRPr="00487DD0">
        <w:t> Keep it concise and request a brief meeting.</w:t>
      </w:r>
    </w:p>
    <w:p w14:paraId="6D3C6032" w14:textId="77777777" w:rsidR="00487DD0" w:rsidRPr="00487DD0" w:rsidRDefault="00487DD0" w:rsidP="00487DD0">
      <w:pPr>
        <w:numPr>
          <w:ilvl w:val="0"/>
          <w:numId w:val="1"/>
        </w:numPr>
      </w:pPr>
      <w:r w:rsidRPr="00487DD0">
        <w:rPr>
          <w:b/>
          <w:bCs/>
        </w:rPr>
        <w:t>LinkedIn Message (Day 1):</w:t>
      </w:r>
      <w:r w:rsidRPr="00487DD0">
        <w:t xml:space="preserve"> Friendlier tone, “We’re an Indian toy </w:t>
      </w:r>
      <w:proofErr w:type="spellStart"/>
      <w:r w:rsidRPr="00487DD0">
        <w:t>molder</w:t>
      </w:r>
      <w:proofErr w:type="spellEnd"/>
      <w:r w:rsidRPr="00487DD0">
        <w:t xml:space="preserve"> who helped major brands by shifting some production to India. I sent you an email with details – please let me know if you’d like to discuss.”</w:t>
      </w:r>
    </w:p>
    <w:p w14:paraId="40434EA2" w14:textId="77777777" w:rsidR="00487DD0" w:rsidRPr="00487DD0" w:rsidRDefault="00487DD0" w:rsidP="00487DD0">
      <w:pPr>
        <w:numPr>
          <w:ilvl w:val="0"/>
          <w:numId w:val="1"/>
        </w:numPr>
      </w:pPr>
      <w:r w:rsidRPr="00487DD0">
        <w:rPr>
          <w:b/>
          <w:bCs/>
        </w:rPr>
        <w:t>Follow-up Email (Day 4):</w:t>
      </w:r>
      <w:r w:rsidRPr="00487DD0">
        <w:t> Polite reminder (attach flyer or case study). </w:t>
      </w:r>
      <w:r w:rsidRPr="00487DD0">
        <w:rPr>
          <w:i/>
          <w:iCs/>
        </w:rPr>
        <w:t>“Just checking in on my previous email. Our factory recently fulfilled a trial order for [relevant product] and would welcome a chance to do the same for [Prospect].”</w:t>
      </w:r>
    </w:p>
    <w:p w14:paraId="712C690D" w14:textId="77777777" w:rsidR="00487DD0" w:rsidRDefault="00487DD0" w:rsidP="00487DD0">
      <w:pPr>
        <w:numPr>
          <w:ilvl w:val="0"/>
          <w:numId w:val="1"/>
        </w:numPr>
      </w:pPr>
      <w:r w:rsidRPr="00487DD0">
        <w:rPr>
          <w:b/>
          <w:bCs/>
        </w:rPr>
        <w:t>Final Reach-Out (Day 7+):</w:t>
      </w:r>
      <w:r w:rsidRPr="00487DD0">
        <w:t xml:space="preserve"> Last chance message (“we can revisit if your plans </w:t>
      </w:r>
      <w:proofErr w:type="gramStart"/>
      <w:r w:rsidRPr="00487DD0">
        <w:t>evolve, or</w:t>
      </w:r>
      <w:proofErr w:type="gramEnd"/>
      <w:r w:rsidRPr="00487DD0">
        <w:t xml:space="preserve"> connect us with your sourcing partner”). Afterwards, move to nurture.</w:t>
      </w:r>
    </w:p>
    <w:p w14:paraId="1676BB76" w14:textId="77777777" w:rsidR="00487DD0" w:rsidRPr="00487DD0" w:rsidRDefault="00487DD0" w:rsidP="00487DD0">
      <w:pPr>
        <w:numPr>
          <w:ilvl w:val="0"/>
          <w:numId w:val="1"/>
        </w:numPr>
      </w:pPr>
    </w:p>
    <w:p w14:paraId="04B262CC" w14:textId="5B236BFB" w:rsidR="005F0CBC" w:rsidRDefault="00487DD0">
      <w:pPr>
        <w:rPr>
          <w:b/>
          <w:bCs/>
        </w:rPr>
      </w:pPr>
      <w:r w:rsidRPr="00487DD0">
        <w:rPr>
          <w:b/>
          <w:bCs/>
        </w:rPr>
        <w:t xml:space="preserve">You can do this in your own style by building the relationship </w:t>
      </w:r>
      <w:r>
        <w:rPr>
          <w:b/>
          <w:bCs/>
        </w:rPr>
        <w:t>with</w:t>
      </w:r>
      <w:r w:rsidRPr="00487DD0">
        <w:rPr>
          <w:b/>
          <w:bCs/>
        </w:rPr>
        <w:t xml:space="preserve"> the </w:t>
      </w:r>
      <w:proofErr w:type="gramStart"/>
      <w:r w:rsidRPr="00487DD0">
        <w:rPr>
          <w:b/>
          <w:bCs/>
        </w:rPr>
        <w:t>company</w:t>
      </w:r>
      <w:proofErr w:type="gramEnd"/>
      <w:r w:rsidRPr="00487DD0">
        <w:rPr>
          <w:b/>
          <w:bCs/>
        </w:rPr>
        <w:t xml:space="preserve"> but this is a more formal approach</w:t>
      </w:r>
      <w:r>
        <w:rPr>
          <w:b/>
          <w:bCs/>
        </w:rPr>
        <w:t>. A</w:t>
      </w:r>
      <w:r w:rsidRPr="00487DD0">
        <w:rPr>
          <w:b/>
          <w:bCs/>
        </w:rPr>
        <w:t xml:space="preserve"> meeting is all you need then you be yourself.</w:t>
      </w:r>
    </w:p>
    <w:p w14:paraId="4A27F56C" w14:textId="77777777" w:rsidR="00487DD0" w:rsidRDefault="00487DD0">
      <w:pPr>
        <w:rPr>
          <w:b/>
          <w:bCs/>
        </w:rPr>
      </w:pP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41"/>
        <w:gridCol w:w="6619"/>
      </w:tblGrid>
      <w:tr w:rsidR="00487DD0" w:rsidRPr="00487DD0" w14:paraId="79775F1A"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5B084D1A" w14:textId="77777777" w:rsidR="00487DD0" w:rsidRPr="00487DD0" w:rsidRDefault="00487DD0" w:rsidP="00487DD0">
            <w:pPr>
              <w:rPr>
                <w:b/>
                <w:bCs/>
              </w:rPr>
            </w:pPr>
            <w:r w:rsidRPr="00487DD0">
              <w:rPr>
                <w:b/>
                <w:bCs/>
              </w:rPr>
              <w:t>Sector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882B56F" w14:textId="77777777" w:rsidR="00487DD0" w:rsidRPr="00487DD0" w:rsidRDefault="00487DD0" w:rsidP="00487DD0">
            <w:pPr>
              <w:rPr>
                <w:b/>
                <w:bCs/>
              </w:rPr>
            </w:pPr>
            <w:r w:rsidRPr="00487DD0">
              <w:rPr>
                <w:b/>
                <w:bCs/>
              </w:rPr>
              <w:t>Typical Certifications</w:t>
            </w:r>
          </w:p>
        </w:tc>
      </w:tr>
      <w:tr w:rsidR="00487DD0" w:rsidRPr="00487DD0" w14:paraId="14F50939" w14:textId="77777777">
        <w:tc>
          <w:tcPr>
            <w:tcW w:w="0" w:type="auto"/>
            <w:tcBorders>
              <w:top w:val="single" w:sz="2" w:space="0" w:color="auto"/>
              <w:left w:val="single" w:sz="2" w:space="0" w:color="auto"/>
              <w:bottom w:val="single" w:sz="2" w:space="0" w:color="auto"/>
              <w:right w:val="single" w:sz="2" w:space="0" w:color="auto"/>
            </w:tcBorders>
            <w:hideMark/>
          </w:tcPr>
          <w:p w14:paraId="73886B58" w14:textId="77777777" w:rsidR="00487DD0" w:rsidRPr="00487DD0" w:rsidRDefault="00487DD0" w:rsidP="00487DD0">
            <w:pPr>
              <w:rPr>
                <w:b/>
                <w:bCs/>
              </w:rPr>
            </w:pPr>
            <w:r w:rsidRPr="00487DD0">
              <w:rPr>
                <w:b/>
                <w:bCs/>
              </w:rPr>
              <w:t>Toys/Games</w:t>
            </w:r>
          </w:p>
        </w:tc>
        <w:tc>
          <w:tcPr>
            <w:tcW w:w="0" w:type="auto"/>
            <w:tcBorders>
              <w:top w:val="single" w:sz="2" w:space="0" w:color="auto"/>
              <w:left w:val="single" w:sz="2" w:space="0" w:color="auto"/>
              <w:bottom w:val="single" w:sz="2" w:space="0" w:color="auto"/>
              <w:right w:val="single" w:sz="2" w:space="0" w:color="auto"/>
            </w:tcBorders>
            <w:hideMark/>
          </w:tcPr>
          <w:p w14:paraId="538AF565" w14:textId="77777777" w:rsidR="00487DD0" w:rsidRPr="00487DD0" w:rsidRDefault="00487DD0" w:rsidP="00487DD0">
            <w:pPr>
              <w:rPr>
                <w:b/>
                <w:bCs/>
              </w:rPr>
            </w:pPr>
            <w:r w:rsidRPr="00487DD0">
              <w:rPr>
                <w:b/>
                <w:bCs/>
              </w:rPr>
              <w:t>EN 71 parts 1–3, ASTM F963, ISO 8124; CPSIA (US); ICTI/SMETA; ASTM D4236; ISO 9001; ISO 14001</w:t>
            </w:r>
          </w:p>
        </w:tc>
      </w:tr>
      <w:tr w:rsidR="00487DD0" w:rsidRPr="00487DD0" w14:paraId="7EA14EE2" w14:textId="77777777">
        <w:tc>
          <w:tcPr>
            <w:tcW w:w="0" w:type="auto"/>
            <w:tcBorders>
              <w:top w:val="single" w:sz="2" w:space="0" w:color="auto"/>
              <w:left w:val="single" w:sz="2" w:space="0" w:color="auto"/>
              <w:bottom w:val="single" w:sz="2" w:space="0" w:color="auto"/>
              <w:right w:val="single" w:sz="2" w:space="0" w:color="auto"/>
            </w:tcBorders>
            <w:hideMark/>
          </w:tcPr>
          <w:p w14:paraId="176F87E8" w14:textId="77777777" w:rsidR="00487DD0" w:rsidRPr="00487DD0" w:rsidRDefault="00487DD0" w:rsidP="00487DD0">
            <w:pPr>
              <w:rPr>
                <w:b/>
                <w:bCs/>
              </w:rPr>
            </w:pPr>
            <w:r w:rsidRPr="00487DD0">
              <w:rPr>
                <w:b/>
                <w:bCs/>
              </w:rPr>
              <w:t>Consumer Electronics &amp; Appliances</w:t>
            </w:r>
          </w:p>
        </w:tc>
        <w:tc>
          <w:tcPr>
            <w:tcW w:w="0" w:type="auto"/>
            <w:tcBorders>
              <w:top w:val="single" w:sz="2" w:space="0" w:color="auto"/>
              <w:left w:val="single" w:sz="2" w:space="0" w:color="auto"/>
              <w:bottom w:val="single" w:sz="2" w:space="0" w:color="auto"/>
              <w:right w:val="single" w:sz="2" w:space="0" w:color="auto"/>
            </w:tcBorders>
            <w:hideMark/>
          </w:tcPr>
          <w:p w14:paraId="2CBD8B9A" w14:textId="77777777" w:rsidR="00487DD0" w:rsidRPr="00487DD0" w:rsidRDefault="00487DD0" w:rsidP="00487DD0">
            <w:pPr>
              <w:rPr>
                <w:b/>
                <w:bCs/>
              </w:rPr>
            </w:pPr>
            <w:r w:rsidRPr="00487DD0">
              <w:rPr>
                <w:b/>
                <w:bCs/>
              </w:rPr>
              <w:t>UL (US), CE (EU), FCC (US for wireless); ENERGY STAR (appliances); RoHS/REACH; BIS/ISI (India); ISO 9001; ISO 14001</w:t>
            </w:r>
          </w:p>
        </w:tc>
      </w:tr>
      <w:tr w:rsidR="00487DD0" w:rsidRPr="00487DD0" w14:paraId="5E0E427E" w14:textId="77777777">
        <w:tc>
          <w:tcPr>
            <w:tcW w:w="0" w:type="auto"/>
            <w:tcBorders>
              <w:top w:val="single" w:sz="2" w:space="0" w:color="auto"/>
              <w:left w:val="single" w:sz="2" w:space="0" w:color="auto"/>
              <w:bottom w:val="single" w:sz="2" w:space="0" w:color="auto"/>
              <w:right w:val="single" w:sz="2" w:space="0" w:color="auto"/>
            </w:tcBorders>
            <w:hideMark/>
          </w:tcPr>
          <w:p w14:paraId="0D5C404C" w14:textId="77777777" w:rsidR="00487DD0" w:rsidRPr="00487DD0" w:rsidRDefault="00487DD0" w:rsidP="00487DD0">
            <w:pPr>
              <w:rPr>
                <w:b/>
                <w:bCs/>
              </w:rPr>
            </w:pPr>
            <w:r w:rsidRPr="00487DD0">
              <w:rPr>
                <w:b/>
                <w:bCs/>
              </w:rPr>
              <w:t>Lighting/Electrical</w:t>
            </w:r>
          </w:p>
        </w:tc>
        <w:tc>
          <w:tcPr>
            <w:tcW w:w="0" w:type="auto"/>
            <w:tcBorders>
              <w:top w:val="single" w:sz="2" w:space="0" w:color="auto"/>
              <w:left w:val="single" w:sz="2" w:space="0" w:color="auto"/>
              <w:bottom w:val="single" w:sz="2" w:space="0" w:color="auto"/>
              <w:right w:val="single" w:sz="2" w:space="0" w:color="auto"/>
            </w:tcBorders>
            <w:hideMark/>
          </w:tcPr>
          <w:p w14:paraId="271B5164" w14:textId="77777777" w:rsidR="00487DD0" w:rsidRPr="00487DD0" w:rsidRDefault="00487DD0" w:rsidP="00487DD0">
            <w:pPr>
              <w:rPr>
                <w:b/>
                <w:bCs/>
              </w:rPr>
            </w:pPr>
            <w:r w:rsidRPr="00487DD0">
              <w:rPr>
                <w:b/>
                <w:bCs/>
              </w:rPr>
              <w:t>UL/IEC 60947, IEC 60529; CE/CB Scheme; CCC (China); BIS/ETL; RoHS; WEEE; ISO 9001, ISO 14001</w:t>
            </w:r>
          </w:p>
        </w:tc>
      </w:tr>
    </w:tbl>
    <w:p w14:paraId="4B799ED3" w14:textId="77777777" w:rsidR="00487DD0" w:rsidRDefault="00487DD0" w:rsidP="00487DD0">
      <w:pPr>
        <w:rPr>
          <w:b/>
          <w:bCs/>
        </w:rPr>
      </w:pPr>
    </w:p>
    <w:p w14:paraId="6419BB74" w14:textId="6F1D20A0" w:rsidR="00487DD0" w:rsidRPr="00487DD0" w:rsidRDefault="00487DD0" w:rsidP="00487DD0">
      <w:pPr>
        <w:rPr>
          <w:b/>
          <w:bCs/>
        </w:rPr>
      </w:pPr>
      <w:r w:rsidRPr="00487DD0">
        <w:rPr>
          <w:b/>
          <w:bCs/>
        </w:rPr>
        <w:t>The certification checklist (appendix) reminds FFT to obtain any missing certificates per target sector (e.g. UL for appliances, BIS for India, FDA for toy plastics if exporting to US). A one-page checklist can list all EN71/ASTM tests for toys, and UL/IEC standards for electrical components.</w:t>
      </w:r>
    </w:p>
    <w:p w14:paraId="486EA9DC" w14:textId="77777777" w:rsidR="00487DD0" w:rsidRPr="00487DD0" w:rsidRDefault="00487DD0">
      <w:pPr>
        <w:rPr>
          <w:b/>
          <w:bCs/>
        </w:rPr>
      </w:pPr>
    </w:p>
    <w:sectPr w:rsidR="00487DD0" w:rsidRPr="00487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95D96"/>
    <w:multiLevelType w:val="multilevel"/>
    <w:tmpl w:val="33AE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959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D0"/>
    <w:rsid w:val="0015032C"/>
    <w:rsid w:val="00343EE5"/>
    <w:rsid w:val="00487DD0"/>
    <w:rsid w:val="005F0CBC"/>
    <w:rsid w:val="00CE64F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BC7F2"/>
  <w15:chartTrackingRefBased/>
  <w15:docId w15:val="{10CF4C61-1AA6-408B-8BF3-A618A05BD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DD0"/>
    <w:rPr>
      <w:rFonts w:eastAsiaTheme="majorEastAsia" w:cstheme="majorBidi"/>
      <w:color w:val="272727" w:themeColor="text1" w:themeTint="D8"/>
    </w:rPr>
  </w:style>
  <w:style w:type="paragraph" w:styleId="Title">
    <w:name w:val="Title"/>
    <w:basedOn w:val="Normal"/>
    <w:next w:val="Normal"/>
    <w:link w:val="TitleChar"/>
    <w:uiPriority w:val="10"/>
    <w:qFormat/>
    <w:rsid w:val="00487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DD0"/>
    <w:pPr>
      <w:spacing w:before="160"/>
      <w:jc w:val="center"/>
    </w:pPr>
    <w:rPr>
      <w:i/>
      <w:iCs/>
      <w:color w:val="404040" w:themeColor="text1" w:themeTint="BF"/>
    </w:rPr>
  </w:style>
  <w:style w:type="character" w:customStyle="1" w:styleId="QuoteChar">
    <w:name w:val="Quote Char"/>
    <w:basedOn w:val="DefaultParagraphFont"/>
    <w:link w:val="Quote"/>
    <w:uiPriority w:val="29"/>
    <w:rsid w:val="00487DD0"/>
    <w:rPr>
      <w:i/>
      <w:iCs/>
      <w:color w:val="404040" w:themeColor="text1" w:themeTint="BF"/>
    </w:rPr>
  </w:style>
  <w:style w:type="paragraph" w:styleId="ListParagraph">
    <w:name w:val="List Paragraph"/>
    <w:basedOn w:val="Normal"/>
    <w:uiPriority w:val="34"/>
    <w:qFormat/>
    <w:rsid w:val="00487DD0"/>
    <w:pPr>
      <w:ind w:left="720"/>
      <w:contextualSpacing/>
    </w:pPr>
  </w:style>
  <w:style w:type="character" w:styleId="IntenseEmphasis">
    <w:name w:val="Intense Emphasis"/>
    <w:basedOn w:val="DefaultParagraphFont"/>
    <w:uiPriority w:val="21"/>
    <w:qFormat/>
    <w:rsid w:val="00487DD0"/>
    <w:rPr>
      <w:i/>
      <w:iCs/>
      <w:color w:val="0F4761" w:themeColor="accent1" w:themeShade="BF"/>
    </w:rPr>
  </w:style>
  <w:style w:type="paragraph" w:styleId="IntenseQuote">
    <w:name w:val="Intense Quote"/>
    <w:basedOn w:val="Normal"/>
    <w:next w:val="Normal"/>
    <w:link w:val="IntenseQuoteChar"/>
    <w:uiPriority w:val="30"/>
    <w:qFormat/>
    <w:rsid w:val="00487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DD0"/>
    <w:rPr>
      <w:i/>
      <w:iCs/>
      <w:color w:val="0F4761" w:themeColor="accent1" w:themeShade="BF"/>
    </w:rPr>
  </w:style>
  <w:style w:type="character" w:styleId="IntenseReference">
    <w:name w:val="Intense Reference"/>
    <w:basedOn w:val="DefaultParagraphFont"/>
    <w:uiPriority w:val="32"/>
    <w:qFormat/>
    <w:rsid w:val="00487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825</Words>
  <Characters>4703</Characters>
  <Application>Microsoft Office Word</Application>
  <DocSecurity>0</DocSecurity>
  <Lines>39</Lines>
  <Paragraphs>11</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Bajaj</dc:creator>
  <cp:keywords/>
  <dc:description/>
  <cp:lastModifiedBy>Dhruv Bajaj</cp:lastModifiedBy>
  <cp:revision>1</cp:revision>
  <dcterms:created xsi:type="dcterms:W3CDTF">2026-06-08T04:01:00Z</dcterms:created>
  <dcterms:modified xsi:type="dcterms:W3CDTF">2026-06-08T04:05:00Z</dcterms:modified>
</cp:coreProperties>
</file>