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rial" w:cs="Arial" w:eastAsia="Arial" w:hAnsi="Arial"/>
          <w:b/>
          <w:bCs/>
          <w:color w:val="1F3A6E"/>
          <w:sz w:val="22"/>
          <w:szCs w:val="22"/>
        </w:rPr>
        <w:t xml:space="preserve">SELKEY CYBER SECURITY PVT. LTD.</w:t>
      </w:r>
    </w:p>
    <w:p>
      <w:pPr>
        <w:spacing w:after="60"/>
      </w:pPr>
      <w:r>
        <w:rPr>
          <w:rFonts w:ascii="Arial" w:cs="Arial" w:eastAsia="Arial" w:hAnsi="Arial"/>
          <w:b/>
          <w:bCs/>
          <w:color w:val="1F3A6E"/>
          <w:sz w:val="48"/>
          <w:szCs w:val="48"/>
        </w:rPr>
        <w:t xml:space="preserve">Executive Summary</w:t>
      </w:r>
    </w:p>
    <w:p>
      <w:pPr>
        <w:pBdr>
          <w:bottom w:val="single" w:color="1F3A6E" w:sz="12" w:space="6"/>
        </w:pBdr>
        <w:spacing w:after="200"/>
      </w:pPr>
      <w:r>
        <w:rPr>
          <w:rFonts w:ascii="Arial" w:cs="Arial" w:eastAsia="Arial" w:hAnsi="Arial"/>
          <w:color w:val="555555"/>
          <w:sz w:val="24"/>
          <w:szCs w:val="24"/>
        </w:rPr>
        <w:t xml:space="preserve">Internal Network and CCTV Vulnerability Assessment and Penetration Testing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500"/>
        <w:gridCol w:w="7406"/>
      </w:tblGrid>
      <w:tr>
        <w:trPr>
          <w:cantSplit/>
        </w:trPr>
        <w:tc>
          <w:tcPr>
            <w:tcW w:type="dxa" w:w="25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Client</w:t>
            </w:r>
          </w:p>
        </w:tc>
        <w:tc>
          <w:tcPr>
            <w:tcW w:type="dxa" w:w="74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Anjali Labtech Limited, Surat, Gujarat</w:t>
            </w:r>
          </w:p>
        </w:tc>
      </w:tr>
      <w:tr>
        <w:trPr>
          <w:cantSplit/>
        </w:trPr>
        <w:tc>
          <w:tcPr>
            <w:tcW w:type="dxa" w:w="25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Assessment period</w:t>
            </w:r>
          </w:p>
        </w:tc>
        <w:tc>
          <w:tcPr>
            <w:tcW w:type="dxa" w:w="74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28 September 2026 to 3 October 2026</w:t>
            </w:r>
          </w:p>
        </w:tc>
      </w:tr>
      <w:tr>
        <w:trPr>
          <w:cantSplit/>
        </w:trPr>
        <w:tc>
          <w:tcPr>
            <w:tcW w:type="dxa" w:w="25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Report date</w:t>
            </w:r>
          </w:p>
        </w:tc>
        <w:tc>
          <w:tcPr>
            <w:tcW w:type="dxa" w:w="74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5 October 2026</w:t>
            </w:r>
          </w:p>
        </w:tc>
      </w:tr>
      <w:tr>
        <w:trPr>
          <w:cantSplit/>
        </w:trPr>
        <w:tc>
          <w:tcPr>
            <w:tcW w:type="dxa" w:w="25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Scope</w:t>
            </w:r>
          </w:p>
        </w:tc>
        <w:tc>
          <w:tcPr>
            <w:tcW w:type="dxa" w:w="74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Internal network: 414 endpoints and 6 servers and 2 routers. CCTV: 446 devices</w:t>
            </w:r>
          </w:p>
        </w:tc>
      </w:tr>
      <w:tr>
        <w:trPr>
          <w:cantSplit/>
        </w:trPr>
        <w:tc>
          <w:tcPr>
            <w:tcW w:type="dxa" w:w="25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Certificate no.</w:t>
            </w:r>
          </w:p>
        </w:tc>
        <w:tc>
          <w:tcPr>
            <w:tcW w:type="dxa" w:w="74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SCS/VAPTCERT/ALL/NET/051026ALL00 (draft)</w:t>
            </w:r>
          </w:p>
        </w:tc>
      </w:tr>
      <w:tr>
        <w:trPr>
          <w:cantSplit/>
        </w:trPr>
        <w:tc>
          <w:tcPr>
            <w:tcW w:type="dxa" w:w="25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Status</w:t>
            </w:r>
          </w:p>
        </w:tc>
        <w:tc>
          <w:tcPr>
            <w:tcW w:type="dxa" w:w="7406"/>
            <w:tcBorders>
              <w:top w:val="single" w:color="BFC7D5" w:sz="4"/>
              <w:left w:val="single" w:color="BFC7D5" w:sz="4"/>
              <w:bottom w:val="single" w:color="BFC7D5" w:sz="4"/>
              <w:right w:val="single" w:color="BFC7D5" w:sz="4"/>
            </w:tcBorders>
            <w:shd w:fill="FBE5E5"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Open</w:t>
            </w:r>
            <w:r>
              <w:rPr>
                <w:rFonts w:ascii="Arial" w:cs="Arial" w:eastAsia="Arial" w:hAnsi="Arial"/>
                <w:sz w:val="19"/>
                <w:szCs w:val="19"/>
              </w:rPr>
              <w:t xml:space="preserve">: remediation and revalidation pending</w:t>
            </w:r>
          </w:p>
        </w:tc>
      </w:tr>
    </w:tbl>
    <w:p>
      <w:pPr>
        <w:spacing w:after="80"/>
      </w:pPr>
    </w:p>
    <w:p>
      <w:pPr>
        <w:pStyle w:val="Heading1"/>
        <w:keepNext/>
        <w:pBdr>
          <w:bottom w:val="single" w:color="1F3A6E" w:sz="8" w:space="4"/>
        </w:pBdr>
        <w:spacing w:after="140" w:before="360"/>
      </w:pPr>
      <w:r>
        <w:rPr>
          <w:rFonts w:ascii="Arial" w:cs="Arial" w:eastAsia="Arial" w:hAnsi="Arial"/>
          <w:b/>
          <w:bCs/>
          <w:color w:val="1F3A6E"/>
          <w:sz w:val="30"/>
          <w:szCs w:val="30"/>
        </w:rPr>
        <w:t xml:space="preserve">1. Overview</w:t>
      </w:r>
    </w:p>
    <w:p>
      <w:pPr>
        <w:spacing w:after="120" w:line="276"/>
      </w:pPr>
      <w:r>
        <w:rPr>
          <w:rFonts w:ascii="Arial" w:cs="Arial" w:eastAsia="Arial" w:hAnsi="Arial"/>
          <w:sz w:val="21"/>
          <w:szCs w:val="21"/>
        </w:rPr>
        <w:t xml:space="preserve">Selkey Cyber Security Pvt. Ltd. assessed the internal network and CCTV infrastructure of Anjali Labtech Limited. The assessment identified </w:t>
      </w:r>
      <w:r>
        <w:rPr>
          <w:rFonts w:ascii="Arial" w:cs="Arial" w:eastAsia="Arial" w:hAnsi="Arial"/>
          <w:b/>
          <w:bCs/>
          <w:sz w:val="21"/>
          <w:szCs w:val="21"/>
        </w:rPr>
        <w:t xml:space="preserve">752 vulnerabilities</w:t>
      </w:r>
      <w:r>
        <w:rPr>
          <w:rFonts w:ascii="Arial" w:cs="Arial" w:eastAsia="Arial" w:hAnsi="Arial"/>
          <w:sz w:val="21"/>
          <w:szCs w:val="21"/>
        </w:rPr>
        <w:t xml:space="preserve"> of which </w:t>
      </w:r>
      <w:r>
        <w:rPr>
          <w:rFonts w:ascii="Arial" w:cs="Arial" w:eastAsia="Arial" w:hAnsi="Arial"/>
          <w:b/>
          <w:bCs/>
          <w:sz w:val="21"/>
          <w:szCs w:val="21"/>
        </w:rPr>
        <w:t xml:space="preserve">116 are Critical and 484 are High</w:t>
      </w:r>
      <w:r>
        <w:rPr>
          <w:rFonts w:ascii="Arial" w:cs="Arial" w:eastAsia="Arial" w:hAnsi="Arial"/>
          <w:sz w:val="21"/>
          <w:szCs w:val="21"/>
        </w:rPr>
        <w:t xml:space="preserve">. The internal network is rated </w:t>
      </w:r>
      <w:r>
        <w:rPr>
          <w:rFonts w:ascii="Arial" w:cs="Arial" w:eastAsia="Arial" w:hAnsi="Arial"/>
          <w:b/>
          <w:bCs/>
          <w:sz w:val="21"/>
          <w:szCs w:val="21"/>
        </w:rPr>
        <w:t xml:space="preserve">High</w:t>
      </w:r>
      <w:r>
        <w:rPr>
          <w:rFonts w:ascii="Arial" w:cs="Arial" w:eastAsia="Arial" w:hAnsi="Arial"/>
          <w:sz w:val="21"/>
          <w:szCs w:val="21"/>
        </w:rPr>
        <w:t xml:space="preserve"> risk and the CCTV infrastructure </w:t>
      </w:r>
      <w:r>
        <w:rPr>
          <w:rFonts w:ascii="Arial" w:cs="Arial" w:eastAsia="Arial" w:hAnsi="Arial"/>
          <w:b/>
          <w:bCs/>
          <w:sz w:val="21"/>
          <w:szCs w:val="21"/>
        </w:rPr>
        <w:t xml:space="preserve">Medium</w:t>
      </w:r>
      <w:r>
        <w:rPr>
          <w:rFonts w:ascii="Arial" w:cs="Arial" w:eastAsia="Arial" w:hAnsi="Arial"/>
          <w:sz w:val="21"/>
          <w:szCs w:val="21"/>
        </w:rPr>
        <w:t xml:space="preserve"> risk. No finding has been remediated as of the report date.</w:t>
      </w:r>
    </w:p>
    <w:p>
      <w:pPr>
        <w:spacing w:after="120" w:line="276"/>
      </w:pPr>
      <w:r>
        <w:rPr>
          <w:rFonts w:ascii="Arial" w:cs="Arial" w:eastAsia="Arial" w:hAnsi="Arial"/>
          <w:sz w:val="21"/>
          <w:szCs w:val="21"/>
        </w:rPr>
        <w:t xml:space="preserve">The certificate records five control gaps that underlie the findings:</w:t>
      </w:r>
    </w:p>
    <w:p>
      <w:pPr>
        <w:pStyle w:val="ListParagraph"/>
        <w:numPr>
          <w:ilvl w:val="0"/>
          <w:numId w:val="2"/>
        </w:numPr>
        <w:spacing w:after="70" w:line="270"/>
      </w:pPr>
      <w:r>
        <w:rPr>
          <w:rFonts w:ascii="Arial" w:cs="Arial" w:eastAsia="Arial" w:hAnsi="Arial"/>
          <w:b/>
          <w:bCs/>
          <w:sz w:val="21"/>
          <w:szCs w:val="21"/>
        </w:rPr>
        <w:t xml:space="preserve">Endpoint protection:</w:t>
      </w:r>
      <w:r>
        <w:rPr>
          <w:rFonts w:ascii="Arial" w:cs="Arial" w:eastAsia="Arial" w:hAnsi="Arial"/>
          <w:sz w:val="21"/>
          <w:szCs w:val="21"/>
        </w:rPr>
        <w:t xml:space="preserve"> no EDR or XDR solution is deployed on endpoints or servers.</w:t>
      </w:r>
    </w:p>
    <w:p>
      <w:pPr>
        <w:pStyle w:val="ListParagraph"/>
        <w:numPr>
          <w:ilvl w:val="0"/>
          <w:numId w:val="2"/>
        </w:numPr>
        <w:spacing w:after="70" w:line="270"/>
      </w:pPr>
      <w:r>
        <w:rPr>
          <w:rFonts w:ascii="Arial" w:cs="Arial" w:eastAsia="Arial" w:hAnsi="Arial"/>
          <w:b/>
          <w:bCs/>
          <w:sz w:val="21"/>
          <w:szCs w:val="21"/>
        </w:rPr>
        <w:t xml:space="preserve">Internet access control:</w:t>
      </w:r>
      <w:r>
        <w:rPr>
          <w:rFonts w:ascii="Arial" w:cs="Arial" w:eastAsia="Arial" w:hAnsi="Arial"/>
          <w:sz w:val="21"/>
          <w:szCs w:val="21"/>
        </w:rPr>
        <w:t xml:space="preserve"> internet access is unrestricted where it must be blocked.</w:t>
      </w:r>
    </w:p>
    <w:p>
      <w:pPr>
        <w:pStyle w:val="ListParagraph"/>
        <w:numPr>
          <w:ilvl w:val="0"/>
          <w:numId w:val="2"/>
        </w:numPr>
        <w:spacing w:after="70" w:line="270"/>
      </w:pPr>
      <w:r>
        <w:rPr>
          <w:rFonts w:ascii="Arial" w:cs="Arial" w:eastAsia="Arial" w:hAnsi="Arial"/>
          <w:b/>
          <w:bCs/>
          <w:sz w:val="21"/>
          <w:szCs w:val="21"/>
        </w:rPr>
        <w:t xml:space="preserve">IP address management:</w:t>
      </w:r>
      <w:r>
        <w:rPr>
          <w:rFonts w:ascii="Arial" w:cs="Arial" w:eastAsia="Arial" w:hAnsi="Arial"/>
          <w:sz w:val="21"/>
          <w:szCs w:val="21"/>
        </w:rPr>
        <w:t xml:space="preserve"> any user can change a locally set IP address to bypass restrictions.</w:t>
      </w:r>
    </w:p>
    <w:p>
      <w:pPr>
        <w:pStyle w:val="ListParagraph"/>
        <w:numPr>
          <w:ilvl w:val="0"/>
          <w:numId w:val="2"/>
        </w:numPr>
        <w:spacing w:after="70" w:line="270"/>
      </w:pPr>
      <w:r>
        <w:rPr>
          <w:rFonts w:ascii="Arial" w:cs="Arial" w:eastAsia="Arial" w:hAnsi="Arial"/>
          <w:b/>
          <w:bCs/>
          <w:sz w:val="21"/>
          <w:szCs w:val="21"/>
        </w:rPr>
        <w:t xml:space="preserve">Asset identification:</w:t>
      </w:r>
      <w:r>
        <w:rPr>
          <w:rFonts w:ascii="Arial" w:cs="Arial" w:eastAsia="Arial" w:hAnsi="Arial"/>
          <w:sz w:val="21"/>
          <w:szCs w:val="21"/>
        </w:rPr>
        <w:t xml:space="preserve"> hostnames are not standardised and devices are not labelled.</w:t>
      </w:r>
    </w:p>
    <w:p>
      <w:pPr>
        <w:pStyle w:val="ListParagraph"/>
        <w:numPr>
          <w:ilvl w:val="0"/>
          <w:numId w:val="2"/>
        </w:numPr>
        <w:spacing w:after="70" w:line="270"/>
      </w:pPr>
      <w:r>
        <w:rPr>
          <w:rFonts w:ascii="Arial" w:cs="Arial" w:eastAsia="Arial" w:hAnsi="Arial"/>
          <w:b/>
          <w:bCs/>
          <w:sz w:val="21"/>
          <w:szCs w:val="21"/>
        </w:rPr>
        <w:t xml:space="preserve">Vulnerability management:</w:t>
      </w:r>
      <w:r>
        <w:rPr>
          <w:rFonts w:ascii="Arial" w:cs="Arial" w:eastAsia="Arial" w:hAnsi="Arial"/>
          <w:sz w:val="21"/>
          <w:szCs w:val="21"/>
        </w:rPr>
        <w:t xml:space="preserve"> production systems are not periodically scanned or checked.</w:t>
      </w:r>
    </w:p>
    <w:p>
      <w:pPr>
        <w:pStyle w:val="Heading1"/>
        <w:keepNext/>
        <w:pBdr>
          <w:bottom w:val="single" w:color="1F3A6E" w:sz="8" w:space="4"/>
        </w:pBdr>
        <w:spacing w:after="140" w:before="360"/>
      </w:pPr>
      <w:r>
        <w:rPr>
          <w:rFonts w:ascii="Arial" w:cs="Arial" w:eastAsia="Arial" w:hAnsi="Arial"/>
          <w:b/>
          <w:bCs/>
          <w:color w:val="1F3A6E"/>
          <w:sz w:val="30"/>
          <w:szCs w:val="30"/>
        </w:rPr>
        <w:t xml:space="preserve">2. Summary of results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300"/>
        <w:gridCol w:w="1050"/>
        <w:gridCol w:w="1050"/>
        <w:gridCol w:w="1100"/>
        <w:gridCol w:w="1000"/>
        <w:gridCol w:w="1000"/>
        <w:gridCol w:w="2406"/>
      </w:tblGrid>
      <w:tr>
        <w:trPr>
          <w:cantSplit/>
          <w:tblHeader/>
        </w:trPr>
        <w:tc>
          <w:tcPr>
            <w:tcW w:type="dxa" w:w="2300"/>
            <w:tcBorders>
              <w:top w:val="single" w:color="BFC7D5" w:sz="4"/>
              <w:left w:val="single" w:color="BFC7D5" w:sz="4"/>
              <w:bottom w:val="single" w:color="BFC7D5" w:sz="4"/>
              <w:right w:val="single" w:color="BFC7D5" w:sz="4"/>
            </w:tcBorders>
            <w:shd w:fill="1F3A6E" w:color="auto" w:val="clear"/>
            <w:tcMar>
              <w:top w:type="dxa" w:w="70"/>
              <w:left w:type="dxa" w:w="110"/>
              <w:bottom w:type="dxa" w:w="70"/>
              <w:right w:type="dxa" w:w="110"/>
            </w:tcMar>
            <w:vAlign w:val="top"/>
          </w:tcPr>
          <w:p>
            <w:pPr>
              <w:spacing w:after="50" w:line="260"/>
            </w:pPr>
            <w:r>
              <w:rPr>
                <w:rFonts w:ascii="Arial" w:cs="Arial" w:eastAsia="Arial" w:hAnsi="Arial"/>
                <w:b/>
                <w:bCs/>
                <w:color w:val="FFFFFF"/>
                <w:sz w:val="19"/>
                <w:szCs w:val="19"/>
              </w:rPr>
              <w:t xml:space="preserve">Assessment</w:t>
            </w:r>
          </w:p>
        </w:tc>
        <w:tc>
          <w:tcPr>
            <w:tcW w:type="dxa" w:w="1050"/>
            <w:tcBorders>
              <w:top w:val="single" w:color="BFC7D5" w:sz="4"/>
              <w:left w:val="single" w:color="BFC7D5" w:sz="4"/>
              <w:bottom w:val="single" w:color="BFC7D5" w:sz="4"/>
              <w:right w:val="single" w:color="BFC7D5" w:sz="4"/>
            </w:tcBorders>
            <w:shd w:fill="1F3A6E" w:color="auto" w:val="clear"/>
            <w:tcMar>
              <w:top w:type="dxa" w:w="70"/>
              <w:left w:type="dxa" w:w="110"/>
              <w:bottom w:type="dxa" w:w="70"/>
              <w:right w:type="dxa" w:w="110"/>
            </w:tcMar>
            <w:vAlign w:val="top"/>
          </w:tcPr>
          <w:p>
            <w:pPr>
              <w:spacing w:after="50" w:line="260"/>
            </w:pPr>
            <w:r>
              <w:rPr>
                <w:rFonts w:ascii="Arial" w:cs="Arial" w:eastAsia="Arial" w:hAnsi="Arial"/>
                <w:b/>
                <w:bCs/>
                <w:color w:val="FFFFFF"/>
                <w:sz w:val="19"/>
                <w:szCs w:val="19"/>
              </w:rPr>
              <w:t xml:space="preserve">Critical</w:t>
            </w:r>
          </w:p>
        </w:tc>
        <w:tc>
          <w:tcPr>
            <w:tcW w:type="dxa" w:w="1050"/>
            <w:tcBorders>
              <w:top w:val="single" w:color="BFC7D5" w:sz="4"/>
              <w:left w:val="single" w:color="BFC7D5" w:sz="4"/>
              <w:bottom w:val="single" w:color="BFC7D5" w:sz="4"/>
              <w:right w:val="single" w:color="BFC7D5" w:sz="4"/>
            </w:tcBorders>
            <w:shd w:fill="1F3A6E" w:color="auto" w:val="clear"/>
            <w:tcMar>
              <w:top w:type="dxa" w:w="70"/>
              <w:left w:type="dxa" w:w="110"/>
              <w:bottom w:type="dxa" w:w="70"/>
              <w:right w:type="dxa" w:w="110"/>
            </w:tcMar>
            <w:vAlign w:val="top"/>
          </w:tcPr>
          <w:p>
            <w:pPr>
              <w:spacing w:after="50" w:line="260"/>
            </w:pPr>
            <w:r>
              <w:rPr>
                <w:rFonts w:ascii="Arial" w:cs="Arial" w:eastAsia="Arial" w:hAnsi="Arial"/>
                <w:b/>
                <w:bCs/>
                <w:color w:val="FFFFFF"/>
                <w:sz w:val="19"/>
                <w:szCs w:val="19"/>
              </w:rPr>
              <w:t xml:space="preserve">High</w:t>
            </w:r>
          </w:p>
        </w:tc>
        <w:tc>
          <w:tcPr>
            <w:tcW w:type="dxa" w:w="1100"/>
            <w:tcBorders>
              <w:top w:val="single" w:color="BFC7D5" w:sz="4"/>
              <w:left w:val="single" w:color="BFC7D5" w:sz="4"/>
              <w:bottom w:val="single" w:color="BFC7D5" w:sz="4"/>
              <w:right w:val="single" w:color="BFC7D5" w:sz="4"/>
            </w:tcBorders>
            <w:shd w:fill="1F3A6E" w:color="auto" w:val="clear"/>
            <w:tcMar>
              <w:top w:type="dxa" w:w="70"/>
              <w:left w:type="dxa" w:w="110"/>
              <w:bottom w:type="dxa" w:w="70"/>
              <w:right w:type="dxa" w:w="110"/>
            </w:tcMar>
            <w:vAlign w:val="top"/>
          </w:tcPr>
          <w:p>
            <w:pPr>
              <w:spacing w:after="50" w:line="260"/>
            </w:pPr>
            <w:r>
              <w:rPr>
                <w:rFonts w:ascii="Arial" w:cs="Arial" w:eastAsia="Arial" w:hAnsi="Arial"/>
                <w:b/>
                <w:bCs/>
                <w:color w:val="FFFFFF"/>
                <w:sz w:val="19"/>
                <w:szCs w:val="19"/>
              </w:rPr>
              <w:t xml:space="preserve">Medium</w:t>
            </w:r>
          </w:p>
        </w:tc>
        <w:tc>
          <w:tcPr>
            <w:tcW w:type="dxa" w:w="1000"/>
            <w:tcBorders>
              <w:top w:val="single" w:color="BFC7D5" w:sz="4"/>
              <w:left w:val="single" w:color="BFC7D5" w:sz="4"/>
              <w:bottom w:val="single" w:color="BFC7D5" w:sz="4"/>
              <w:right w:val="single" w:color="BFC7D5" w:sz="4"/>
            </w:tcBorders>
            <w:shd w:fill="1F3A6E" w:color="auto" w:val="clear"/>
            <w:tcMar>
              <w:top w:type="dxa" w:w="70"/>
              <w:left w:type="dxa" w:w="110"/>
              <w:bottom w:type="dxa" w:w="70"/>
              <w:right w:type="dxa" w:w="110"/>
            </w:tcMar>
            <w:vAlign w:val="top"/>
          </w:tcPr>
          <w:p>
            <w:pPr>
              <w:spacing w:after="50" w:line="260"/>
            </w:pPr>
            <w:r>
              <w:rPr>
                <w:rFonts w:ascii="Arial" w:cs="Arial" w:eastAsia="Arial" w:hAnsi="Arial"/>
                <w:b/>
                <w:bCs/>
                <w:color w:val="FFFFFF"/>
                <w:sz w:val="19"/>
                <w:szCs w:val="19"/>
              </w:rPr>
              <w:t xml:space="preserve">Low</w:t>
            </w:r>
          </w:p>
        </w:tc>
        <w:tc>
          <w:tcPr>
            <w:tcW w:type="dxa" w:w="1000"/>
            <w:tcBorders>
              <w:top w:val="single" w:color="BFC7D5" w:sz="4"/>
              <w:left w:val="single" w:color="BFC7D5" w:sz="4"/>
              <w:bottom w:val="single" w:color="BFC7D5" w:sz="4"/>
              <w:right w:val="single" w:color="BFC7D5" w:sz="4"/>
            </w:tcBorders>
            <w:shd w:fill="1F3A6E" w:color="auto" w:val="clear"/>
            <w:tcMar>
              <w:top w:type="dxa" w:w="70"/>
              <w:left w:type="dxa" w:w="110"/>
              <w:bottom w:type="dxa" w:w="70"/>
              <w:right w:type="dxa" w:w="110"/>
            </w:tcMar>
            <w:vAlign w:val="top"/>
          </w:tcPr>
          <w:p>
            <w:pPr>
              <w:spacing w:after="50" w:line="260"/>
            </w:pPr>
            <w:r>
              <w:rPr>
                <w:rFonts w:ascii="Arial" w:cs="Arial" w:eastAsia="Arial" w:hAnsi="Arial"/>
                <w:b/>
                <w:bCs/>
                <w:color w:val="FFFFFF"/>
                <w:sz w:val="19"/>
                <w:szCs w:val="19"/>
              </w:rPr>
              <w:t xml:space="preserve">Total</w:t>
            </w:r>
          </w:p>
        </w:tc>
        <w:tc>
          <w:tcPr>
            <w:tcW w:type="dxa" w:w="2406"/>
            <w:tcBorders>
              <w:top w:val="single" w:color="BFC7D5" w:sz="4"/>
              <w:left w:val="single" w:color="BFC7D5" w:sz="4"/>
              <w:bottom w:val="single" w:color="BFC7D5" w:sz="4"/>
              <w:right w:val="single" w:color="BFC7D5" w:sz="4"/>
            </w:tcBorders>
            <w:shd w:fill="1F3A6E" w:color="auto" w:val="clear"/>
            <w:tcMar>
              <w:top w:type="dxa" w:w="70"/>
              <w:left w:type="dxa" w:w="110"/>
              <w:bottom w:type="dxa" w:w="70"/>
              <w:right w:type="dxa" w:w="110"/>
            </w:tcMar>
            <w:vAlign w:val="top"/>
          </w:tcPr>
          <w:p>
            <w:pPr>
              <w:spacing w:after="50" w:line="260"/>
            </w:pPr>
            <w:r>
              <w:rPr>
                <w:rFonts w:ascii="Arial" w:cs="Arial" w:eastAsia="Arial" w:hAnsi="Arial"/>
                <w:b/>
                <w:bCs/>
                <w:color w:val="FFFFFF"/>
                <w:sz w:val="19"/>
                <w:szCs w:val="19"/>
              </w:rPr>
              <w:t xml:space="preserve">Overall risk</w:t>
            </w:r>
          </w:p>
        </w:tc>
      </w:tr>
      <w:tr>
        <w:trPr>
          <w:cantSplit/>
        </w:trPr>
        <w:tc>
          <w:tcPr>
            <w:tcW w:type="dxa" w:w="23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Internal network</w:t>
            </w:r>
          </w:p>
        </w:tc>
        <w:tc>
          <w:tcPr>
            <w:tcW w:type="dxa" w:w="1050"/>
            <w:tcBorders>
              <w:top w:val="single" w:color="BFC7D5" w:sz="4"/>
              <w:left w:val="single" w:color="BFC7D5" w:sz="4"/>
              <w:bottom w:val="single" w:color="BFC7D5" w:sz="4"/>
              <w:right w:val="single" w:color="BFC7D5" w:sz="4"/>
            </w:tcBorders>
            <w:shd w:fill="FBE5E5"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112</w:t>
            </w:r>
          </w:p>
        </w:tc>
        <w:tc>
          <w:tcPr>
            <w:tcW w:type="dxa" w:w="1050"/>
            <w:tcBorders>
              <w:top w:val="single" w:color="BFC7D5" w:sz="4"/>
              <w:left w:val="single" w:color="BFC7D5" w:sz="4"/>
              <w:bottom w:val="single" w:color="BFC7D5" w:sz="4"/>
              <w:right w:val="single" w:color="BFC7D5" w:sz="4"/>
            </w:tcBorders>
            <w:shd w:fill="FDEBDD"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483</w:t>
            </w:r>
          </w:p>
        </w:tc>
        <w:tc>
          <w:tcPr>
            <w:tcW w:type="dxa" w:w="1100"/>
            <w:tcBorders>
              <w:top w:val="single" w:color="BFC7D5" w:sz="4"/>
              <w:left w:val="single" w:color="BFC7D5" w:sz="4"/>
              <w:bottom w:val="single" w:color="BFC7D5" w:sz="4"/>
              <w:right w:val="single" w:color="BFC7D5" w:sz="4"/>
            </w:tcBorders>
            <w:shd w:fill="FFF4CC"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116</w:t>
            </w:r>
          </w:p>
        </w:tc>
        <w:tc>
          <w:tcPr>
            <w:tcW w:type="dxa" w:w="1000"/>
            <w:tcBorders>
              <w:top w:val="single" w:color="BFC7D5" w:sz="4"/>
              <w:left w:val="single" w:color="BFC7D5" w:sz="4"/>
              <w:bottom w:val="single" w:color="BFC7D5" w:sz="4"/>
              <w:right w:val="single" w:color="BFC7D5" w:sz="4"/>
            </w:tcBorders>
            <w:shd w:fill="E5F3E6"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19</w:t>
            </w:r>
          </w:p>
        </w:tc>
        <w:tc>
          <w:tcPr>
            <w:tcW w:type="dxa" w:w="10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730</w:t>
            </w:r>
          </w:p>
        </w:tc>
        <w:tc>
          <w:tcPr>
            <w:tcW w:type="dxa" w:w="2406"/>
            <w:tcBorders>
              <w:top w:val="single" w:color="BFC7D5" w:sz="4"/>
              <w:left w:val="single" w:color="BFC7D5" w:sz="4"/>
              <w:bottom w:val="single" w:color="BFC7D5" w:sz="4"/>
              <w:right w:val="single" w:color="BFC7D5" w:sz="4"/>
            </w:tcBorders>
            <w:shd w:fill="FDEBDD"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High</w:t>
            </w:r>
          </w:p>
        </w:tc>
      </w:tr>
      <w:tr>
        <w:trPr>
          <w:cantSplit/>
        </w:trPr>
        <w:tc>
          <w:tcPr>
            <w:tcW w:type="dxa" w:w="23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CCTV / IoT</w:t>
            </w:r>
          </w:p>
        </w:tc>
        <w:tc>
          <w:tcPr>
            <w:tcW w:type="dxa" w:w="1050"/>
            <w:tcBorders>
              <w:top w:val="single" w:color="BFC7D5" w:sz="4"/>
              <w:left w:val="single" w:color="BFC7D5" w:sz="4"/>
              <w:bottom w:val="single" w:color="BFC7D5" w:sz="4"/>
              <w:right w:val="single" w:color="BFC7D5" w:sz="4"/>
            </w:tcBorders>
            <w:shd w:fill="FBE5E5"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4</w:t>
            </w:r>
          </w:p>
        </w:tc>
        <w:tc>
          <w:tcPr>
            <w:tcW w:type="dxa" w:w="1050"/>
            <w:tcBorders>
              <w:top w:val="single" w:color="BFC7D5" w:sz="4"/>
              <w:left w:val="single" w:color="BFC7D5" w:sz="4"/>
              <w:bottom w:val="single" w:color="BFC7D5" w:sz="4"/>
              <w:right w:val="single" w:color="BFC7D5" w:sz="4"/>
            </w:tcBorders>
            <w:shd w:fill="FDEBDD"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1</w:t>
            </w:r>
          </w:p>
        </w:tc>
        <w:tc>
          <w:tcPr>
            <w:tcW w:type="dxa" w:w="1100"/>
            <w:tcBorders>
              <w:top w:val="single" w:color="BFC7D5" w:sz="4"/>
              <w:left w:val="single" w:color="BFC7D5" w:sz="4"/>
              <w:bottom w:val="single" w:color="BFC7D5" w:sz="4"/>
              <w:right w:val="single" w:color="BFC7D5" w:sz="4"/>
            </w:tcBorders>
            <w:shd w:fill="FFF4CC"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13</w:t>
            </w:r>
          </w:p>
        </w:tc>
        <w:tc>
          <w:tcPr>
            <w:tcW w:type="dxa" w:w="1000"/>
            <w:tcBorders>
              <w:top w:val="single" w:color="BFC7D5" w:sz="4"/>
              <w:left w:val="single" w:color="BFC7D5" w:sz="4"/>
              <w:bottom w:val="single" w:color="BFC7D5" w:sz="4"/>
              <w:right w:val="single" w:color="BFC7D5" w:sz="4"/>
            </w:tcBorders>
            <w:shd w:fill="E5F3E6"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4</w:t>
            </w:r>
          </w:p>
        </w:tc>
        <w:tc>
          <w:tcPr>
            <w:tcW w:type="dxa" w:w="10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22</w:t>
            </w:r>
          </w:p>
        </w:tc>
        <w:tc>
          <w:tcPr>
            <w:tcW w:type="dxa" w:w="2406"/>
            <w:tcBorders>
              <w:top w:val="single" w:color="BFC7D5" w:sz="4"/>
              <w:left w:val="single" w:color="BFC7D5" w:sz="4"/>
              <w:bottom w:val="single" w:color="BFC7D5" w:sz="4"/>
              <w:right w:val="single" w:color="BFC7D5" w:sz="4"/>
            </w:tcBorders>
            <w:shd w:fill="FFF4CC"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Medium</w:t>
            </w:r>
          </w:p>
        </w:tc>
      </w:tr>
      <w:tr>
        <w:trPr>
          <w:cantSplit/>
        </w:trPr>
        <w:tc>
          <w:tcPr>
            <w:tcW w:type="dxa" w:w="23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Combined</w:t>
            </w:r>
          </w:p>
        </w:tc>
        <w:tc>
          <w:tcPr>
            <w:tcW w:type="dxa" w:w="1050"/>
            <w:tcBorders>
              <w:top w:val="single" w:color="BFC7D5" w:sz="4"/>
              <w:left w:val="single" w:color="BFC7D5" w:sz="4"/>
              <w:bottom w:val="single" w:color="BFC7D5" w:sz="4"/>
              <w:right w:val="single" w:color="BFC7D5" w:sz="4"/>
            </w:tcBorders>
            <w:shd w:fill="FBE5E5"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116</w:t>
            </w:r>
          </w:p>
        </w:tc>
        <w:tc>
          <w:tcPr>
            <w:tcW w:type="dxa" w:w="1050"/>
            <w:tcBorders>
              <w:top w:val="single" w:color="BFC7D5" w:sz="4"/>
              <w:left w:val="single" w:color="BFC7D5" w:sz="4"/>
              <w:bottom w:val="single" w:color="BFC7D5" w:sz="4"/>
              <w:right w:val="single" w:color="BFC7D5" w:sz="4"/>
            </w:tcBorders>
            <w:shd w:fill="FDEBDD"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484</w:t>
            </w:r>
          </w:p>
        </w:tc>
        <w:tc>
          <w:tcPr>
            <w:tcW w:type="dxa" w:w="1100"/>
            <w:tcBorders>
              <w:top w:val="single" w:color="BFC7D5" w:sz="4"/>
              <w:left w:val="single" w:color="BFC7D5" w:sz="4"/>
              <w:bottom w:val="single" w:color="BFC7D5" w:sz="4"/>
              <w:right w:val="single" w:color="BFC7D5" w:sz="4"/>
            </w:tcBorders>
            <w:shd w:fill="FFF4CC"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129</w:t>
            </w:r>
          </w:p>
        </w:tc>
        <w:tc>
          <w:tcPr>
            <w:tcW w:type="dxa" w:w="1000"/>
            <w:tcBorders>
              <w:top w:val="single" w:color="BFC7D5" w:sz="4"/>
              <w:left w:val="single" w:color="BFC7D5" w:sz="4"/>
              <w:bottom w:val="single" w:color="BFC7D5" w:sz="4"/>
              <w:right w:val="single" w:color="BFC7D5" w:sz="4"/>
            </w:tcBorders>
            <w:shd w:fill="E5F3E6"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23</w:t>
            </w:r>
          </w:p>
        </w:tc>
        <w:tc>
          <w:tcPr>
            <w:tcW w:type="dxa" w:w="10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752</w:t>
            </w:r>
          </w:p>
        </w:tc>
        <w:tc>
          <w:tcPr>
            <w:tcW w:type="dxa" w:w="24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p>
        </w:tc>
      </w:tr>
    </w:tbl>
    <w:p>
      <w:pPr>
        <w:spacing w:after="80"/>
      </w:pPr>
    </w:p>
    <w:p>
      <w:pPr>
        <w:spacing w:after="120" w:line="276"/>
      </w:pPr>
      <w:r>
        <w:rPr>
          <w:rFonts w:ascii="Arial" w:cs="Arial" w:eastAsia="Arial" w:hAnsi="Arial"/>
          <w:sz w:val="19"/>
          <w:szCs w:val="19"/>
        </w:rPr>
        <w:t xml:space="preserve">Critical: complete compromise of a system or remote code execution is possible. High: unauthorised access or disclosure of sensitive information. Medium: exploitation needs additional conditions. Low: limited impact on its own.</w:t>
      </w:r>
    </w:p>
    <w:p>
      <w:pPr>
        <w:pStyle w:val="Heading1"/>
        <w:keepNext/>
        <w:pBdr>
          <w:bottom w:val="single" w:color="1F3A6E" w:sz="8" w:space="4"/>
        </w:pBdr>
        <w:spacing w:after="140" w:before="360"/>
      </w:pPr>
      <w:r>
        <w:rPr>
          <w:rFonts w:ascii="Arial" w:cs="Arial" w:eastAsia="Arial" w:hAnsi="Arial"/>
          <w:b/>
          <w:bCs/>
          <w:color w:val="1F3A6E"/>
          <w:sz w:val="30"/>
          <w:szCs w:val="30"/>
        </w:rPr>
        <w:t xml:space="preserve">3. Business impact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500"/>
        <w:gridCol w:w="3700"/>
        <w:gridCol w:w="3706"/>
      </w:tblGrid>
      <w:tr>
        <w:trPr>
          <w:cantSplit/>
          <w:tblHeader/>
        </w:trPr>
        <w:tc>
          <w:tcPr>
            <w:tcW w:type="dxa" w:w="2500"/>
            <w:tcBorders>
              <w:top w:val="single" w:color="BFC7D5" w:sz="4"/>
              <w:left w:val="single" w:color="BFC7D5" w:sz="4"/>
              <w:bottom w:val="single" w:color="BFC7D5" w:sz="4"/>
              <w:right w:val="single" w:color="BFC7D5" w:sz="4"/>
            </w:tcBorders>
            <w:shd w:fill="1F3A6E" w:color="auto" w:val="clear"/>
            <w:tcMar>
              <w:top w:type="dxa" w:w="70"/>
              <w:left w:type="dxa" w:w="110"/>
              <w:bottom w:type="dxa" w:w="70"/>
              <w:right w:type="dxa" w:w="110"/>
            </w:tcMar>
            <w:vAlign w:val="top"/>
          </w:tcPr>
          <w:p>
            <w:pPr>
              <w:spacing w:after="50" w:line="260"/>
            </w:pPr>
            <w:r>
              <w:rPr>
                <w:rFonts w:ascii="Arial" w:cs="Arial" w:eastAsia="Arial" w:hAnsi="Arial"/>
                <w:b/>
                <w:bCs/>
                <w:color w:val="FFFFFF"/>
                <w:sz w:val="19"/>
                <w:szCs w:val="19"/>
              </w:rPr>
              <w:t xml:space="preserve">Area</w:t>
            </w:r>
          </w:p>
        </w:tc>
        <w:tc>
          <w:tcPr>
            <w:tcW w:type="dxa" w:w="3700"/>
            <w:tcBorders>
              <w:top w:val="single" w:color="BFC7D5" w:sz="4"/>
              <w:left w:val="single" w:color="BFC7D5" w:sz="4"/>
              <w:bottom w:val="single" w:color="BFC7D5" w:sz="4"/>
              <w:right w:val="single" w:color="BFC7D5" w:sz="4"/>
            </w:tcBorders>
            <w:shd w:fill="1F3A6E" w:color="auto" w:val="clear"/>
            <w:tcMar>
              <w:top w:type="dxa" w:w="70"/>
              <w:left w:type="dxa" w:w="110"/>
              <w:bottom w:type="dxa" w:w="70"/>
              <w:right w:type="dxa" w:w="110"/>
            </w:tcMar>
            <w:vAlign w:val="top"/>
          </w:tcPr>
          <w:p>
            <w:pPr>
              <w:spacing w:after="50" w:line="260"/>
            </w:pPr>
            <w:r>
              <w:rPr>
                <w:rFonts w:ascii="Arial" w:cs="Arial" w:eastAsia="Arial" w:hAnsi="Arial"/>
                <w:b/>
                <w:bCs/>
                <w:color w:val="FFFFFF"/>
                <w:sz w:val="19"/>
                <w:szCs w:val="19"/>
              </w:rPr>
              <w:t xml:space="preserve">Potential impact</w:t>
            </w:r>
          </w:p>
        </w:tc>
        <w:tc>
          <w:tcPr>
            <w:tcW w:type="dxa" w:w="3706"/>
            <w:tcBorders>
              <w:top w:val="single" w:color="BFC7D5" w:sz="4"/>
              <w:left w:val="single" w:color="BFC7D5" w:sz="4"/>
              <w:bottom w:val="single" w:color="BFC7D5" w:sz="4"/>
              <w:right w:val="single" w:color="BFC7D5" w:sz="4"/>
            </w:tcBorders>
            <w:shd w:fill="1F3A6E" w:color="auto" w:val="clear"/>
            <w:tcMar>
              <w:top w:type="dxa" w:w="70"/>
              <w:left w:type="dxa" w:w="110"/>
              <w:bottom w:type="dxa" w:w="70"/>
              <w:right w:type="dxa" w:w="110"/>
            </w:tcMar>
            <w:vAlign w:val="top"/>
          </w:tcPr>
          <w:p>
            <w:pPr>
              <w:spacing w:after="50" w:line="260"/>
            </w:pPr>
            <w:r>
              <w:rPr>
                <w:rFonts w:ascii="Arial" w:cs="Arial" w:eastAsia="Arial" w:hAnsi="Arial"/>
                <w:b/>
                <w:bCs/>
                <w:color w:val="FFFFFF"/>
                <w:sz w:val="19"/>
                <w:szCs w:val="19"/>
              </w:rPr>
              <w:t xml:space="preserve">Business consequence</w:t>
            </w:r>
          </w:p>
        </w:tc>
      </w:tr>
      <w:tr>
        <w:trPr>
          <w:cantSplit/>
        </w:trPr>
        <w:tc>
          <w:tcPr>
            <w:tcW w:type="dxa" w:w="25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Operations</w:t>
            </w:r>
          </w:p>
        </w:tc>
        <w:tc>
          <w:tcPr>
            <w:tcW w:type="dxa" w:w="37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Ransomware or a network outbreak locks or disables computers and servers.</w:t>
            </w:r>
          </w:p>
        </w:tc>
        <w:tc>
          <w:tcPr>
            <w:tcW w:type="dxa" w:w="37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Work stops until systems are rebuilt. Recovery costs and possible ransom demand.</w:t>
            </w:r>
          </w:p>
        </w:tc>
      </w:tr>
      <w:tr>
        <w:trPr>
          <w:cantSplit/>
        </w:trPr>
        <w:tc>
          <w:tcPr>
            <w:tcW w:type="dxa" w:w="25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Data confidentiality</w:t>
            </w:r>
          </w:p>
        </w:tc>
        <w:tc>
          <w:tcPr>
            <w:tcW w:type="dxa" w:w="37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Credentials and files are intercepted or relayed across the network. Databases are reached from a compromised host.</w:t>
            </w:r>
          </w:p>
        </w:tc>
        <w:tc>
          <w:tcPr>
            <w:tcW w:type="dxa" w:w="37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Loss of company and customer information. Legal and contractual exposure.</w:t>
            </w:r>
          </w:p>
        </w:tc>
      </w:tr>
      <w:tr>
        <w:trPr>
          <w:cantSplit/>
        </w:trPr>
        <w:tc>
          <w:tcPr>
            <w:tcW w:type="dxa" w:w="25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Physical security</w:t>
            </w:r>
          </w:p>
        </w:tc>
        <w:tc>
          <w:tcPr>
            <w:tcW w:type="dxa" w:w="37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CCTV devices are accessed without authentication. Recordings are viewed or deleted.</w:t>
            </w:r>
          </w:p>
        </w:tc>
        <w:tc>
          <w:tcPr>
            <w:tcW w:type="dxa" w:w="37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Evidence may be unavailable or untrustworthy after an incident.</w:t>
            </w:r>
          </w:p>
        </w:tc>
      </w:tr>
      <w:tr>
        <w:trPr>
          <w:cantSplit/>
        </w:trPr>
        <w:tc>
          <w:tcPr>
            <w:tcW w:type="dxa" w:w="25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Lateral movement</w:t>
            </w:r>
          </w:p>
        </w:tc>
        <w:tc>
          <w:tcPr>
            <w:tcW w:type="dxa" w:w="37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A compromised camera or workstation provides a path to servers because the network is not segmented.</w:t>
            </w:r>
          </w:p>
        </w:tc>
        <w:tc>
          <w:tcPr>
            <w:tcW w:type="dxa" w:w="37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A single weak device becomes a company-wide incident.</w:t>
            </w:r>
          </w:p>
        </w:tc>
      </w:tr>
      <w:tr>
        <w:trPr>
          <w:cantSplit/>
        </w:trPr>
        <w:tc>
          <w:tcPr>
            <w:tcW w:type="dxa" w:w="25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Detection and response</w:t>
            </w:r>
          </w:p>
        </w:tc>
        <w:tc>
          <w:tcPr>
            <w:tcW w:type="dxa" w:w="37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No EDR or XDR and no routine scanning. Devices are unlabelled.</w:t>
            </w:r>
          </w:p>
        </w:tc>
        <w:tc>
          <w:tcPr>
            <w:tcW w:type="dxa" w:w="37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Intrusions remain unnoticed for longer. Recovery is slower and more costly.</w:t>
            </w:r>
          </w:p>
        </w:tc>
      </w:tr>
      <w:tr>
        <w:trPr>
          <w:cantSplit/>
        </w:trPr>
        <w:tc>
          <w:tcPr>
            <w:tcW w:type="dxa" w:w="25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Compliance and reputation</w:t>
            </w:r>
          </w:p>
        </w:tc>
        <w:tc>
          <w:tcPr>
            <w:tcW w:type="dxa" w:w="37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752 open findings and no periodic assessment.</w:t>
            </w:r>
          </w:p>
        </w:tc>
        <w:tc>
          <w:tcPr>
            <w:tcW w:type="dxa" w:w="37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Reduced customer and auditor confidence.</w:t>
            </w:r>
          </w:p>
        </w:tc>
      </w:tr>
    </w:tbl>
    <w:p>
      <w:pPr>
        <w:pStyle w:val="Heading1"/>
        <w:keepNext/>
        <w:pBdr>
          <w:bottom w:val="single" w:color="1F3A6E" w:sz="8" w:space="4"/>
        </w:pBdr>
        <w:spacing w:after="140" w:before="360"/>
      </w:pPr>
      <w:r>
        <w:rPr>
          <w:rFonts w:ascii="Arial" w:cs="Arial" w:eastAsia="Arial" w:hAnsi="Arial"/>
          <w:b/>
          <w:bCs/>
          <w:color w:val="1F3A6E"/>
          <w:sz w:val="30"/>
          <w:szCs w:val="30"/>
        </w:rPr>
        <w:t xml:space="preserve">4. Network vulnerabilities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rPr>
          <w:cantSplit/>
        </w:trPr>
        <w:tc>
          <w:tcPr>
            <w:tcW w:type="dxa" w:w="9906"/>
            <w:gridSpan w:val="2"/>
            <w:tcBorders>
              <w:top w:val="single" w:color="BFC7D5" w:sz="4"/>
              <w:left w:val="single" w:color="BFC7D5" w:sz="4"/>
              <w:bottom w:val="single" w:color="BFC7D5" w:sz="4"/>
              <w:right w:val="single" w:color="BFC7D5" w:sz="4"/>
            </w:tcBorders>
            <w:shd w:fill="FBE5E5" w:color="auto" w:val="clear"/>
            <w:tcMar>
              <w:top w:type="dxa" w:w="70"/>
              <w:left w:type="dxa" w:w="110"/>
              <w:bottom w:type="dxa" w:w="70"/>
              <w:right w:type="dxa" w:w="110"/>
            </w:tcMar>
            <w:vAlign w:val="top"/>
          </w:tcPr>
          <w:p>
            <w:pPr>
              <w:spacing w:after="50" w:line="260"/>
            </w:pPr>
            <w:r>
              <w:rPr>
                <w:rFonts w:ascii="Arial" w:cs="Arial" w:eastAsia="Arial" w:hAnsi="Arial"/>
                <w:b/>
                <w:bCs/>
                <w:sz w:val="21"/>
                <w:szCs w:val="21"/>
              </w:rPr>
              <w:t xml:space="preserve">4.1 Remotely exploitable network services   |   CRITICAL / HIGH</w:t>
            </w:r>
          </w:p>
        </w:tc>
      </w:tr>
      <w:tr>
        <w:trPr>
          <w:cantSplit/>
        </w:trPr>
        <w:tc>
          <w:tcPr>
            <w:tcW w:type="dxa" w:w="17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What we found</w:t>
            </w:r>
          </w:p>
        </w:tc>
        <w:tc>
          <w:tcPr>
            <w:tcW w:type="dxa" w:w="82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Known remote attacks apply to services on a small number of hosts. EternalBlue (MS17-010) on up to 5 hosts. BlueKeep remote desktop (CVE-2019-0708) on 1. MSMQ QueueJumper (CVE-2023-21554) on 1. SMBv1 on 1. HTTP.sys on 2. Print Spooler on 3. Older remote desktop flaws on up to 5.</w:t>
            </w:r>
          </w:p>
        </w:tc>
      </w:tr>
      <w:tr>
        <w:trPr>
          <w:cantSplit/>
        </w:trPr>
        <w:tc>
          <w:tcPr>
            <w:tcW w:type="dxa" w:w="17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Why it matters</w:t>
            </w:r>
          </w:p>
        </w:tc>
        <w:tc>
          <w:tcPr>
            <w:tcW w:type="dxa" w:w="82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Malware or an attacker can take over these hosts over the network without user action and spread to others. WannaCry and Petya spread through the same weaknesses.</w:t>
            </w:r>
          </w:p>
        </w:tc>
      </w:tr>
      <w:tr>
        <w:trPr>
          <w:cantSplit/>
        </w:trPr>
        <w:tc>
          <w:tcPr>
            <w:tcW w:type="dxa" w:w="17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How to fix it</w:t>
            </w:r>
          </w:p>
        </w:tc>
        <w:tc>
          <w:tcPr>
            <w:tcW w:type="dxa" w:w="82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Patch or isolate the affected hosts within 24 to 72 hours. Disable SMBv1. Block remote desktop and file sharing ports from user networks and untrusted segments.</w:t>
            </w:r>
          </w:p>
        </w:tc>
      </w:tr>
    </w:tbl>
    <w:p>
      <w:pPr>
        <w:spacing w:after="8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rPr>
          <w:cantSplit/>
        </w:trPr>
        <w:tc>
          <w:tcPr>
            <w:tcW w:type="dxa" w:w="9906"/>
            <w:gridSpan w:val="2"/>
            <w:tcBorders>
              <w:top w:val="single" w:color="BFC7D5" w:sz="4"/>
              <w:left w:val="single" w:color="BFC7D5" w:sz="4"/>
              <w:bottom w:val="single" w:color="BFC7D5" w:sz="4"/>
              <w:right w:val="single" w:color="BFC7D5" w:sz="4"/>
            </w:tcBorders>
            <w:shd w:fill="FDEBDD" w:color="auto" w:val="clear"/>
            <w:tcMar>
              <w:top w:type="dxa" w:w="70"/>
              <w:left w:type="dxa" w:w="110"/>
              <w:bottom w:type="dxa" w:w="70"/>
              <w:right w:type="dxa" w:w="110"/>
            </w:tcMar>
            <w:vAlign w:val="top"/>
          </w:tcPr>
          <w:p>
            <w:pPr>
              <w:spacing w:after="50" w:line="260"/>
            </w:pPr>
            <w:r>
              <w:rPr>
                <w:rFonts w:ascii="Arial" w:cs="Arial" w:eastAsia="Arial" w:hAnsi="Arial"/>
                <w:b/>
                <w:bCs/>
                <w:sz w:val="21"/>
                <w:szCs w:val="21"/>
              </w:rPr>
              <w:t xml:space="preserve">4.2 SMB signing not required   |   HIGH</w:t>
            </w:r>
          </w:p>
        </w:tc>
      </w:tr>
      <w:tr>
        <w:trPr>
          <w:cantSplit/>
        </w:trPr>
        <w:tc>
          <w:tcPr>
            <w:tcW w:type="dxa" w:w="17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What we found</w:t>
            </w:r>
          </w:p>
        </w:tc>
        <w:tc>
          <w:tcPr>
            <w:tcW w:type="dxa" w:w="82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File sharing does not require signed messages on 262 hosts.</w:t>
            </w:r>
          </w:p>
        </w:tc>
      </w:tr>
      <w:tr>
        <w:trPr>
          <w:cantSplit/>
        </w:trPr>
        <w:tc>
          <w:tcPr>
            <w:tcW w:type="dxa" w:w="17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Why it matters</w:t>
            </w:r>
          </w:p>
        </w:tc>
        <w:tc>
          <w:tcPr>
            <w:tcW w:type="dxa" w:w="82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An attacker on the network can intercept and relay logins (NTLM relay) and reach file shares and servers as a legitimate user and possibly as an administrator.</w:t>
            </w:r>
          </w:p>
        </w:tc>
      </w:tr>
      <w:tr>
        <w:trPr>
          <w:cantSplit/>
        </w:trPr>
        <w:tc>
          <w:tcPr>
            <w:tcW w:type="dxa" w:w="17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How to fix it</w:t>
            </w:r>
          </w:p>
        </w:tc>
        <w:tc>
          <w:tcPr>
            <w:tcW w:type="dxa" w:w="82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Require SMB signing on all hosts through Group Policy. Disable NTLM where possible. Restrict which hosts can connect to each other.</w:t>
            </w:r>
          </w:p>
        </w:tc>
      </w:tr>
    </w:tbl>
    <w:p>
      <w:pPr>
        <w:spacing w:after="8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rPr>
          <w:cantSplit/>
        </w:trPr>
        <w:tc>
          <w:tcPr>
            <w:tcW w:type="dxa" w:w="9906"/>
            <w:gridSpan w:val="2"/>
            <w:tcBorders>
              <w:top w:val="single" w:color="BFC7D5" w:sz="4"/>
              <w:left w:val="single" w:color="BFC7D5" w:sz="4"/>
              <w:bottom w:val="single" w:color="BFC7D5" w:sz="4"/>
              <w:right w:val="single" w:color="BFC7D5" w:sz="4"/>
            </w:tcBorders>
            <w:shd w:fill="FFF4CC" w:color="auto" w:val="clear"/>
            <w:tcMar>
              <w:top w:type="dxa" w:w="70"/>
              <w:left w:type="dxa" w:w="110"/>
              <w:bottom w:type="dxa" w:w="70"/>
              <w:right w:type="dxa" w:w="110"/>
            </w:tcMar>
            <w:vAlign w:val="top"/>
          </w:tcPr>
          <w:p>
            <w:pPr>
              <w:spacing w:after="50" w:line="260"/>
            </w:pPr>
            <w:r>
              <w:rPr>
                <w:rFonts w:ascii="Arial" w:cs="Arial" w:eastAsia="Arial" w:hAnsi="Arial"/>
                <w:b/>
                <w:bCs/>
                <w:sz w:val="21"/>
                <w:szCs w:val="21"/>
              </w:rPr>
              <w:t xml:space="preserve">4.3 Remote desktop weaknesses   |   HIGH / MEDIUM</w:t>
            </w:r>
          </w:p>
        </w:tc>
      </w:tr>
      <w:tr>
        <w:trPr>
          <w:cantSplit/>
        </w:trPr>
        <w:tc>
          <w:tcPr>
            <w:tcW w:type="dxa" w:w="17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What we found</w:t>
            </w:r>
          </w:p>
        </w:tc>
        <w:tc>
          <w:tcPr>
            <w:tcW w:type="dxa" w:w="82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Network Level Authentication is not enforced on 8 hosts. A man-in-the-middle weakness is present on 1. A low or medium encryption level is configured on 1.</w:t>
            </w:r>
          </w:p>
        </w:tc>
      </w:tr>
      <w:tr>
        <w:trPr>
          <w:cantSplit/>
        </w:trPr>
        <w:tc>
          <w:tcPr>
            <w:tcW w:type="dxa" w:w="17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Why it matters</w:t>
            </w:r>
          </w:p>
        </w:tc>
        <w:tc>
          <w:tcPr>
            <w:tcW w:type="dxa" w:w="82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Credentials can be attacked or captured by anyone who can reach the service. Weak remote desktop is a common ransomware entry point.</w:t>
            </w:r>
          </w:p>
        </w:tc>
      </w:tr>
      <w:tr>
        <w:trPr>
          <w:cantSplit/>
        </w:trPr>
        <w:tc>
          <w:tcPr>
            <w:tcW w:type="dxa" w:w="17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How to fix it</w:t>
            </w:r>
          </w:p>
        </w:tc>
        <w:tc>
          <w:tcPr>
            <w:tcW w:type="dxa" w:w="82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Enforce NLA and a high encryption level. Allow remote desktop only through a VPN or gateway from approved addresses. Enable account lockout.</w:t>
            </w:r>
          </w:p>
        </w:tc>
      </w:tr>
    </w:tbl>
    <w:p>
      <w:pPr>
        <w:spacing w:after="8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rPr>
          <w:cantSplit/>
        </w:trPr>
        <w:tc>
          <w:tcPr>
            <w:tcW w:type="dxa" w:w="9906"/>
            <w:gridSpan w:val="2"/>
            <w:tcBorders>
              <w:top w:val="single" w:color="BFC7D5" w:sz="4"/>
              <w:left w:val="single" w:color="BFC7D5" w:sz="4"/>
              <w:bottom w:val="single" w:color="BFC7D5" w:sz="4"/>
              <w:right w:val="single" w:color="BFC7D5" w:sz="4"/>
            </w:tcBorders>
            <w:shd w:fill="FFF4CC" w:color="auto" w:val="clear"/>
            <w:tcMar>
              <w:top w:type="dxa" w:w="70"/>
              <w:left w:type="dxa" w:w="110"/>
              <w:bottom w:type="dxa" w:w="70"/>
              <w:right w:type="dxa" w:w="110"/>
            </w:tcMar>
            <w:vAlign w:val="top"/>
          </w:tcPr>
          <w:p>
            <w:pPr>
              <w:spacing w:after="50" w:line="260"/>
            </w:pPr>
            <w:r>
              <w:rPr>
                <w:rFonts w:ascii="Arial" w:cs="Arial" w:eastAsia="Arial" w:hAnsi="Arial"/>
                <w:b/>
                <w:bCs/>
                <w:sz w:val="21"/>
                <w:szCs w:val="21"/>
              </w:rPr>
              <w:t xml:space="preserve">4.4 Clear-text and legacy authentication   |   MEDIUM</w:t>
            </w:r>
          </w:p>
        </w:tc>
      </w:tr>
      <w:tr>
        <w:trPr>
          <w:cantSplit/>
        </w:trPr>
        <w:tc>
          <w:tcPr>
            <w:tcW w:type="dxa" w:w="17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What we found</w:t>
            </w:r>
          </w:p>
        </w:tc>
        <w:tc>
          <w:tcPr>
            <w:tcW w:type="dxa" w:w="82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Telnet is enabled on 2 hosts. NTLMv1 is enabled on 1. HTTP TRACE and TRACK are allowed on 4 web servers.</w:t>
            </w:r>
          </w:p>
        </w:tc>
      </w:tr>
      <w:tr>
        <w:trPr>
          <w:cantSplit/>
        </w:trPr>
        <w:tc>
          <w:tcPr>
            <w:tcW w:type="dxa" w:w="17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Why it matters</w:t>
            </w:r>
          </w:p>
        </w:tc>
        <w:tc>
          <w:tcPr>
            <w:tcW w:type="dxa" w:w="82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Passwords and commands travel as readable text and can be captured. NTLMv1 hashes can be cracked quickly. TRACE can assist session theft.</w:t>
            </w:r>
          </w:p>
        </w:tc>
      </w:tr>
      <w:tr>
        <w:trPr>
          <w:cantSplit/>
        </w:trPr>
        <w:tc>
          <w:tcPr>
            <w:tcW w:type="dxa" w:w="17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How to fix it</w:t>
            </w:r>
          </w:p>
        </w:tc>
        <w:tc>
          <w:tcPr>
            <w:tcW w:type="dxa" w:w="82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Disable Telnet and use SSH. Allow NTLMv2 or Kerberos only. Disable HTTP TRACE and TRACK.</w:t>
            </w:r>
          </w:p>
        </w:tc>
      </w:tr>
    </w:tbl>
    <w:p>
      <w:pPr>
        <w:spacing w:after="8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rPr>
          <w:cantSplit/>
        </w:trPr>
        <w:tc>
          <w:tcPr>
            <w:tcW w:type="dxa" w:w="9906"/>
            <w:gridSpan w:val="2"/>
            <w:tcBorders>
              <w:top w:val="single" w:color="BFC7D5" w:sz="4"/>
              <w:left w:val="single" w:color="BFC7D5" w:sz="4"/>
              <w:bottom w:val="single" w:color="BFC7D5" w:sz="4"/>
              <w:right w:val="single" w:color="BFC7D5" w:sz="4"/>
            </w:tcBorders>
            <w:shd w:fill="FDEBDD" w:color="auto" w:val="clear"/>
            <w:tcMar>
              <w:top w:type="dxa" w:w="70"/>
              <w:left w:type="dxa" w:w="110"/>
              <w:bottom w:type="dxa" w:w="70"/>
              <w:right w:type="dxa" w:w="110"/>
            </w:tcMar>
            <w:vAlign w:val="top"/>
          </w:tcPr>
          <w:p>
            <w:pPr>
              <w:spacing w:after="50" w:line="260"/>
            </w:pPr>
            <w:r>
              <w:rPr>
                <w:rFonts w:ascii="Arial" w:cs="Arial" w:eastAsia="Arial" w:hAnsi="Arial"/>
                <w:b/>
                <w:bCs/>
                <w:sz w:val="21"/>
                <w:szCs w:val="21"/>
              </w:rPr>
              <w:t xml:space="preserve">4.5 Weak encryption on network services   |   HIGH / MEDIUM</w:t>
            </w:r>
          </w:p>
        </w:tc>
      </w:tr>
      <w:tr>
        <w:trPr>
          <w:cantSplit/>
        </w:trPr>
        <w:tc>
          <w:tcPr>
            <w:tcW w:type="dxa" w:w="17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What we found</w:t>
            </w:r>
          </w:p>
        </w:tc>
        <w:tc>
          <w:tcPr>
            <w:tcW w:type="dxa" w:w="82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TLS 1.0 and 1.1 are allowed on 40 hosts. SWEET32 ciphers on 21. Certificates signed with a weak hash on 4. RC4 on 2. SSL 2 and 3 on 2.</w:t>
            </w:r>
          </w:p>
        </w:tc>
      </w:tr>
      <w:tr>
        <w:trPr>
          <w:cantSplit/>
        </w:trPr>
        <w:tc>
          <w:tcPr>
            <w:tcW w:type="dxa" w:w="17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Why it matters</w:t>
            </w:r>
          </w:p>
        </w:tc>
        <w:tc>
          <w:tcPr>
            <w:tcW w:type="dxa" w:w="82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Captured traffic could be read or altered. A forged certificate could let an attacker impersonate a service.</w:t>
            </w:r>
          </w:p>
        </w:tc>
      </w:tr>
      <w:tr>
        <w:trPr>
          <w:cantSplit/>
        </w:trPr>
        <w:tc>
          <w:tcPr>
            <w:tcW w:type="dxa" w:w="17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How to fix it</w:t>
            </w:r>
          </w:p>
        </w:tc>
        <w:tc>
          <w:tcPr>
            <w:tcW w:type="dxa" w:w="82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Allow TLS 1.2 or higher only. Remove 3DES and RC4 ciphers. Reissue certificates with SHA-256 and RSA 2048 or higher.</w:t>
            </w:r>
          </w:p>
        </w:tc>
      </w:tr>
    </w:tbl>
    <w:p>
      <w:pPr>
        <w:spacing w:after="8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rPr>
          <w:cantSplit/>
        </w:trPr>
        <w:tc>
          <w:tcPr>
            <w:tcW w:type="dxa" w:w="9906"/>
            <w:gridSpan w:val="2"/>
            <w:tcBorders>
              <w:top w:val="single" w:color="BFC7D5" w:sz="4"/>
              <w:left w:val="single" w:color="BFC7D5" w:sz="4"/>
              <w:bottom w:val="single" w:color="BFC7D5" w:sz="4"/>
              <w:right w:val="single" w:color="BFC7D5" w:sz="4"/>
            </w:tcBorders>
            <w:shd w:fill="FDEBDD" w:color="auto" w:val="clear"/>
            <w:tcMar>
              <w:top w:type="dxa" w:w="70"/>
              <w:left w:type="dxa" w:w="110"/>
              <w:bottom w:type="dxa" w:w="70"/>
              <w:right w:type="dxa" w:w="110"/>
            </w:tcMar>
            <w:vAlign w:val="top"/>
          </w:tcPr>
          <w:p>
            <w:pPr>
              <w:spacing w:after="50" w:line="260"/>
            </w:pPr>
            <w:r>
              <w:rPr>
                <w:rFonts w:ascii="Arial" w:cs="Arial" w:eastAsia="Arial" w:hAnsi="Arial"/>
                <w:b/>
                <w:bCs/>
                <w:sz w:val="21"/>
                <w:szCs w:val="21"/>
              </w:rPr>
              <w:t xml:space="preserve">4.6 Unrestricted and unsegmented network   |   HIGH</w:t>
            </w:r>
          </w:p>
        </w:tc>
      </w:tr>
      <w:tr>
        <w:trPr>
          <w:cantSplit/>
        </w:trPr>
        <w:tc>
          <w:tcPr>
            <w:tcW w:type="dxa" w:w="17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What we found</w:t>
            </w:r>
          </w:p>
        </w:tc>
        <w:tc>
          <w:tcPr>
            <w:tcW w:type="dxa" w:w="82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Internet access is unrestricted where it must be blocked. Any user can change a locally set IP address to bypass restrictions. The certificate requires internal segmentation and CCTV network isolation.</w:t>
            </w:r>
          </w:p>
        </w:tc>
      </w:tr>
      <w:tr>
        <w:trPr>
          <w:cantSplit/>
        </w:trPr>
        <w:tc>
          <w:tcPr>
            <w:tcW w:type="dxa" w:w="17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Why it matters</w:t>
            </w:r>
          </w:p>
        </w:tc>
        <w:tc>
          <w:tcPr>
            <w:tcW w:type="dxa" w:w="82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An attacker on one device can reach others. Controls tied to IP addresses can be bypassed. Data can leave the network freely.</w:t>
            </w:r>
          </w:p>
        </w:tc>
      </w:tr>
      <w:tr>
        <w:trPr>
          <w:cantSplit/>
        </w:trPr>
        <w:tc>
          <w:tcPr>
            <w:tcW w:type="dxa" w:w="17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How to fix it</w:t>
            </w:r>
          </w:p>
        </w:tc>
        <w:tc>
          <w:tcPr>
            <w:tcW w:type="dxa" w:w="82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Deploy a next-generation firewall with internal segmentation. Isolate CCTV and server networks. Allow only approved ports and services. Assign IP addresses by DHCP reservation with IP and MAC binding. Block unnecessary internet access.</w:t>
            </w:r>
          </w:p>
        </w:tc>
      </w:tr>
    </w:tbl>
    <w:p>
      <w:pPr>
        <w:spacing w:after="80"/>
      </w:pPr>
    </w:p>
    <w:p>
      <w:pPr>
        <w:pStyle w:val="Heading1"/>
        <w:keepNext/>
        <w:pBdr>
          <w:bottom w:val="single" w:color="1F3A6E" w:sz="8" w:space="4"/>
        </w:pBdr>
        <w:spacing w:after="140" w:before="360"/>
      </w:pPr>
      <w:r>
        <w:rPr>
          <w:rFonts w:ascii="Arial" w:cs="Arial" w:eastAsia="Arial" w:hAnsi="Arial"/>
          <w:b/>
          <w:bCs/>
          <w:color w:val="1F3A6E"/>
          <w:sz w:val="30"/>
          <w:szCs w:val="30"/>
        </w:rPr>
        <w:t xml:space="preserve">5. CCTV vulnerabilities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50"/>
        <w:gridCol w:w="2500"/>
        <w:gridCol w:w="2600"/>
        <w:gridCol w:w="3056"/>
      </w:tblGrid>
      <w:tr>
        <w:trPr>
          <w:cantSplit/>
          <w:tblHeader/>
        </w:trPr>
        <w:tc>
          <w:tcPr>
            <w:tcW w:type="dxa" w:w="1750"/>
            <w:tcBorders>
              <w:top w:val="single" w:color="BFC7D5" w:sz="4"/>
              <w:left w:val="single" w:color="BFC7D5" w:sz="4"/>
              <w:bottom w:val="single" w:color="BFC7D5" w:sz="4"/>
              <w:right w:val="single" w:color="BFC7D5" w:sz="4"/>
            </w:tcBorders>
            <w:shd w:fill="1F3A6E" w:color="auto" w:val="clear"/>
            <w:tcMar>
              <w:top w:type="dxa" w:w="70"/>
              <w:left w:type="dxa" w:w="110"/>
              <w:bottom w:type="dxa" w:w="70"/>
              <w:right w:type="dxa" w:w="110"/>
            </w:tcMar>
            <w:vAlign w:val="top"/>
          </w:tcPr>
          <w:p>
            <w:pPr>
              <w:spacing w:after="50" w:line="260"/>
            </w:pPr>
            <w:r>
              <w:rPr>
                <w:rFonts w:ascii="Arial" w:cs="Arial" w:eastAsia="Arial" w:hAnsi="Arial"/>
                <w:b/>
                <w:bCs/>
                <w:color w:val="FFFFFF"/>
                <w:sz w:val="19"/>
                <w:szCs w:val="19"/>
              </w:rPr>
              <w:t xml:space="preserve">Finding</w:t>
            </w:r>
          </w:p>
        </w:tc>
        <w:tc>
          <w:tcPr>
            <w:tcW w:type="dxa" w:w="2500"/>
            <w:tcBorders>
              <w:top w:val="single" w:color="BFC7D5" w:sz="4"/>
              <w:left w:val="single" w:color="BFC7D5" w:sz="4"/>
              <w:bottom w:val="single" w:color="BFC7D5" w:sz="4"/>
              <w:right w:val="single" w:color="BFC7D5" w:sz="4"/>
            </w:tcBorders>
            <w:shd w:fill="1F3A6E" w:color="auto" w:val="clear"/>
            <w:tcMar>
              <w:top w:type="dxa" w:w="70"/>
              <w:left w:type="dxa" w:w="110"/>
              <w:bottom w:type="dxa" w:w="70"/>
              <w:right w:type="dxa" w:w="110"/>
            </w:tcMar>
            <w:vAlign w:val="top"/>
          </w:tcPr>
          <w:p>
            <w:pPr>
              <w:spacing w:after="50" w:line="260"/>
            </w:pPr>
            <w:r>
              <w:rPr>
                <w:rFonts w:ascii="Arial" w:cs="Arial" w:eastAsia="Arial" w:hAnsi="Arial"/>
                <w:b/>
                <w:bCs/>
                <w:color w:val="FFFFFF"/>
                <w:sz w:val="19"/>
                <w:szCs w:val="19"/>
              </w:rPr>
              <w:t xml:space="preserve">Issue</w:t>
            </w:r>
          </w:p>
        </w:tc>
        <w:tc>
          <w:tcPr>
            <w:tcW w:type="dxa" w:w="2600"/>
            <w:tcBorders>
              <w:top w:val="single" w:color="BFC7D5" w:sz="4"/>
              <w:left w:val="single" w:color="BFC7D5" w:sz="4"/>
              <w:bottom w:val="single" w:color="BFC7D5" w:sz="4"/>
              <w:right w:val="single" w:color="BFC7D5" w:sz="4"/>
            </w:tcBorders>
            <w:shd w:fill="1F3A6E" w:color="auto" w:val="clear"/>
            <w:tcMar>
              <w:top w:type="dxa" w:w="70"/>
              <w:left w:type="dxa" w:w="110"/>
              <w:bottom w:type="dxa" w:w="70"/>
              <w:right w:type="dxa" w:w="110"/>
            </w:tcMar>
            <w:vAlign w:val="top"/>
          </w:tcPr>
          <w:p>
            <w:pPr>
              <w:spacing w:after="50" w:line="260"/>
            </w:pPr>
            <w:r>
              <w:rPr>
                <w:rFonts w:ascii="Arial" w:cs="Arial" w:eastAsia="Arial" w:hAnsi="Arial"/>
                <w:b/>
                <w:bCs/>
                <w:color w:val="FFFFFF"/>
                <w:sz w:val="19"/>
                <w:szCs w:val="19"/>
              </w:rPr>
              <w:t xml:space="preserve">Impact</w:t>
            </w:r>
          </w:p>
        </w:tc>
        <w:tc>
          <w:tcPr>
            <w:tcW w:type="dxa" w:w="3056"/>
            <w:tcBorders>
              <w:top w:val="single" w:color="BFC7D5" w:sz="4"/>
              <w:left w:val="single" w:color="BFC7D5" w:sz="4"/>
              <w:bottom w:val="single" w:color="BFC7D5" w:sz="4"/>
              <w:right w:val="single" w:color="BFC7D5" w:sz="4"/>
            </w:tcBorders>
            <w:shd w:fill="1F3A6E" w:color="auto" w:val="clear"/>
            <w:tcMar>
              <w:top w:type="dxa" w:w="70"/>
              <w:left w:type="dxa" w:w="110"/>
              <w:bottom w:type="dxa" w:w="70"/>
              <w:right w:type="dxa" w:w="110"/>
            </w:tcMar>
            <w:vAlign w:val="top"/>
          </w:tcPr>
          <w:p>
            <w:pPr>
              <w:spacing w:after="50" w:line="260"/>
            </w:pPr>
            <w:r>
              <w:rPr>
                <w:rFonts w:ascii="Arial" w:cs="Arial" w:eastAsia="Arial" w:hAnsi="Arial"/>
                <w:b/>
                <w:bCs/>
                <w:color w:val="FFFFFF"/>
                <w:sz w:val="19"/>
                <w:szCs w:val="19"/>
              </w:rPr>
              <w:t xml:space="preserve">Mitigation</w:t>
            </w:r>
          </w:p>
        </w:tc>
      </w:tr>
      <w:tr>
        <w:trPr>
          <w:cantSplit/>
        </w:trPr>
        <w:tc>
          <w:tcPr>
            <w:tcW w:type="dxa" w:w="1750"/>
            <w:tcBorders>
              <w:top w:val="single" w:color="BFC7D5" w:sz="4"/>
              <w:left w:val="single" w:color="BFC7D5" w:sz="4"/>
              <w:bottom w:val="single" w:color="BFC7D5" w:sz="4"/>
              <w:right w:val="single" w:color="BFC7D5" w:sz="4"/>
            </w:tcBorders>
            <w:shd w:fill="FBE5E5"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Critical</w:t>
            </w:r>
          </w:p>
          <w:p>
            <w:pPr>
              <w:spacing w:after="50" w:line="260"/>
            </w:pPr>
            <w:r>
              <w:rPr>
                <w:rFonts w:ascii="Arial" w:cs="Arial" w:eastAsia="Arial" w:hAnsi="Arial"/>
                <w:sz w:val="19"/>
                <w:szCs w:val="19"/>
              </w:rPr>
              <w:t xml:space="preserve">192.168.11.100</w:t>
            </w:r>
          </w:p>
        </w:tc>
        <w:tc>
          <w:tcPr>
            <w:tcW w:type="dxa" w:w="25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Ollama AI service is open on the network without authentication.</w:t>
            </w:r>
          </w:p>
        </w:tc>
        <w:tc>
          <w:tcPr>
            <w:tcW w:type="dxa" w:w="26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Anyone on the network can use the service or use it to move further in.</w:t>
            </w:r>
          </w:p>
        </w:tc>
        <w:tc>
          <w:tcPr>
            <w:tcW w:type="dxa" w:w="305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Add authentication or place it behind a protected gateway. Restrict access to approved addresses.</w:t>
            </w:r>
          </w:p>
        </w:tc>
      </w:tr>
      <w:tr>
        <w:trPr>
          <w:cantSplit/>
        </w:trPr>
        <w:tc>
          <w:tcPr>
            <w:tcW w:type="dxa" w:w="1750"/>
            <w:tcBorders>
              <w:top w:val="single" w:color="BFC7D5" w:sz="4"/>
              <w:left w:val="single" w:color="BFC7D5" w:sz="4"/>
              <w:bottom w:val="single" w:color="BFC7D5" w:sz="4"/>
              <w:right w:val="single" w:color="BFC7D5" w:sz="4"/>
            </w:tcBorders>
            <w:shd w:fill="FBE5E5"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Critical</w:t>
            </w:r>
          </w:p>
          <w:p>
            <w:pPr>
              <w:spacing w:after="50" w:line="260"/>
            </w:pPr>
            <w:r>
              <w:rPr>
                <w:rFonts w:ascii="Arial" w:cs="Arial" w:eastAsia="Arial" w:hAnsi="Arial"/>
                <w:sz w:val="19"/>
                <w:szCs w:val="19"/>
              </w:rPr>
              <w:t xml:space="preserve">192.168.1.101</w:t>
            </w:r>
          </w:p>
        </w:tc>
        <w:tc>
          <w:tcPr>
            <w:tcW w:type="dxa" w:w="25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SSL versions 2 and 3 are enabled.</w:t>
            </w:r>
          </w:p>
        </w:tc>
        <w:tc>
          <w:tcPr>
            <w:tcW w:type="dxa" w:w="26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Traffic such as camera feeds and logins can be read or altered.</w:t>
            </w:r>
          </w:p>
        </w:tc>
        <w:tc>
          <w:tcPr>
            <w:tcW w:type="dxa" w:w="305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Disable SSL 2 and 3. Allow TLS 1.2 or higher only.</w:t>
            </w:r>
          </w:p>
        </w:tc>
      </w:tr>
      <w:tr>
        <w:trPr>
          <w:cantSplit/>
        </w:trPr>
        <w:tc>
          <w:tcPr>
            <w:tcW w:type="dxa" w:w="1750"/>
            <w:tcBorders>
              <w:top w:val="single" w:color="BFC7D5" w:sz="4"/>
              <w:left w:val="single" w:color="BFC7D5" w:sz="4"/>
              <w:bottom w:val="single" w:color="BFC7D5" w:sz="4"/>
              <w:right w:val="single" w:color="BFC7D5" w:sz="4"/>
            </w:tcBorders>
            <w:shd w:fill="FBE5E5"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Critical</w:t>
            </w:r>
          </w:p>
          <w:p>
            <w:pPr>
              <w:spacing w:after="50" w:line="260"/>
            </w:pPr>
            <w:r>
              <w:rPr>
                <w:rFonts w:ascii="Arial" w:cs="Arial" w:eastAsia="Arial" w:hAnsi="Arial"/>
                <w:sz w:val="19"/>
                <w:szCs w:val="19"/>
              </w:rPr>
              <w:t xml:space="preserve">192.168.1.8 and 192.168.1.196</w:t>
            </w:r>
          </w:p>
        </w:tc>
        <w:tc>
          <w:tcPr>
            <w:tcW w:type="dxa" w:w="25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Outdated Dropbear and OpenSSH servers (Dropbear before 2016.72 and OpenSSH before 10.5).</w:t>
            </w:r>
          </w:p>
        </w:tc>
        <w:tc>
          <w:tcPr>
            <w:tcW w:type="dxa" w:w="26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Known flaws allow takeover of the device and access to recordings.</w:t>
            </w:r>
          </w:p>
        </w:tc>
        <w:tc>
          <w:tcPr>
            <w:tcW w:type="dxa" w:w="305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Update firmware or replace the unit. Allow SSH only from an administrator network.</w:t>
            </w:r>
          </w:p>
        </w:tc>
      </w:tr>
      <w:tr>
        <w:trPr>
          <w:cantSplit/>
        </w:trPr>
        <w:tc>
          <w:tcPr>
            <w:tcW w:type="dxa" w:w="1750"/>
            <w:tcBorders>
              <w:top w:val="single" w:color="BFC7D5" w:sz="4"/>
              <w:left w:val="single" w:color="BFC7D5" w:sz="4"/>
              <w:bottom w:val="single" w:color="BFC7D5" w:sz="4"/>
              <w:right w:val="single" w:color="BFC7D5" w:sz="4"/>
            </w:tcBorders>
            <w:shd w:fill="FDEBDD"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High</w:t>
            </w:r>
          </w:p>
          <w:p>
            <w:pPr>
              <w:spacing w:after="50" w:line="260"/>
            </w:pPr>
            <w:r>
              <w:rPr>
                <w:rFonts w:ascii="Arial" w:cs="Arial" w:eastAsia="Arial" w:hAnsi="Arial"/>
                <w:sz w:val="19"/>
                <w:szCs w:val="19"/>
              </w:rPr>
              <w:t xml:space="preserve">10 devices</w:t>
            </w:r>
          </w:p>
        </w:tc>
        <w:tc>
          <w:tcPr>
            <w:tcW w:type="dxa" w:w="25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SWEET32 weak ciphers (3DES and 64-bit).</w:t>
            </w:r>
          </w:p>
        </w:tc>
        <w:tc>
          <w:tcPr>
            <w:tcW w:type="dxa" w:w="26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Long sessions can leak parts of encrypted traffic.</w:t>
            </w:r>
          </w:p>
        </w:tc>
        <w:tc>
          <w:tcPr>
            <w:tcW w:type="dxa" w:w="305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Remove 3DES and 64-bit ciphers. Use AES-GCM or ChaCha20-Poly1305.</w:t>
            </w:r>
          </w:p>
        </w:tc>
      </w:tr>
      <w:tr>
        <w:trPr>
          <w:cantSplit/>
        </w:trPr>
        <w:tc>
          <w:tcPr>
            <w:tcW w:type="dxa" w:w="1750"/>
            <w:tcBorders>
              <w:top w:val="single" w:color="BFC7D5" w:sz="4"/>
              <w:left w:val="single" w:color="BFC7D5" w:sz="4"/>
              <w:bottom w:val="single" w:color="BFC7D5" w:sz="4"/>
              <w:right w:val="single" w:color="BFC7D5" w:sz="4"/>
            </w:tcBorders>
            <w:shd w:fill="FFF4CC"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Medium</w:t>
            </w:r>
          </w:p>
          <w:p>
            <w:pPr>
              <w:spacing w:after="50" w:line="260"/>
            </w:pPr>
            <w:r>
              <w:rPr>
                <w:rFonts w:ascii="Arial" w:cs="Arial" w:eastAsia="Arial" w:hAnsi="Arial"/>
                <w:sz w:val="19"/>
                <w:szCs w:val="19"/>
              </w:rPr>
              <w:t xml:space="preserve">5 devices including gateway 192.168.11.1</w:t>
            </w:r>
          </w:p>
        </w:tc>
        <w:tc>
          <w:tcPr>
            <w:tcW w:type="dxa" w:w="25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Telnet is enabled.</w:t>
            </w:r>
          </w:p>
        </w:tc>
        <w:tc>
          <w:tcPr>
            <w:tcW w:type="dxa" w:w="26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Passwords and commands are exposed as clear text. The gateway links many cameras.</w:t>
            </w:r>
          </w:p>
        </w:tc>
        <w:tc>
          <w:tcPr>
            <w:tcW w:type="dxa" w:w="305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Disable Telnet and use SSH.</w:t>
            </w:r>
          </w:p>
        </w:tc>
      </w:tr>
      <w:tr>
        <w:trPr>
          <w:cantSplit/>
        </w:trPr>
        <w:tc>
          <w:tcPr>
            <w:tcW w:type="dxa" w:w="1750"/>
            <w:tcBorders>
              <w:top w:val="single" w:color="BFC7D5" w:sz="4"/>
              <w:left w:val="single" w:color="BFC7D5" w:sz="4"/>
              <w:bottom w:val="single" w:color="BFC7D5" w:sz="4"/>
              <w:right w:val="single" w:color="BFC7D5" w:sz="4"/>
            </w:tcBorders>
            <w:shd w:fill="FFF4CC"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Medium</w:t>
            </w:r>
          </w:p>
          <w:p>
            <w:pPr>
              <w:spacing w:after="50" w:line="260"/>
            </w:pPr>
            <w:r>
              <w:rPr>
                <w:rFonts w:ascii="Arial" w:cs="Arial" w:eastAsia="Arial" w:hAnsi="Arial"/>
                <w:sz w:val="19"/>
                <w:szCs w:val="19"/>
              </w:rPr>
              <w:t xml:space="preserve">About 10 devices</w:t>
            </w:r>
          </w:p>
        </w:tc>
        <w:tc>
          <w:tcPr>
            <w:tcW w:type="dxa" w:w="25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Certificates use SHA-1 and RC4 is allowed.</w:t>
            </w:r>
          </w:p>
        </w:tc>
        <w:tc>
          <w:tcPr>
            <w:tcW w:type="dxa" w:w="26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A forged certificate can impersonate a device. Traffic can be read.</w:t>
            </w:r>
          </w:p>
        </w:tc>
        <w:tc>
          <w:tcPr>
            <w:tcW w:type="dxa" w:w="305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Reissue certificates with SHA-256. Disable RC4.</w:t>
            </w:r>
          </w:p>
        </w:tc>
      </w:tr>
      <w:tr>
        <w:trPr>
          <w:cantSplit/>
        </w:trPr>
        <w:tc>
          <w:tcPr>
            <w:tcW w:type="dxa" w:w="1750"/>
            <w:tcBorders>
              <w:top w:val="single" w:color="BFC7D5" w:sz="4"/>
              <w:left w:val="single" w:color="BFC7D5" w:sz="4"/>
              <w:bottom w:val="single" w:color="BFC7D5" w:sz="4"/>
              <w:right w:val="single" w:color="BFC7D5" w:sz="4"/>
            </w:tcBorders>
            <w:shd w:fill="FFF4CC"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Medium</w:t>
            </w:r>
          </w:p>
          <w:p>
            <w:pPr>
              <w:spacing w:after="50" w:line="260"/>
            </w:pPr>
            <w:r>
              <w:rPr>
                <w:rFonts w:ascii="Arial" w:cs="Arial" w:eastAsia="Arial" w:hAnsi="Arial"/>
                <w:sz w:val="19"/>
                <w:szCs w:val="19"/>
              </w:rPr>
              <w:t xml:space="preserve">2 devices</w:t>
            </w:r>
          </w:p>
        </w:tc>
        <w:tc>
          <w:tcPr>
            <w:tcW w:type="dxa" w:w="25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Certificates have expired (192.168.1.102 and 192.168.1.122).</w:t>
            </w:r>
          </w:p>
        </w:tc>
        <w:tc>
          <w:tcPr>
            <w:tcW w:type="dxa" w:w="26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Devices cannot be properly trusted and impersonation is easier.</w:t>
            </w:r>
          </w:p>
        </w:tc>
        <w:tc>
          <w:tcPr>
            <w:tcW w:type="dxa" w:w="305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Issue and install new certificates.</w:t>
            </w:r>
          </w:p>
        </w:tc>
      </w:tr>
      <w:tr>
        <w:trPr>
          <w:cantSplit/>
        </w:trPr>
        <w:tc>
          <w:tcPr>
            <w:tcW w:type="dxa" w:w="1750"/>
            <w:tcBorders>
              <w:top w:val="single" w:color="BFC7D5" w:sz="4"/>
              <w:left w:val="single" w:color="BFC7D5" w:sz="4"/>
              <w:bottom w:val="single" w:color="BFC7D5" w:sz="4"/>
              <w:right w:val="single" w:color="BFC7D5" w:sz="4"/>
            </w:tcBorders>
            <w:shd w:fill="FFF4CC"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Medium</w:t>
            </w:r>
          </w:p>
          <w:p>
            <w:pPr>
              <w:spacing w:after="50" w:line="260"/>
            </w:pPr>
            <w:r>
              <w:rPr>
                <w:rFonts w:ascii="Arial" w:cs="Arial" w:eastAsia="Arial" w:hAnsi="Arial"/>
                <w:sz w:val="19"/>
                <w:szCs w:val="19"/>
              </w:rPr>
              <w:t xml:space="preserve">About 20 devices</w:t>
            </w:r>
          </w:p>
        </w:tc>
        <w:tc>
          <w:tcPr>
            <w:tcW w:type="dxa" w:w="25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SSH Terrapin weakness (CVE-2023-48795).</w:t>
            </w:r>
          </w:p>
        </w:tc>
        <w:tc>
          <w:tcPr>
            <w:tcW w:type="dxa" w:w="26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An attacker on the network can weaken the SSH connection.</w:t>
            </w:r>
          </w:p>
        </w:tc>
        <w:tc>
          <w:tcPr>
            <w:tcW w:type="dxa" w:w="305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Update SSH software and disable the affected ciphers.</w:t>
            </w:r>
          </w:p>
        </w:tc>
      </w:tr>
      <w:tr>
        <w:trPr>
          <w:cantSplit/>
        </w:trPr>
        <w:tc>
          <w:tcPr>
            <w:tcW w:type="dxa" w:w="1750"/>
            <w:tcBorders>
              <w:top w:val="single" w:color="BFC7D5" w:sz="4"/>
              <w:left w:val="single" w:color="BFC7D5" w:sz="4"/>
              <w:bottom w:val="single" w:color="BFC7D5" w:sz="4"/>
              <w:right w:val="single" w:color="BFC7D5" w:sz="4"/>
            </w:tcBorders>
            <w:shd w:fill="FFF4CC"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Medium</w:t>
            </w:r>
          </w:p>
          <w:p>
            <w:pPr>
              <w:spacing w:after="50" w:line="260"/>
            </w:pPr>
            <w:r>
              <w:rPr>
                <w:rFonts w:ascii="Arial" w:cs="Arial" w:eastAsia="Arial" w:hAnsi="Arial"/>
                <w:sz w:val="19"/>
                <w:szCs w:val="19"/>
              </w:rPr>
              <w:t xml:space="preserve">3 devices</w:t>
            </w:r>
          </w:p>
        </w:tc>
        <w:tc>
          <w:tcPr>
            <w:tcW w:type="dxa" w:w="25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TLS 1.0 and 1.1 are allowed. 192.168.0.223 also allows export-grade ciphers (FREAK).</w:t>
            </w:r>
          </w:p>
        </w:tc>
        <w:tc>
          <w:tcPr>
            <w:tcW w:type="dxa" w:w="26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Weaker protection of data and logins.</w:t>
            </w:r>
          </w:p>
        </w:tc>
        <w:tc>
          <w:tcPr>
            <w:tcW w:type="dxa" w:w="305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Allow TLS 1.2 or higher only. Remove weak ciphers.</w:t>
            </w:r>
          </w:p>
        </w:tc>
      </w:tr>
      <w:tr>
        <w:trPr>
          <w:cantSplit/>
        </w:trPr>
        <w:tc>
          <w:tcPr>
            <w:tcW w:type="dxa" w:w="1750"/>
            <w:tcBorders>
              <w:top w:val="single" w:color="BFC7D5" w:sz="4"/>
              <w:left w:val="single" w:color="BFC7D5" w:sz="4"/>
              <w:bottom w:val="single" w:color="BFC7D5" w:sz="4"/>
              <w:right w:val="single" w:color="BFC7D5" w:sz="4"/>
            </w:tcBorders>
            <w:shd w:fill="E5F3E6"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Low</w:t>
            </w:r>
          </w:p>
          <w:p>
            <w:pPr>
              <w:spacing w:after="50" w:line="260"/>
            </w:pPr>
            <w:r>
              <w:rPr>
                <w:rFonts w:ascii="Arial" w:cs="Arial" w:eastAsia="Arial" w:hAnsi="Arial"/>
                <w:sz w:val="19"/>
                <w:szCs w:val="19"/>
              </w:rPr>
              <w:t xml:space="preserve">9 devices</w:t>
            </w:r>
          </w:p>
        </w:tc>
        <w:tc>
          <w:tcPr>
            <w:tcW w:type="dxa" w:w="25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RSA keys under 2048 bits. Weak SSH ciphers and key exchange and MAC settings on 3 devices.</w:t>
            </w:r>
          </w:p>
        </w:tc>
        <w:tc>
          <w:tcPr>
            <w:tcW w:type="dxa" w:w="26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Reduced encryption strength.</w:t>
            </w:r>
          </w:p>
        </w:tc>
        <w:tc>
          <w:tcPr>
            <w:tcW w:type="dxa" w:w="305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Use RSA 2048 or higher. Allow modern SSH algorithms only.</w:t>
            </w:r>
          </w:p>
        </w:tc>
      </w:tr>
    </w:tbl>
    <w:p>
      <w:pPr>
        <w:pStyle w:val="Heading1"/>
        <w:keepNext/>
        <w:pBdr>
          <w:bottom w:val="single" w:color="1F3A6E" w:sz="8" w:space="4"/>
        </w:pBdr>
        <w:spacing w:after="140" w:before="360"/>
      </w:pPr>
      <w:r>
        <w:rPr>
          <w:rFonts w:ascii="Arial" w:cs="Arial" w:eastAsia="Arial" w:hAnsi="Arial"/>
          <w:b/>
          <w:bCs/>
          <w:color w:val="1F3A6E"/>
          <w:sz w:val="30"/>
          <w:szCs w:val="30"/>
        </w:rPr>
        <w:t xml:space="preserve">6. Recommendations</w:t>
      </w:r>
    </w:p>
    <w:p>
      <w:pPr>
        <w:keepNext/>
        <w:spacing w:after="120" w:line="276"/>
      </w:pPr>
      <w:r>
        <w:rPr>
          <w:rFonts w:ascii="Arial" w:cs="Arial" w:eastAsia="Arial" w:hAnsi="Arial"/>
          <w:sz w:val="21"/>
          <w:szCs w:val="21"/>
        </w:rPr>
        <w:t xml:space="preserve">The certificate sets out six mandatory recommendations: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700"/>
        <w:gridCol w:w="2150"/>
        <w:gridCol w:w="3750"/>
        <w:gridCol w:w="3306"/>
      </w:tblGrid>
      <w:tr>
        <w:trPr>
          <w:cantSplit/>
          <w:tblHeader/>
        </w:trPr>
        <w:tc>
          <w:tcPr>
            <w:tcW w:type="dxa" w:w="700"/>
            <w:tcBorders>
              <w:top w:val="single" w:color="BFC7D5" w:sz="4"/>
              <w:left w:val="single" w:color="BFC7D5" w:sz="4"/>
              <w:bottom w:val="single" w:color="BFC7D5" w:sz="4"/>
              <w:right w:val="single" w:color="BFC7D5" w:sz="4"/>
            </w:tcBorders>
            <w:shd w:fill="1F3A6E" w:color="auto" w:val="clear"/>
            <w:tcMar>
              <w:top w:type="dxa" w:w="70"/>
              <w:left w:type="dxa" w:w="110"/>
              <w:bottom w:type="dxa" w:w="70"/>
              <w:right w:type="dxa" w:w="110"/>
            </w:tcMar>
            <w:vAlign w:val="top"/>
          </w:tcPr>
          <w:p>
            <w:pPr>
              <w:spacing w:after="50" w:line="260"/>
            </w:pPr>
            <w:r>
              <w:rPr>
                <w:rFonts w:ascii="Arial" w:cs="Arial" w:eastAsia="Arial" w:hAnsi="Arial"/>
                <w:b/>
                <w:bCs/>
                <w:color w:val="FFFFFF"/>
                <w:sz w:val="19"/>
                <w:szCs w:val="19"/>
              </w:rPr>
              <w:t xml:space="preserve">No.</w:t>
            </w:r>
          </w:p>
        </w:tc>
        <w:tc>
          <w:tcPr>
            <w:tcW w:type="dxa" w:w="2150"/>
            <w:tcBorders>
              <w:top w:val="single" w:color="BFC7D5" w:sz="4"/>
              <w:left w:val="single" w:color="BFC7D5" w:sz="4"/>
              <w:bottom w:val="single" w:color="BFC7D5" w:sz="4"/>
              <w:right w:val="single" w:color="BFC7D5" w:sz="4"/>
            </w:tcBorders>
            <w:shd w:fill="1F3A6E" w:color="auto" w:val="clear"/>
            <w:tcMar>
              <w:top w:type="dxa" w:w="70"/>
              <w:left w:type="dxa" w:w="110"/>
              <w:bottom w:type="dxa" w:w="70"/>
              <w:right w:type="dxa" w:w="110"/>
            </w:tcMar>
            <w:vAlign w:val="top"/>
          </w:tcPr>
          <w:p>
            <w:pPr>
              <w:spacing w:after="50" w:line="260"/>
            </w:pPr>
            <w:r>
              <w:rPr>
                <w:rFonts w:ascii="Arial" w:cs="Arial" w:eastAsia="Arial" w:hAnsi="Arial"/>
                <w:b/>
                <w:bCs/>
                <w:color w:val="FFFFFF"/>
                <w:sz w:val="19"/>
                <w:szCs w:val="19"/>
              </w:rPr>
              <w:t xml:space="preserve">Recommendation</w:t>
            </w:r>
          </w:p>
        </w:tc>
        <w:tc>
          <w:tcPr>
            <w:tcW w:type="dxa" w:w="3750"/>
            <w:tcBorders>
              <w:top w:val="single" w:color="BFC7D5" w:sz="4"/>
              <w:left w:val="single" w:color="BFC7D5" w:sz="4"/>
              <w:bottom w:val="single" w:color="BFC7D5" w:sz="4"/>
              <w:right w:val="single" w:color="BFC7D5" w:sz="4"/>
            </w:tcBorders>
            <w:shd w:fill="1F3A6E" w:color="auto" w:val="clear"/>
            <w:tcMar>
              <w:top w:type="dxa" w:w="70"/>
              <w:left w:type="dxa" w:w="110"/>
              <w:bottom w:type="dxa" w:w="70"/>
              <w:right w:type="dxa" w:w="110"/>
            </w:tcMar>
            <w:vAlign w:val="top"/>
          </w:tcPr>
          <w:p>
            <w:pPr>
              <w:spacing w:after="50" w:line="260"/>
            </w:pPr>
            <w:r>
              <w:rPr>
                <w:rFonts w:ascii="Arial" w:cs="Arial" w:eastAsia="Arial" w:hAnsi="Arial"/>
                <w:b/>
                <w:bCs/>
                <w:color w:val="FFFFFF"/>
                <w:sz w:val="19"/>
                <w:szCs w:val="19"/>
              </w:rPr>
              <w:t xml:space="preserve">Action</w:t>
            </w:r>
          </w:p>
        </w:tc>
        <w:tc>
          <w:tcPr>
            <w:tcW w:type="dxa" w:w="3306"/>
            <w:tcBorders>
              <w:top w:val="single" w:color="BFC7D5" w:sz="4"/>
              <w:left w:val="single" w:color="BFC7D5" w:sz="4"/>
              <w:bottom w:val="single" w:color="BFC7D5" w:sz="4"/>
              <w:right w:val="single" w:color="BFC7D5" w:sz="4"/>
            </w:tcBorders>
            <w:shd w:fill="1F3A6E" w:color="auto" w:val="clear"/>
            <w:tcMar>
              <w:top w:type="dxa" w:w="70"/>
              <w:left w:type="dxa" w:w="110"/>
              <w:bottom w:type="dxa" w:w="70"/>
              <w:right w:type="dxa" w:w="110"/>
            </w:tcMar>
            <w:vAlign w:val="top"/>
          </w:tcPr>
          <w:p>
            <w:pPr>
              <w:spacing w:after="50" w:line="260"/>
            </w:pPr>
            <w:r>
              <w:rPr>
                <w:rFonts w:ascii="Arial" w:cs="Arial" w:eastAsia="Arial" w:hAnsi="Arial"/>
                <w:b/>
                <w:bCs/>
                <w:color w:val="FFFFFF"/>
                <w:sz w:val="19"/>
                <w:szCs w:val="19"/>
              </w:rPr>
              <w:t xml:space="preserve">Risk addressed</w:t>
            </w:r>
          </w:p>
        </w:tc>
      </w:tr>
      <w:tr>
        <w:trPr>
          <w:cantSplit/>
        </w:trPr>
        <w:tc>
          <w:tcPr>
            <w:tcW w:type="dxa" w:w="7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1</w:t>
            </w:r>
          </w:p>
        </w:tc>
        <w:tc>
          <w:tcPr>
            <w:tcW w:type="dxa" w:w="215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Vulnerability remediation</w:t>
            </w:r>
          </w:p>
        </w:tc>
        <w:tc>
          <w:tcPr>
            <w:tcW w:type="dxa" w:w="375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Remediate Critical and High findings immediately. Close Medium and Low findings within a defined timeline.</w:t>
            </w:r>
          </w:p>
        </w:tc>
        <w:tc>
          <w:tcPr>
            <w:tcW w:type="dxa" w:w="33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The 600 Critical and High findings.</w:t>
            </w:r>
          </w:p>
        </w:tc>
      </w:tr>
      <w:tr>
        <w:trPr>
          <w:cantSplit/>
        </w:trPr>
        <w:tc>
          <w:tcPr>
            <w:tcW w:type="dxa" w:w="7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2</w:t>
            </w:r>
          </w:p>
        </w:tc>
        <w:tc>
          <w:tcPr>
            <w:tcW w:type="dxa" w:w="215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Endpoint protection</w:t>
            </w:r>
          </w:p>
        </w:tc>
        <w:tc>
          <w:tcPr>
            <w:tcW w:type="dxa" w:w="375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Deploy EDR or XDR on all endpoints and servers with centralised monitoring and automated containment.</w:t>
            </w:r>
          </w:p>
        </w:tc>
        <w:tc>
          <w:tcPr>
            <w:tcW w:type="dxa" w:w="33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Undetected malware and intrusion.</w:t>
            </w:r>
          </w:p>
        </w:tc>
      </w:tr>
      <w:tr>
        <w:trPr>
          <w:cantSplit/>
        </w:trPr>
        <w:tc>
          <w:tcPr>
            <w:tcW w:type="dxa" w:w="7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3</w:t>
            </w:r>
          </w:p>
        </w:tc>
        <w:tc>
          <w:tcPr>
            <w:tcW w:type="dxa" w:w="215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Network security</w:t>
            </w:r>
          </w:p>
        </w:tc>
        <w:tc>
          <w:tcPr>
            <w:tcW w:type="dxa" w:w="375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Implement a next-generation firewall with internal segmentation. Isolate the CCTV network and allow only approved ports and services. Block unnecessary internet access.</w:t>
            </w:r>
          </w:p>
        </w:tc>
        <w:tc>
          <w:tcPr>
            <w:tcW w:type="dxa" w:w="33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Lateral movement and data exfiltration.</w:t>
            </w:r>
          </w:p>
        </w:tc>
      </w:tr>
      <w:tr>
        <w:trPr>
          <w:cantSplit/>
        </w:trPr>
        <w:tc>
          <w:tcPr>
            <w:tcW w:type="dxa" w:w="7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4</w:t>
            </w:r>
          </w:p>
        </w:tc>
        <w:tc>
          <w:tcPr>
            <w:tcW w:type="dxa" w:w="215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IP and asset management</w:t>
            </w:r>
          </w:p>
        </w:tc>
        <w:tc>
          <w:tcPr>
            <w:tcW w:type="dxa" w:w="375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Assign IP addresses centrally by DHCP reservation with IP and MAC binding. Standardise hostnames and labels and the asset inventory.</w:t>
            </w:r>
          </w:p>
        </w:tc>
        <w:tc>
          <w:tcPr>
            <w:tcW w:type="dxa" w:w="33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Bypass of restrictions and unknown devices.</w:t>
            </w:r>
          </w:p>
        </w:tc>
      </w:tr>
      <w:tr>
        <w:trPr>
          <w:cantSplit/>
        </w:trPr>
        <w:tc>
          <w:tcPr>
            <w:tcW w:type="dxa" w:w="7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5</w:t>
            </w:r>
          </w:p>
        </w:tc>
        <w:tc>
          <w:tcPr>
            <w:tcW w:type="dxa" w:w="215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Centralised administration</w:t>
            </w:r>
          </w:p>
        </w:tc>
        <w:tc>
          <w:tcPr>
            <w:tcW w:type="dxa" w:w="375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Enforce Active Directory with Group Policy to prevent users changing network settings.</w:t>
            </w:r>
          </w:p>
        </w:tc>
        <w:tc>
          <w:tcPr>
            <w:tcW w:type="dxa" w:w="33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Unauthorised configuration changes.</w:t>
            </w:r>
          </w:p>
        </w:tc>
      </w:tr>
      <w:tr>
        <w:trPr>
          <w:cantSplit/>
        </w:trPr>
        <w:tc>
          <w:tcPr>
            <w:tcW w:type="dxa" w:w="7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6</w:t>
            </w:r>
          </w:p>
        </w:tc>
        <w:tc>
          <w:tcPr>
            <w:tcW w:type="dxa" w:w="215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Continuous assurance</w:t>
            </w:r>
          </w:p>
        </w:tc>
        <w:tc>
          <w:tcPr>
            <w:tcW w:type="dxa" w:w="375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Conduct periodic vulnerability scanning. Revalidate after remediation. Reassess after any significant change.</w:t>
            </w:r>
          </w:p>
        </w:tc>
        <w:tc>
          <w:tcPr>
            <w:tcW w:type="dxa" w:w="33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New weaknesses going unnoticed.</w:t>
            </w:r>
          </w:p>
        </w:tc>
      </w:tr>
    </w:tbl>
    <w:p>
      <w:pPr>
        <w:spacing w:after="80"/>
      </w:pPr>
    </w:p>
    <w:p>
      <w:pPr>
        <w:keepNext/>
        <w:spacing w:after="120" w:line="276"/>
      </w:pPr>
      <w:r>
        <w:rPr>
          <w:rFonts w:ascii="Arial" w:cs="Arial" w:eastAsia="Arial" w:hAnsi="Arial"/>
          <w:sz w:val="21"/>
          <w:szCs w:val="21"/>
        </w:rPr>
        <w:t xml:space="preserve">Recommended remediation timeline: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000"/>
        <w:gridCol w:w="5200"/>
        <w:gridCol w:w="2706"/>
      </w:tblGrid>
      <w:tr>
        <w:trPr>
          <w:cantSplit/>
          <w:tblHeader/>
        </w:trPr>
        <w:tc>
          <w:tcPr>
            <w:tcW w:type="dxa" w:w="2000"/>
            <w:tcBorders>
              <w:top w:val="single" w:color="BFC7D5" w:sz="4"/>
              <w:left w:val="single" w:color="BFC7D5" w:sz="4"/>
              <w:bottom w:val="single" w:color="BFC7D5" w:sz="4"/>
              <w:right w:val="single" w:color="BFC7D5" w:sz="4"/>
            </w:tcBorders>
            <w:shd w:fill="1F3A6E" w:color="auto" w:val="clear"/>
            <w:tcMar>
              <w:top w:type="dxa" w:w="70"/>
              <w:left w:type="dxa" w:w="110"/>
              <w:bottom w:type="dxa" w:w="70"/>
              <w:right w:type="dxa" w:w="110"/>
            </w:tcMar>
            <w:vAlign w:val="top"/>
          </w:tcPr>
          <w:p>
            <w:pPr>
              <w:spacing w:after="50" w:line="260"/>
            </w:pPr>
            <w:r>
              <w:rPr>
                <w:rFonts w:ascii="Arial" w:cs="Arial" w:eastAsia="Arial" w:hAnsi="Arial"/>
                <w:b/>
                <w:bCs/>
                <w:color w:val="FFFFFF"/>
                <w:sz w:val="19"/>
                <w:szCs w:val="19"/>
              </w:rPr>
              <w:t xml:space="preserve">Phase</w:t>
            </w:r>
          </w:p>
        </w:tc>
        <w:tc>
          <w:tcPr>
            <w:tcW w:type="dxa" w:w="5200"/>
            <w:tcBorders>
              <w:top w:val="single" w:color="BFC7D5" w:sz="4"/>
              <w:left w:val="single" w:color="BFC7D5" w:sz="4"/>
              <w:bottom w:val="single" w:color="BFC7D5" w:sz="4"/>
              <w:right w:val="single" w:color="BFC7D5" w:sz="4"/>
            </w:tcBorders>
            <w:shd w:fill="1F3A6E" w:color="auto" w:val="clear"/>
            <w:tcMar>
              <w:top w:type="dxa" w:w="70"/>
              <w:left w:type="dxa" w:w="110"/>
              <w:bottom w:type="dxa" w:w="70"/>
              <w:right w:type="dxa" w:w="110"/>
            </w:tcMar>
            <w:vAlign w:val="top"/>
          </w:tcPr>
          <w:p>
            <w:pPr>
              <w:spacing w:after="50" w:line="260"/>
            </w:pPr>
            <w:r>
              <w:rPr>
                <w:rFonts w:ascii="Arial" w:cs="Arial" w:eastAsia="Arial" w:hAnsi="Arial"/>
                <w:b/>
                <w:bCs/>
                <w:color w:val="FFFFFF"/>
                <w:sz w:val="19"/>
                <w:szCs w:val="19"/>
              </w:rPr>
              <w:t xml:space="preserve">Actions</w:t>
            </w:r>
          </w:p>
        </w:tc>
        <w:tc>
          <w:tcPr>
            <w:tcW w:type="dxa" w:w="2706"/>
            <w:tcBorders>
              <w:top w:val="single" w:color="BFC7D5" w:sz="4"/>
              <w:left w:val="single" w:color="BFC7D5" w:sz="4"/>
              <w:bottom w:val="single" w:color="BFC7D5" w:sz="4"/>
              <w:right w:val="single" w:color="BFC7D5" w:sz="4"/>
            </w:tcBorders>
            <w:shd w:fill="1F3A6E" w:color="auto" w:val="clear"/>
            <w:tcMar>
              <w:top w:type="dxa" w:w="70"/>
              <w:left w:type="dxa" w:w="110"/>
              <w:bottom w:type="dxa" w:w="70"/>
              <w:right w:type="dxa" w:w="110"/>
            </w:tcMar>
            <w:vAlign w:val="top"/>
          </w:tcPr>
          <w:p>
            <w:pPr>
              <w:spacing w:after="50" w:line="260"/>
            </w:pPr>
            <w:r>
              <w:rPr>
                <w:rFonts w:ascii="Arial" w:cs="Arial" w:eastAsia="Arial" w:hAnsi="Arial"/>
                <w:b/>
                <w:bCs/>
                <w:color w:val="FFFFFF"/>
                <w:sz w:val="19"/>
                <w:szCs w:val="19"/>
              </w:rPr>
              <w:t xml:space="preserve">Outcome</w:t>
            </w:r>
          </w:p>
        </w:tc>
      </w:tr>
      <w:tr>
        <w:trPr>
          <w:cantSplit/>
        </w:trPr>
        <w:tc>
          <w:tcPr>
            <w:tcW w:type="dxa" w:w="2000"/>
            <w:tcBorders>
              <w:top w:val="single" w:color="BFC7D5" w:sz="4"/>
              <w:left w:val="single" w:color="BFC7D5" w:sz="4"/>
              <w:bottom w:val="single" w:color="BFC7D5" w:sz="4"/>
              <w:right w:val="single" w:color="BFC7D5" w:sz="4"/>
            </w:tcBorders>
            <w:shd w:fill="FBE5E5"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Days 0 to 7</w:t>
            </w:r>
          </w:p>
          <w:p>
            <w:pPr>
              <w:spacing w:after="50" w:line="260"/>
            </w:pPr>
            <w:r>
              <w:rPr>
                <w:rFonts w:ascii="Arial" w:cs="Arial" w:eastAsia="Arial" w:hAnsi="Arial"/>
                <w:sz w:val="19"/>
                <w:szCs w:val="19"/>
              </w:rPr>
              <w:t xml:space="preserve">Contain and build controls</w:t>
            </w:r>
          </w:p>
        </w:tc>
        <w:tc>
          <w:tcPr>
            <w:tcW w:type="dxa" w:w="52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Investigate the 2 hosts flagged as possibly compromised. Patch or isolate hosts exposed to EternalBlue and BlueKeep. Disable SMBv1 and Telnet. Remediate the 4 Critical CCTV findings. Deploy EDR or XDR. Install a next-generation firewall with internal segmentation. Move CCTV to its own network. Implement central IP addressing with IP and MAC binding. Enforce Active Directory with Group Policy.</w:t>
            </w:r>
          </w:p>
        </w:tc>
        <w:tc>
          <w:tcPr>
            <w:tcW w:type="dxa" w:w="27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Highest-risk exposures closed. Attacks detected and contained.</w:t>
            </w:r>
          </w:p>
        </w:tc>
      </w:tr>
      <w:tr>
        <w:trPr>
          <w:cantSplit/>
        </w:trPr>
        <w:tc>
          <w:tcPr>
            <w:tcW w:type="dxa" w:w="2000"/>
            <w:tcBorders>
              <w:top w:val="single" w:color="BFC7D5" w:sz="4"/>
              <w:left w:val="single" w:color="BFC7D5" w:sz="4"/>
              <w:bottom w:val="single" w:color="BFC7D5" w:sz="4"/>
              <w:right w:val="single" w:color="BFC7D5" w:sz="4"/>
            </w:tcBorders>
            <w:shd w:fill="FDEBDD"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Days 8 to 30</w:t>
            </w:r>
          </w:p>
          <w:p>
            <w:pPr>
              <w:spacing w:after="50" w:line="260"/>
            </w:pPr>
            <w:r>
              <w:rPr>
                <w:rFonts w:ascii="Arial" w:cs="Arial" w:eastAsia="Arial" w:hAnsi="Arial"/>
                <w:sz w:val="19"/>
                <w:szCs w:val="19"/>
              </w:rPr>
              <w:t xml:space="preserve">Remediate</w:t>
            </w:r>
          </w:p>
        </w:tc>
        <w:tc>
          <w:tcPr>
            <w:tcW w:type="dxa" w:w="52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Enforce SMB signing and remote desktop NLA. Disable NTLMv1 and HTTP TRACE. Restrict TLS to 1.2 or higher. Remediate remaining Critical and High findings.</w:t>
            </w:r>
          </w:p>
        </w:tc>
        <w:tc>
          <w:tcPr>
            <w:tcW w:type="dxa" w:w="27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Critical and High findings closed.</w:t>
            </w:r>
          </w:p>
        </w:tc>
      </w:tr>
      <w:tr>
        <w:trPr>
          <w:cantSplit/>
        </w:trPr>
        <w:tc>
          <w:tcPr>
            <w:tcW w:type="dxa" w:w="2000"/>
            <w:tcBorders>
              <w:top w:val="single" w:color="BFC7D5" w:sz="4"/>
              <w:left w:val="single" w:color="BFC7D5" w:sz="4"/>
              <w:bottom w:val="single" w:color="BFC7D5" w:sz="4"/>
              <w:right w:val="single" w:color="BFC7D5" w:sz="4"/>
            </w:tcBorders>
            <w:shd w:fill="E5F3E6"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Days 31 to 90</w:t>
            </w:r>
          </w:p>
          <w:p>
            <w:pPr>
              <w:spacing w:after="50" w:line="260"/>
            </w:pPr>
            <w:r>
              <w:rPr>
                <w:rFonts w:ascii="Arial" w:cs="Arial" w:eastAsia="Arial" w:hAnsi="Arial"/>
                <w:sz w:val="19"/>
                <w:szCs w:val="19"/>
              </w:rPr>
              <w:t xml:space="preserve">Sustain</w:t>
            </w:r>
          </w:p>
        </w:tc>
        <w:tc>
          <w:tcPr>
            <w:tcW w:type="dxa" w:w="52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Reissue weak certificates. Standardise hostnames and labels and the asset inventory. Begin scheduled scanning. Close Medium and Low findings. Revalidation.</w:t>
            </w:r>
          </w:p>
        </w:tc>
        <w:tc>
          <w:tcPr>
            <w:tcW w:type="dxa" w:w="27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Verified closure and an ongoing assurance process.</w:t>
            </w:r>
          </w:p>
        </w:tc>
      </w:tr>
    </w:tbl>
    <w:p>
      <w:pPr>
        <w:pStyle w:val="Heading1"/>
        <w:keepNext/>
        <w:pBdr>
          <w:bottom w:val="single" w:color="1F3A6E" w:sz="8" w:space="4"/>
        </w:pBdr>
        <w:spacing w:after="140" w:before="360"/>
      </w:pPr>
      <w:r>
        <w:rPr>
          <w:rFonts w:ascii="Arial" w:cs="Arial" w:eastAsia="Arial" w:hAnsi="Arial"/>
          <w:b/>
          <w:bCs/>
          <w:color w:val="1F3A6E"/>
          <w:sz w:val="30"/>
          <w:szCs w:val="30"/>
        </w:rPr>
        <w:t xml:space="preserve">7. Conclusion</w:t>
      </w:r>
    </w:p>
    <w:p>
      <w:pPr>
        <w:spacing w:after="120" w:line="276"/>
      </w:pPr>
      <w:r>
        <w:rPr>
          <w:rFonts w:ascii="Arial" w:cs="Arial" w:eastAsia="Arial" w:hAnsi="Arial"/>
          <w:sz w:val="21"/>
          <w:szCs w:val="21"/>
        </w:rPr>
        <w:t xml:space="preserve">Serious security gaps exist across the internal network and CCTV infrastructure. Critical and High vulnerabilities expose the organisation to compromise and must be addressed immediately. The certificate remains valid until revalidation or any change to the in-scope infrastructure whichever is earlier. Successful remediation should be confirmed through revalidation.</w:t>
      </w:r>
    </w:p>
    <w:sectPr>
      <w:footerReference w:type="default" r:id="rId7"/>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6"/>
        <w:szCs w:val="16"/>
      </w:rPr>
      <w:t xml:space="preserve">Selkey Cyber Security Pvt. Ltd. | Confidential | Page </w:t>
    </w:r>
    <w:r>
      <w:rPr>
        <w:rFonts w:ascii="Arial" w:cs="Arial" w:eastAsia="Arial" w:hAnsi="Arial"/>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Anjali Labtech Executive Summary</dc:title>
  <dc:creator>Selkey Cyber Security Pvt. Ltd.</dc:creator>
  <cp:lastModifiedBy>Un-named</cp:lastModifiedBy>
  <cp:revision>1</cp:revision>
  <dcterms:created xsi:type="dcterms:W3CDTF">2026-10-07T07:50:54.887Z</dcterms:created>
  <dcterms:modified xsi:type="dcterms:W3CDTF">2026-10-07T07:50:54.888Z</dcterms:modified>
</cp:coreProperties>
</file>

<file path=docProps/custom.xml><?xml version="1.0" encoding="utf-8"?>
<Properties xmlns="http://schemas.openxmlformats.org/officeDocument/2006/custom-properties" xmlns:vt="http://schemas.openxmlformats.org/officeDocument/2006/docPropsVTypes"/>
</file>