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A6E"/>
          <w:sz w:val="22"/>
          <w:szCs w:val="22"/>
        </w:rPr>
        <w:t xml:space="preserve">SELKEY CYBER SECURITY PVT. LTD.</w:t>
      </w:r>
    </w:p>
    <w:p>
      <w:pPr>
        <w:spacing w:after="60"/>
      </w:pPr>
      <w:r>
        <w:rPr>
          <w:rFonts w:ascii="Arial" w:cs="Arial" w:eastAsia="Arial" w:hAnsi="Arial"/>
          <w:b/>
          <w:bCs/>
          <w:color w:val="1F3A6E"/>
          <w:sz w:val="48"/>
          <w:szCs w:val="48"/>
        </w:rPr>
        <w:t xml:space="preserve">Executive Summary</w:t>
      </w:r>
    </w:p>
    <w:p>
      <w:pPr>
        <w:pBdr>
          <w:bottom w:val="single" w:color="1F3A6E" w:sz="12" w:space="6"/>
        </w:pBdr>
        <w:spacing w:after="200"/>
      </w:pPr>
      <w:r>
        <w:rPr>
          <w:rFonts w:ascii="Arial" w:cs="Arial" w:eastAsia="Arial" w:hAnsi="Arial"/>
          <w:color w:val="555555"/>
          <w:sz w:val="24"/>
          <w:szCs w:val="24"/>
        </w:rPr>
        <w:t xml:space="preserve">Internal Network and CCTV Vulnerability Assessment and Penetration Testing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7406"/>
      </w:tblGrid>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Client</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Anjali Labtech Limited, Surat, Gujarat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Assessment period</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28 September 2026 to 3 October 2026</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Report date</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 October 2026</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Scope</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Internal network: 414 endpoints and 6 servers and 2 routers. CCTV: 446 devices</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Certificate no.</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SCS/VAPTCERT/ALL/NET/051026ALL00 (draft)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Status</w:t>
            </w:r>
          </w:p>
        </w:tc>
        <w:tc>
          <w:tcPr>
            <w:tcW w:type="dxa" w:w="7406"/>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Open</w:t>
            </w:r>
            <w:r>
              <w:rPr>
                <w:rFonts w:ascii="Arial" w:cs="Arial" w:eastAsia="Arial" w:hAnsi="Arial"/>
                <w:sz w:val="19"/>
                <w:szCs w:val="19"/>
              </w:rPr>
              <w:t xml:space="preserve">: remediation and revalidation pending</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1. Overview</w:t>
      </w:r>
    </w:p>
    <w:p>
      <w:pPr>
        <w:spacing w:after="120" w:line="276"/>
      </w:pPr>
      <w:r>
        <w:rPr>
          <w:rFonts w:ascii="Arial" w:cs="Arial" w:eastAsia="Arial" w:hAnsi="Arial"/>
          <w:sz w:val="21"/>
          <w:szCs w:val="21"/>
        </w:rPr>
        <w:t xml:space="preserve">Selkey Cyber Security Pvt. Ltd. assessed the internal network and CCTV infrastructure of Anjali Labtech Limited. The assessment identified </w:t>
      </w:r>
      <w:r>
        <w:rPr>
          <w:rFonts w:ascii="Arial" w:cs="Arial" w:eastAsia="Arial" w:hAnsi="Arial"/>
          <w:b/>
          <w:bCs/>
          <w:sz w:val="21"/>
          <w:szCs w:val="21"/>
        </w:rPr>
        <w:t xml:space="preserve">752 vulnerabilities</w:t>
      </w:r>
      <w:r>
        <w:rPr>
          <w:rFonts w:ascii="Arial" w:cs="Arial" w:eastAsia="Arial" w:hAnsi="Arial"/>
          <w:sz w:val="21"/>
          <w:szCs w:val="21"/>
        </w:rPr>
        <w:t xml:space="preserve"> of which </w:t>
      </w:r>
      <w:r>
        <w:rPr>
          <w:rFonts w:ascii="Arial" w:cs="Arial" w:eastAsia="Arial" w:hAnsi="Arial"/>
          <w:b/>
          <w:bCs/>
          <w:sz w:val="21"/>
          <w:szCs w:val="21"/>
        </w:rPr>
        <w:t xml:space="preserve">116 are Critical and 484 are High</w:t>
      </w:r>
      <w:r>
        <w:rPr>
          <w:rFonts w:ascii="Arial" w:cs="Arial" w:eastAsia="Arial" w:hAnsi="Arial"/>
          <w:sz w:val="21"/>
          <w:szCs w:val="21"/>
        </w:rPr>
        <w:t xml:space="preserve">. The internal network is rated </w:t>
      </w:r>
      <w:r>
        <w:rPr>
          <w:rFonts w:ascii="Arial" w:cs="Arial" w:eastAsia="Arial" w:hAnsi="Arial"/>
          <w:b/>
          <w:bCs/>
          <w:sz w:val="21"/>
          <w:szCs w:val="21"/>
        </w:rPr>
        <w:t xml:space="preserve">High</w:t>
      </w:r>
      <w:r>
        <w:rPr>
          <w:rFonts w:ascii="Arial" w:cs="Arial" w:eastAsia="Arial" w:hAnsi="Arial"/>
          <w:sz w:val="21"/>
          <w:szCs w:val="21"/>
        </w:rPr>
        <w:t xml:space="preserve"> risk and the CCTV infrastructure </w:t>
      </w:r>
      <w:r>
        <w:rPr>
          <w:rFonts w:ascii="Arial" w:cs="Arial" w:eastAsia="Arial" w:hAnsi="Arial"/>
          <w:b/>
          <w:bCs/>
          <w:sz w:val="21"/>
          <w:szCs w:val="21"/>
        </w:rPr>
        <w:t xml:space="preserve">Medium</w:t>
      </w:r>
      <w:r>
        <w:rPr>
          <w:rFonts w:ascii="Arial" w:cs="Arial" w:eastAsia="Arial" w:hAnsi="Arial"/>
          <w:sz w:val="21"/>
          <w:szCs w:val="21"/>
        </w:rPr>
        <w:t xml:space="preserve"> risk. No finding has been remediated as of the report date.</w:t>
      </w:r>
    </w:p>
    <w:p>
      <w:pPr>
        <w:spacing w:after="120" w:line="276"/>
      </w:pPr>
      <w:r>
        <w:rPr>
          <w:rFonts w:ascii="Arial" w:cs="Arial" w:eastAsia="Arial" w:hAnsi="Arial"/>
          <w:sz w:val="21"/>
          <w:szCs w:val="21"/>
        </w:rPr>
        <w:t xml:space="preserve">The most significant risks are network services open to remote attack and weak authentication and encryption. They are compounded by the absence of endpoint detection and an unsegmented network. If exploited they could lead to ransomware or data theft or loss of CCTV evidence. Critical and High findings must be remediated immediately and Medium and Low findings within a defined timeline. Sections 4 to 6 set out each issue with its impact and mitigation.</w:t>
      </w:r>
    </w:p>
    <w:p>
      <w:pPr>
        <w:pStyle w:val="Heading1"/>
        <w:keepNext/>
        <w:pBdr>
          <w:bottom w:val="single" w:color="1F3A6E" w:sz="8" w:space="4"/>
        </w:pBdr>
        <w:spacing w:after="140" w:before="360"/>
      </w:pPr>
      <w:r>
        <w:rPr>
          <w:rFonts w:ascii="Arial" w:cs="Arial" w:eastAsia="Arial" w:hAnsi="Arial"/>
          <w:b/>
          <w:bCs/>
          <w:color w:val="1F3A6E"/>
          <w:sz w:val="30"/>
          <w:szCs w:val="30"/>
        </w:rPr>
        <w:t xml:space="preserve">2. Summary of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1050"/>
        <w:gridCol w:w="1050"/>
        <w:gridCol w:w="1100"/>
        <w:gridCol w:w="1000"/>
        <w:gridCol w:w="1000"/>
        <w:gridCol w:w="2406"/>
      </w:tblGrid>
      <w:tr>
        <w:trPr>
          <w:cantSplit/>
          <w:tblHeader/>
        </w:trPr>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Assessment</w:t>
            </w:r>
          </w:p>
        </w:tc>
        <w:tc>
          <w:tcPr>
            <w:tcW w:type="dxa" w:w="10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Critical</w:t>
            </w:r>
          </w:p>
        </w:tc>
        <w:tc>
          <w:tcPr>
            <w:tcW w:type="dxa" w:w="10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High</w:t>
            </w:r>
          </w:p>
        </w:tc>
        <w:tc>
          <w:tcPr>
            <w:tcW w:type="dxa" w:w="11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Medium</w:t>
            </w:r>
          </w:p>
        </w:tc>
        <w:tc>
          <w:tcPr>
            <w:tcW w:type="dxa" w:w="1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Low</w:t>
            </w:r>
          </w:p>
        </w:tc>
        <w:tc>
          <w:tcPr>
            <w:tcW w:type="dxa" w:w="1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Total</w:t>
            </w:r>
          </w:p>
        </w:tc>
        <w:tc>
          <w:tcPr>
            <w:tcW w:type="dxa" w:w="24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Overall risk</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Internal network</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112</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483</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116</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19</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730</w:t>
            </w:r>
          </w:p>
        </w:tc>
        <w:tc>
          <w:tcPr>
            <w:tcW w:type="dxa" w:w="2406"/>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High</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 IoT</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13</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22</w:t>
            </w:r>
          </w:p>
        </w:tc>
        <w:tc>
          <w:tcPr>
            <w:tcW w:type="dxa" w:w="2406"/>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Combined</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116</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484</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129</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23</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752</w:t>
            </w:r>
          </w:p>
        </w:tc>
        <w:tc>
          <w:tcPr>
            <w:tcW w:type="dxa" w:w="2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p>
        </w:tc>
      </w:tr>
    </w:tbl>
    <w:p>
      <w:pPr>
        <w:spacing w:after="80"/>
      </w:pPr>
    </w:p>
    <w:p>
      <w:pPr>
        <w:spacing w:after="120" w:line="276"/>
      </w:pPr>
      <w:r>
        <w:rPr>
          <w:rFonts w:ascii="Arial" w:cs="Arial" w:eastAsia="Arial" w:hAnsi="Arial"/>
          <w:sz w:val="19"/>
          <w:szCs w:val="19"/>
        </w:rPr>
        <w:t xml:space="preserve">Critical: complete compromise of a system or remote code execution is possible. High: unauthorised access or disclosure of sensitive information. Medium: exploitation needs additional conditions. Low: limited impact on its own.</w:t>
      </w:r>
    </w:p>
    <w:p>
      <w:pPr>
        <w:pStyle w:val="Heading1"/>
        <w:keepNext/>
        <w:pBdr>
          <w:bottom w:val="single" w:color="1F3A6E" w:sz="8" w:space="4"/>
        </w:pBdr>
        <w:spacing w:after="140" w:before="360"/>
      </w:pPr>
      <w:r>
        <w:rPr>
          <w:rFonts w:ascii="Arial" w:cs="Arial" w:eastAsia="Arial" w:hAnsi="Arial"/>
          <w:b/>
          <w:bCs/>
          <w:color w:val="1F3A6E"/>
          <w:sz w:val="30"/>
          <w:szCs w:val="30"/>
        </w:rPr>
        <w:t xml:space="preserve">3. Business impact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706"/>
      </w:tblGrid>
      <w:tr>
        <w:trPr>
          <w:cantSplit/>
          <w:tblHeader/>
        </w:trPr>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Area</w:t>
            </w:r>
          </w:p>
        </w:tc>
        <w:tc>
          <w:tcPr>
            <w:tcW w:type="dxa" w:w="37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Potential impact</w:t>
            </w:r>
          </w:p>
        </w:tc>
        <w:tc>
          <w:tcPr>
            <w:tcW w:type="dxa" w:w="37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Business consequence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Operations</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Ransomware or a network outbreak locks or disables computers and servers.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Work stops until systems are rebuilt. Recovery costs and possible ransom demand.</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Data confidentiality</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Credentials and files are intercepted or relayed across the network. Databases are reached from a compromised host.</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Loss of company and customer information. Legal and contractual exposure.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Physical security</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CCTV devices are accessed without authentication. Recordings are viewed or deleted.</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Evidence may be unavailable or untrustworthy after an incident.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Lateral movement</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compromised camera or workstation provides a path to servers because the network is not segmented.</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single weak device becomes a company-wide incident.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Detection and response</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No EDR or XDR and no routine scanning. Devices are unlabelled.</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Intrusions remain unnoticed for longer. Recovery is slower and more costly.</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Compliance and reputation</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752 open findings and no periodic assessment.</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Reduced customer and auditor confidence.</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4. Network vulnerabilities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4.1 Remotely exploitable network services   |   CRITICAL / HIGH</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Known remote attacks apply to services on a small number of hosts. EternalBlue (MS17-010) on up to 5 hosts. BlueKeep remote desktop (CVE-2019-0708) on 1. MSMQ QueueJumper (CVE-2023-21554) on 1. SMBv1 on 1. HTTP.sys on 2. Print Spooler on 3. Older remote desktop flaws on up to 5.</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Malware or an attacker can take over these hosts over the network without user action and spread to others. WannaCry and Petya spread through the same weaknesses.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Patch or isolate the affected hosts within 24 to 72 hours. Disable SMBv1. Block remote desktop and file sharing ports from user networks and untrusted segments.</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4.2 SMB signing not required   |   HIGH</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File sharing does not require signed messages on 262 hosts.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attacker on the network can intercept and relay logins (NTLM relay) and reach file shares and servers as a legitimate user and possibly as an administrator.</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Require SMB signing on all hosts through Group Policy. Disable NTLM where possible. Restrict which hosts can connect to each other.</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4.3 Remote desktop weaknesses   |   HIGH / MEDIUM</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Network Level Authentication is not enforced on 8 hosts. A man-in-the-middle weakness is present on 1. A low or medium encryption level is configured on 1.</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Credentials can be attacked or captured by anyone who can reach the service. Weak remote desktop is a common ransomware entry point.</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NLA and a high encryption level. Allow remote desktop only through a VPN or gateway from approved addresses. Enable account lockout.</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4.4 Clear-text and legacy authentication   |   MEDIUM</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Telnet is enabled on 2 hosts. NTLMv1 is enabled on 1. HTTP TRACE and TRACK are allowed on 4 web servers.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Passwords and commands travel as readable text and can be captured. NTLMv1 hashes can be cracked quickly. TRACE can assist session theft.</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Disable Telnet and use SSH. Allow NTLMv2 or Kerberos only. Disable HTTP TRACE and TRACK.</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4.5 Weak encryption on network services   |   HIGH / MEDIUM</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TLS 1.0 and 1.1 are allowed on 40 hosts. SWEET32 ciphers on 21. Certificates signed with a weak hash on 4. RC4 on 2. SSL 2 and 3 on 2.</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Captured traffic could be read or altered. A forged certificate could let an attacker impersonate a service.</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Allow TLS 1.2 or higher only. Remove 3DES and RC4 ciphers. Reissue certificates with SHA-256 and RSA 2048 or higher.</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4.6 Unrestricted and unsegmented network   |   HIGH</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Internet access is unrestricted where it must be blocked. Any user can change a locally set IP address to bypass restrictions. The certificate requires internal segmentation and CCTV network isolation.</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attacker on one device can reach others. Controls tied to IP addresses can be bypassed. Data can leave the network freely.</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a next-generation firewall with internal segmentation. Isolate CCTV and server networks. Allow only approved ports and services. Assign IP addresses by DHCP reservation with IP and MAC binding. Block unnecessary internet access.</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5. CCTV vulnerabilities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50"/>
        <w:gridCol w:w="2500"/>
        <w:gridCol w:w="2600"/>
        <w:gridCol w:w="3056"/>
      </w:tblGrid>
      <w:tr>
        <w:trPr>
          <w:cantSplit/>
          <w:tblHeader/>
        </w:trPr>
        <w:tc>
          <w:tcPr>
            <w:tcW w:type="dxa" w:w="1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Finding</w:t>
            </w:r>
          </w:p>
        </w:tc>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Issue</w:t>
            </w:r>
          </w:p>
        </w:tc>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Impact</w:t>
            </w:r>
          </w:p>
        </w:tc>
        <w:tc>
          <w:tcPr>
            <w:tcW w:type="dxa" w:w="305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Mitigation</w:t>
            </w:r>
          </w:p>
        </w:tc>
      </w:tr>
      <w:tr>
        <w:trPr>
          <w:cantSplit/>
        </w:trPr>
        <w:tc>
          <w:tcPr>
            <w:tcW w:type="dxa" w:w="17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Critical</w:t>
            </w:r>
          </w:p>
          <w:p>
            <w:pPr>
              <w:spacing w:after="50" w:line="260"/>
            </w:pPr>
            <w:r>
              <w:rPr>
                <w:rFonts w:ascii="Arial" w:cs="Arial" w:eastAsia="Arial" w:hAnsi="Arial"/>
                <w:sz w:val="19"/>
                <w:szCs w:val="19"/>
              </w:rPr>
              <w:t xml:space="preserve">192.168.11.100</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Ollama AI service is open on the network without authentication.</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Anyone on the network can use the service or use it to move further in.</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Add authentication or place it behind a protected gateway. Restrict access to approved addresses.</w:t>
            </w:r>
          </w:p>
        </w:tc>
      </w:tr>
      <w:tr>
        <w:trPr>
          <w:cantSplit/>
        </w:trPr>
        <w:tc>
          <w:tcPr>
            <w:tcW w:type="dxa" w:w="17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Critical</w:t>
            </w:r>
          </w:p>
          <w:p>
            <w:pPr>
              <w:spacing w:after="50" w:line="260"/>
            </w:pPr>
            <w:r>
              <w:rPr>
                <w:rFonts w:ascii="Arial" w:cs="Arial" w:eastAsia="Arial" w:hAnsi="Arial"/>
                <w:sz w:val="19"/>
                <w:szCs w:val="19"/>
              </w:rPr>
              <w:t xml:space="preserve">192.168.1.101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SSL versions 2 and 3 are enabled.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Traffic such as camera feeds and logins can be read or altered.</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Disable SSL 2 and 3. Allow TLS 1.2 or higher only.</w:t>
            </w:r>
          </w:p>
        </w:tc>
      </w:tr>
      <w:tr>
        <w:trPr>
          <w:cantSplit/>
        </w:trPr>
        <w:tc>
          <w:tcPr>
            <w:tcW w:type="dxa" w:w="17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Critical</w:t>
            </w:r>
          </w:p>
          <w:p>
            <w:pPr>
              <w:spacing w:after="50" w:line="260"/>
            </w:pPr>
            <w:r>
              <w:rPr>
                <w:rFonts w:ascii="Arial" w:cs="Arial" w:eastAsia="Arial" w:hAnsi="Arial"/>
                <w:sz w:val="19"/>
                <w:szCs w:val="19"/>
              </w:rPr>
              <w:t xml:space="preserve">192.168.1.8 and 192.168.1.196</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Outdated Dropbear and OpenSSH servers (Dropbear before 2016.72 and OpenSSH before 10.5).</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Known flaws allow takeover of the device and access to recordings.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firmware or replace the unit. Allow SSH only from an administrator network.</w:t>
            </w:r>
          </w:p>
        </w:tc>
      </w:tr>
      <w:tr>
        <w:trPr>
          <w:cantSplit/>
        </w:trPr>
        <w:tc>
          <w:tcPr>
            <w:tcW w:type="dxa" w:w="17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High</w:t>
            </w:r>
          </w:p>
          <w:p>
            <w:pPr>
              <w:spacing w:after="50" w:line="260"/>
            </w:pPr>
            <w:r>
              <w:rPr>
                <w:rFonts w:ascii="Arial" w:cs="Arial" w:eastAsia="Arial" w:hAnsi="Arial"/>
                <w:sz w:val="19"/>
                <w:szCs w:val="19"/>
              </w:rPr>
              <w:t xml:space="preserve">10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SWEET32 weak ciphers (3DES and 64-bit).</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Long sessions can leak parts of encrypted traffic.</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Remove 3DES and 64-bit ciphers. Use AES-GCM or ChaCha20-Poly1305.</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5 devices including gateway 192.168.11.1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Telnet is enabled.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Passwords and commands are exposed as clear text. The gateway links many cameras.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Disable Telnet and use SSH.</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About 10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Certificates use SHA-1 and RC4 is allowed.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forged certificate can impersonate a device. Traffic can be read.</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Reissue certificates with SHA-256. Disable RC4.</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2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Certificates have expired (192.168.1.102 and 192.168.1.122).</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Devices cannot be properly trusted and impersonation is easier.</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Issue and install new certificates.</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About 20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SSH Terrapin weakness (CVE-2023-48795).</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attacker on the network can weaken the SSH connection.</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SSH software and disable the affected ciphers.</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3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TLS 1.0 and 1.1 are allowed. 192.168.0.223 also allows export-grade ciphers (FREAK).</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Weaker protection of data and logins.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Allow TLS 1.2 or higher only. Remove weak ciphers.</w:t>
            </w:r>
          </w:p>
        </w:tc>
      </w:tr>
      <w:tr>
        <w:trPr>
          <w:cantSplit/>
        </w:trPr>
        <w:tc>
          <w:tcPr>
            <w:tcW w:type="dxa" w:w="175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Low</w:t>
            </w:r>
          </w:p>
          <w:p>
            <w:pPr>
              <w:spacing w:after="50" w:line="260"/>
            </w:pPr>
            <w:r>
              <w:rPr>
                <w:rFonts w:ascii="Arial" w:cs="Arial" w:eastAsia="Arial" w:hAnsi="Arial"/>
                <w:sz w:val="19"/>
                <w:szCs w:val="19"/>
              </w:rPr>
              <w:t xml:space="preserve">9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RSA keys under 2048 bits. Weak SSH ciphers and key exchange and MAC settings on 3 devices.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Reduced encryption strength.</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Use RSA 2048 or higher. Allow modern SSH algorithms only.</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6. Recommendations</w:t>
      </w:r>
    </w:p>
    <w:p>
      <w:pPr>
        <w:keepNext/>
        <w:spacing w:after="120" w:line="276"/>
      </w:pPr>
      <w:r>
        <w:rPr>
          <w:rFonts w:ascii="Arial" w:cs="Arial" w:eastAsia="Arial" w:hAnsi="Arial"/>
          <w:sz w:val="21"/>
          <w:szCs w:val="21"/>
        </w:rPr>
        <w:t xml:space="preserve">The certificate sets out six mandatory recommendations: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2150"/>
        <w:gridCol w:w="3750"/>
        <w:gridCol w:w="3306"/>
      </w:tblGrid>
      <w:tr>
        <w:trPr>
          <w:cantSplit/>
          <w:tblHeader/>
        </w:trPr>
        <w:tc>
          <w:tcPr>
            <w:tcW w:type="dxa" w:w="7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No.</w:t>
            </w:r>
          </w:p>
        </w:tc>
        <w:tc>
          <w:tcPr>
            <w:tcW w:type="dxa" w:w="21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Recommendation</w:t>
            </w:r>
          </w:p>
        </w:tc>
        <w:tc>
          <w:tcPr>
            <w:tcW w:type="dxa" w:w="3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Action</w:t>
            </w:r>
          </w:p>
        </w:tc>
        <w:tc>
          <w:tcPr>
            <w:tcW w:type="dxa" w:w="33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Risk addressed</w:t>
            </w:r>
          </w:p>
        </w:tc>
      </w:tr>
      <w:tr>
        <w:trPr>
          <w:cantSplit/>
        </w:trPr>
        <w:tc>
          <w:tcPr>
            <w:tcW w:type="dxa" w:w="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w:t>
            </w:r>
          </w:p>
        </w:tc>
        <w:tc>
          <w:tcPr>
            <w:tcW w:type="dxa" w:w="21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Vulnerability remediation</w:t>
            </w:r>
          </w:p>
        </w:tc>
        <w:tc>
          <w:tcPr>
            <w:tcW w:type="dxa" w:w="3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Remediate Critical and High findings immediately. Close Medium and Low findings within a defined timeline.</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600 Critical and High findings.</w:t>
            </w:r>
          </w:p>
        </w:tc>
      </w:tr>
      <w:tr>
        <w:trPr>
          <w:cantSplit/>
        </w:trPr>
        <w:tc>
          <w:tcPr>
            <w:tcW w:type="dxa" w:w="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w:t>
            </w:r>
          </w:p>
        </w:tc>
        <w:tc>
          <w:tcPr>
            <w:tcW w:type="dxa" w:w="21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Endpoint protection</w:t>
            </w:r>
          </w:p>
        </w:tc>
        <w:tc>
          <w:tcPr>
            <w:tcW w:type="dxa" w:w="3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EDR or XDR on all endpoints and servers with centralised monitoring and automated containment.</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Undetected malware and intrusion.</w:t>
            </w:r>
          </w:p>
        </w:tc>
      </w:tr>
      <w:tr>
        <w:trPr>
          <w:cantSplit/>
        </w:trPr>
        <w:tc>
          <w:tcPr>
            <w:tcW w:type="dxa" w:w="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w:t>
            </w:r>
          </w:p>
        </w:tc>
        <w:tc>
          <w:tcPr>
            <w:tcW w:type="dxa" w:w="21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Network security</w:t>
            </w:r>
          </w:p>
        </w:tc>
        <w:tc>
          <w:tcPr>
            <w:tcW w:type="dxa" w:w="3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Implement a next-generation firewall with internal segmentation. Isolate the CCTV network and allow only approved ports and services. Block unnecessary internet access.</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Lateral movement and data exfiltration.</w:t>
            </w:r>
          </w:p>
        </w:tc>
      </w:tr>
      <w:tr>
        <w:trPr>
          <w:cantSplit/>
        </w:trPr>
        <w:tc>
          <w:tcPr>
            <w:tcW w:type="dxa" w:w="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w:t>
            </w:r>
          </w:p>
        </w:tc>
        <w:tc>
          <w:tcPr>
            <w:tcW w:type="dxa" w:w="21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IP and asset management</w:t>
            </w:r>
          </w:p>
        </w:tc>
        <w:tc>
          <w:tcPr>
            <w:tcW w:type="dxa" w:w="3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Assign IP addresses centrally by DHCP reservation with IP and MAC binding. Standardise hostnames and labels and the asset inventory.</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Bypass of restrictions and unknown devices.</w:t>
            </w:r>
          </w:p>
        </w:tc>
      </w:tr>
      <w:tr>
        <w:trPr>
          <w:cantSplit/>
        </w:trPr>
        <w:tc>
          <w:tcPr>
            <w:tcW w:type="dxa" w:w="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w:t>
            </w:r>
          </w:p>
        </w:tc>
        <w:tc>
          <w:tcPr>
            <w:tcW w:type="dxa" w:w="21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Centralised administration</w:t>
            </w:r>
          </w:p>
        </w:tc>
        <w:tc>
          <w:tcPr>
            <w:tcW w:type="dxa" w:w="3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Active Directory with Group Policy to prevent users changing network settings.</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Unauthorised configuration changes.</w:t>
            </w:r>
          </w:p>
        </w:tc>
      </w:tr>
      <w:tr>
        <w:trPr>
          <w:cantSplit/>
        </w:trPr>
        <w:tc>
          <w:tcPr>
            <w:tcW w:type="dxa" w:w="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6</w:t>
            </w:r>
          </w:p>
        </w:tc>
        <w:tc>
          <w:tcPr>
            <w:tcW w:type="dxa" w:w="21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Continuous assurance</w:t>
            </w:r>
          </w:p>
        </w:tc>
        <w:tc>
          <w:tcPr>
            <w:tcW w:type="dxa" w:w="3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Conduct periodic vulnerability scanning. Revalidate after remediation. Reassess after any significant change.</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New weaknesses going unnoticed.</w:t>
            </w:r>
          </w:p>
        </w:tc>
      </w:tr>
    </w:tbl>
    <w:p>
      <w:pPr>
        <w:spacing w:after="80"/>
      </w:pPr>
    </w:p>
    <w:p>
      <w:pPr>
        <w:keepNext/>
        <w:spacing w:after="120" w:line="276"/>
      </w:pPr>
      <w:r>
        <w:rPr>
          <w:rFonts w:ascii="Arial" w:cs="Arial" w:eastAsia="Arial" w:hAnsi="Arial"/>
          <w:sz w:val="21"/>
          <w:szCs w:val="21"/>
        </w:rPr>
        <w:t xml:space="preserve">Recommended remediation timeline: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2706"/>
      </w:tblGrid>
      <w:tr>
        <w:trPr>
          <w:cantSplit/>
          <w:tblHeader/>
        </w:trPr>
        <w:tc>
          <w:tcPr>
            <w:tcW w:type="dxa" w:w="2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Phase</w:t>
            </w:r>
          </w:p>
        </w:tc>
        <w:tc>
          <w:tcPr>
            <w:tcW w:type="dxa" w:w="52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Actions</w:t>
            </w:r>
          </w:p>
        </w:tc>
        <w:tc>
          <w:tcPr>
            <w:tcW w:type="dxa" w:w="27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Outcome</w:t>
            </w:r>
          </w:p>
        </w:tc>
      </w:tr>
      <w:tr>
        <w:trPr>
          <w:cantSplit/>
        </w:trPr>
        <w:tc>
          <w:tcPr>
            <w:tcW w:type="dxa" w:w="200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0 to 7</w:t>
            </w:r>
          </w:p>
          <w:p>
            <w:pPr>
              <w:spacing w:after="50" w:line="260"/>
            </w:pPr>
            <w:r>
              <w:rPr>
                <w:rFonts w:ascii="Arial" w:cs="Arial" w:eastAsia="Arial" w:hAnsi="Arial"/>
                <w:sz w:val="19"/>
                <w:szCs w:val="19"/>
              </w:rPr>
              <w:t xml:space="preserve">Contain and build controls</w:t>
            </w:r>
          </w:p>
        </w:tc>
        <w:tc>
          <w:tcPr>
            <w:tcW w:type="dxa" w:w="5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Investigate the 2 hosts flagged as possibly compromised. Patch or isolate hosts exposed to EternalBlue and BlueKeep. Disable SMBv1 and Telnet. Remediate the 4 Critical CCTV findings. Deploy EDR or XDR. Install a next-generation firewall with internal segmentation. Move CCTV to its own network. Implement central IP addressing with IP and MAC binding. Enforce Active Directory with Group Policy.</w:t>
            </w:r>
          </w:p>
        </w:tc>
        <w:tc>
          <w:tcPr>
            <w:tcW w:type="dxa" w:w="2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Highest-risk exposures closed. Attacks detected and contained.</w:t>
            </w:r>
          </w:p>
        </w:tc>
      </w:tr>
      <w:tr>
        <w:trPr>
          <w:cantSplit/>
        </w:trPr>
        <w:tc>
          <w:tcPr>
            <w:tcW w:type="dxa" w:w="200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8 to 30</w:t>
            </w:r>
          </w:p>
          <w:p>
            <w:pPr>
              <w:spacing w:after="50" w:line="260"/>
            </w:pPr>
            <w:r>
              <w:rPr>
                <w:rFonts w:ascii="Arial" w:cs="Arial" w:eastAsia="Arial" w:hAnsi="Arial"/>
                <w:sz w:val="19"/>
                <w:szCs w:val="19"/>
              </w:rPr>
              <w:t xml:space="preserve">Remediate</w:t>
            </w:r>
          </w:p>
        </w:tc>
        <w:tc>
          <w:tcPr>
            <w:tcW w:type="dxa" w:w="5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SMB signing and remote desktop NLA. Disable NTLMv1 and HTTP TRACE. Restrict TLS to 1.2 or higher. Remediate remaining Critical and High findings.</w:t>
            </w:r>
          </w:p>
        </w:tc>
        <w:tc>
          <w:tcPr>
            <w:tcW w:type="dxa" w:w="2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Critical and High findings closed.</w:t>
            </w:r>
          </w:p>
        </w:tc>
      </w:tr>
      <w:tr>
        <w:trPr>
          <w:cantSplit/>
        </w:trPr>
        <w:tc>
          <w:tcPr>
            <w:tcW w:type="dxa" w:w="2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31 to 90</w:t>
            </w:r>
          </w:p>
          <w:p>
            <w:pPr>
              <w:spacing w:after="50" w:line="260"/>
            </w:pPr>
            <w:r>
              <w:rPr>
                <w:rFonts w:ascii="Arial" w:cs="Arial" w:eastAsia="Arial" w:hAnsi="Arial"/>
                <w:sz w:val="19"/>
                <w:szCs w:val="19"/>
              </w:rPr>
              <w:t xml:space="preserve">Sustain</w:t>
            </w:r>
          </w:p>
        </w:tc>
        <w:tc>
          <w:tcPr>
            <w:tcW w:type="dxa" w:w="5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Reissue weak certificates. Standardise hostnames and labels and the asset inventory. Begin scheduled scanning. Close Medium and Low findings. Revalidation.</w:t>
            </w:r>
          </w:p>
        </w:tc>
        <w:tc>
          <w:tcPr>
            <w:tcW w:type="dxa" w:w="2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Verified closure and an ongoing assurance process.</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7. Conclusion</w:t>
      </w:r>
    </w:p>
    <w:p>
      <w:pPr>
        <w:spacing w:after="120" w:line="276"/>
      </w:pPr>
      <w:r>
        <w:rPr>
          <w:rFonts w:ascii="Arial" w:cs="Arial" w:eastAsia="Arial" w:hAnsi="Arial"/>
          <w:sz w:val="21"/>
          <w:szCs w:val="21"/>
        </w:rPr>
        <w:t xml:space="preserve">Serious security gaps exist across the internal network and CCTV infrastructure. Critical and High vulnerabilities expose the organisation to compromise and must be addressed immediately. The certificate remains valid until revalidation or any change to the in-scope infrastructure whichever is earlier. Successful remediation should be confirmed through revalidation.</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Selkey Cyber Security Pvt. Ltd. | Confidential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Anjali Labtech Executive Summary</dc:title>
  <dc:creator>Selkey Cyber Security Pvt. Ltd.</dc:creator>
  <cp:lastModifiedBy>Un-named</cp:lastModifiedBy>
  <cp:revision>1</cp:revision>
  <dcterms:created xsi:type="dcterms:W3CDTF">2026-10-07T08:09:36.166Z</dcterms:created>
  <dcterms:modified xsi:type="dcterms:W3CDTF">2026-10-07T08:09:36.171Z</dcterms:modified>
</cp:coreProperties>
</file>

<file path=docProps/custom.xml><?xml version="1.0" encoding="utf-8"?>
<Properties xmlns="http://schemas.openxmlformats.org/officeDocument/2006/custom-properties" xmlns:vt="http://schemas.openxmlformats.org/officeDocument/2006/docPropsVTypes"/>
</file>