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6E"/>
          <w:sz w:val="22"/>
          <w:szCs w:val="22"/>
        </w:rPr>
        <w:t xml:space="preserve">SELKEY CYBER SECURITY PVT. LTD.</w:t>
      </w:r>
    </w:p>
    <w:p>
      <w:pPr>
        <w:spacing w:after="60"/>
      </w:pPr>
      <w:r>
        <w:rPr>
          <w:rFonts w:ascii="Arial" w:cs="Arial" w:eastAsia="Arial" w:hAnsi="Arial"/>
          <w:b/>
          <w:bCs/>
          <w:color w:val="1F3A6E"/>
          <w:sz w:val="48"/>
          <w:szCs w:val="48"/>
        </w:rPr>
        <w:t xml:space="preserve">Executive Summary</w:t>
      </w:r>
    </w:p>
    <w:p>
      <w:pPr>
        <w:pBdr>
          <w:bottom w:val="single" w:color="1F3A6E" w:sz="12" w:space="6"/>
        </w:pBdr>
        <w:spacing w:after="200"/>
      </w:pPr>
      <w:r>
        <w:rPr>
          <w:rFonts w:ascii="Arial" w:cs="Arial" w:eastAsia="Arial" w:hAnsi="Arial"/>
          <w:color w:val="555555"/>
          <w:sz w:val="24"/>
          <w:szCs w:val="24"/>
        </w:rPr>
        <w:t xml:space="preserve">Internal Network and CCTV Vulnerability Assessment and Penetration Testing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Auditee</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Anjali Labtech Limited. Anjali House, 2nd and 3rd Floor, Plot No. 210-211, Opp. Gitanjali Petrol Pump, Surat, Gujarat 395006. CIN: U32112GJ2021PLC122609</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Audit details</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Internal Network VAPT (Report Version 1.0) and CCTV / IoT VAPT (Report Version 1.0)</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Audit scope</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Internal network: 414 endpoints and 6 servers and 2 routers. CCTV: 446 devices</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Audit methodology</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Grey box testing in the production environment (internal network)</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Assessment period</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28 September 2026 to 3 October 2026</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Assessment status</w:t>
            </w:r>
          </w:p>
        </w:tc>
        <w:tc>
          <w:tcPr>
            <w:tcW w:type="dxa" w:w="7406"/>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Open</w:t>
            </w:r>
            <w:r>
              <w:rPr>
                <w:rFonts w:ascii="Arial" w:cs="Arial" w:eastAsia="Arial" w:hAnsi="Arial"/>
                <w:sz w:val="19"/>
                <w:szCs w:val="19"/>
              </w:rPr>
              <w:t xml:space="preserve">: remediation and revalidation pending</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Audit team</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Vivek Thakkar (Sr. Security Analyst). Reviewed by Nruzal Darji (Project Manager)</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Certificate no.</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SCS/VAPTCERT/ALL/NET/051026ALL00 (draft)</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Issue date</w:t>
            </w:r>
          </w:p>
        </w:tc>
        <w:tc>
          <w:tcPr>
            <w:tcW w:type="dxa" w:w="7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5 October 2026. Issued by Dhruvesh Panchal, Director and CEO</w:t>
            </w:r>
          </w:p>
        </w:tc>
      </w:tr>
    </w:tbl>
    <w:p>
      <w:pPr>
        <w:spacing w:after="80"/>
      </w:pPr>
    </w:p>
    <w:p>
      <w:pPr>
        <w:pStyle w:val="Heading1"/>
        <w:keepNext/>
        <w:pBdr>
          <w:bottom w:val="single" w:color="1F3A6E" w:sz="8" w:space="4"/>
        </w:pBdr>
        <w:spacing w:after="140" w:before="360"/>
      </w:pPr>
      <w:r>
        <w:rPr>
          <w:rFonts w:ascii="Arial" w:cs="Arial" w:eastAsia="Arial" w:hAnsi="Arial"/>
          <w:b/>
          <w:bCs/>
          <w:color w:val="1F3A6E"/>
          <w:sz w:val="30"/>
          <w:szCs w:val="30"/>
        </w:rPr>
        <w:t xml:space="preserve">1. Overview</w:t>
      </w:r>
    </w:p>
    <w:p>
      <w:pPr>
        <w:spacing w:after="120" w:line="276"/>
      </w:pPr>
      <w:r>
        <w:rPr>
          <w:rFonts w:ascii="Arial" w:cs="Arial" w:eastAsia="Arial" w:hAnsi="Arial"/>
          <w:sz w:val="21"/>
          <w:szCs w:val="21"/>
        </w:rPr>
        <w:t xml:space="preserve">Selkey Cyber Security Pvt. Ltd. assessed the internal network and CCTV infrastructure of Anjali Labtech Limited. The assessment identified </w:t>
      </w:r>
      <w:r>
        <w:rPr>
          <w:rFonts w:ascii="Arial" w:cs="Arial" w:eastAsia="Arial" w:hAnsi="Arial"/>
          <w:b/>
          <w:bCs/>
          <w:sz w:val="21"/>
          <w:szCs w:val="21"/>
        </w:rPr>
        <w:t xml:space="preserve">752 vulnerabilities</w:t>
      </w:r>
      <w:r>
        <w:rPr>
          <w:rFonts w:ascii="Arial" w:cs="Arial" w:eastAsia="Arial" w:hAnsi="Arial"/>
          <w:sz w:val="21"/>
          <w:szCs w:val="21"/>
        </w:rPr>
        <w:t xml:space="preserve"> of which </w:t>
      </w:r>
      <w:r>
        <w:rPr>
          <w:rFonts w:ascii="Arial" w:cs="Arial" w:eastAsia="Arial" w:hAnsi="Arial"/>
          <w:b/>
          <w:bCs/>
          <w:sz w:val="21"/>
          <w:szCs w:val="21"/>
        </w:rPr>
        <w:t xml:space="preserve">116 are Critical and 484 are High</w:t>
      </w:r>
      <w:r>
        <w:rPr>
          <w:rFonts w:ascii="Arial" w:cs="Arial" w:eastAsia="Arial" w:hAnsi="Arial"/>
          <w:sz w:val="21"/>
          <w:szCs w:val="21"/>
        </w:rPr>
        <w:t xml:space="preserve">. The internal network is rated </w:t>
      </w:r>
      <w:r>
        <w:rPr>
          <w:rFonts w:ascii="Arial" w:cs="Arial" w:eastAsia="Arial" w:hAnsi="Arial"/>
          <w:b/>
          <w:bCs/>
          <w:sz w:val="21"/>
          <w:szCs w:val="21"/>
        </w:rPr>
        <w:t xml:space="preserve">High</w:t>
      </w:r>
      <w:r>
        <w:rPr>
          <w:rFonts w:ascii="Arial" w:cs="Arial" w:eastAsia="Arial" w:hAnsi="Arial"/>
          <w:sz w:val="21"/>
          <w:szCs w:val="21"/>
        </w:rPr>
        <w:t xml:space="preserve"> risk and the CCTV infrastructure </w:t>
      </w:r>
      <w:r>
        <w:rPr>
          <w:rFonts w:ascii="Arial" w:cs="Arial" w:eastAsia="Arial" w:hAnsi="Arial"/>
          <w:b/>
          <w:bCs/>
          <w:sz w:val="21"/>
          <w:szCs w:val="21"/>
        </w:rPr>
        <w:t xml:space="preserve">Medium</w:t>
      </w:r>
      <w:r>
        <w:rPr>
          <w:rFonts w:ascii="Arial" w:cs="Arial" w:eastAsia="Arial" w:hAnsi="Arial"/>
          <w:sz w:val="21"/>
          <w:szCs w:val="21"/>
        </w:rPr>
        <w:t xml:space="preserve"> risk. No finding has been remediated as of the report date.</w:t>
      </w:r>
    </w:p>
    <w:p>
      <w:pPr>
        <w:spacing w:after="120" w:line="276"/>
      </w:pPr>
      <w:r>
        <w:rPr>
          <w:rFonts w:ascii="Arial" w:cs="Arial" w:eastAsia="Arial" w:hAnsi="Arial"/>
          <w:sz w:val="21"/>
          <w:szCs w:val="21"/>
        </w:rPr>
        <w:t xml:space="preserve">The most significant risks are network services open to remote attack and weak authentication and encryption. They are compounded by the absence of endpoint detection and an unsegmented network. If exploited they could lead to ransomware or data theft or loss of CCTV evidence. Critical and High findings must be remediated immediately and Medium and Low findings within a defined timeline. Deployment of EDR or XDR and a next-generation firewall with internal segmentation is the first implementation priority. Sections 5 to 7 set out each issue with its impact and mitigation.</w:t>
      </w:r>
    </w:p>
    <w:p>
      <w:pPr>
        <w:pStyle w:val="Heading1"/>
        <w:keepNext/>
        <w:pBdr>
          <w:bottom w:val="single" w:color="1F3A6E" w:sz="8" w:space="4"/>
        </w:pBdr>
        <w:spacing w:after="140" w:before="360"/>
      </w:pPr>
      <w:r>
        <w:rPr>
          <w:rFonts w:ascii="Arial" w:cs="Arial" w:eastAsia="Arial" w:hAnsi="Arial"/>
          <w:b/>
          <w:bCs/>
          <w:color w:val="1F3A6E"/>
          <w:sz w:val="30"/>
          <w:szCs w:val="30"/>
        </w:rPr>
        <w:t xml:space="preserve">2. Summary of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1050"/>
        <w:gridCol w:w="1050"/>
        <w:gridCol w:w="1100"/>
        <w:gridCol w:w="1000"/>
        <w:gridCol w:w="1000"/>
        <w:gridCol w:w="2406"/>
      </w:tblGrid>
      <w:tr>
        <w:trPr>
          <w:cantSplit/>
          <w:tblHeader/>
        </w:trPr>
        <w:tc>
          <w:tcPr>
            <w:tcW w:type="dxa" w:w="23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Assessment</w:t>
            </w:r>
          </w:p>
        </w:tc>
        <w:tc>
          <w:tcPr>
            <w:tcW w:type="dxa" w:w="105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Critical</w:t>
            </w:r>
          </w:p>
        </w:tc>
        <w:tc>
          <w:tcPr>
            <w:tcW w:type="dxa" w:w="105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High</w:t>
            </w:r>
          </w:p>
        </w:tc>
        <w:tc>
          <w:tcPr>
            <w:tcW w:type="dxa" w:w="11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Medium</w:t>
            </w:r>
          </w:p>
        </w:tc>
        <w:tc>
          <w:tcPr>
            <w:tcW w:type="dxa" w:w="10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Low</w:t>
            </w:r>
          </w:p>
        </w:tc>
        <w:tc>
          <w:tcPr>
            <w:tcW w:type="dxa" w:w="10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Total</w:t>
            </w:r>
          </w:p>
        </w:tc>
        <w:tc>
          <w:tcPr>
            <w:tcW w:type="dxa" w:w="24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Overall risk</w:t>
            </w:r>
          </w:p>
        </w:tc>
      </w:tr>
      <w:tr>
        <w:trPr>
          <w:cantSplit/>
        </w:trPr>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Internal network</w:t>
            </w:r>
          </w:p>
        </w:tc>
        <w:tc>
          <w:tcPr>
            <w:tcW w:type="dxa" w:w="105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112</w:t>
            </w:r>
          </w:p>
        </w:tc>
        <w:tc>
          <w:tcPr>
            <w:tcW w:type="dxa" w:w="1050"/>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483</w:t>
            </w:r>
          </w:p>
        </w:tc>
        <w:tc>
          <w:tcPr>
            <w:tcW w:type="dxa" w:w="110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116</w:t>
            </w:r>
          </w:p>
        </w:tc>
        <w:tc>
          <w:tcPr>
            <w:tcW w:type="dxa" w:w="1000"/>
            <w:tcBorders>
              <w:top w:val="single" w:color="BFC7D5" w:sz="4"/>
              <w:left w:val="single" w:color="BFC7D5" w:sz="4"/>
              <w:bottom w:val="single" w:color="BFC7D5" w:sz="4"/>
              <w:right w:val="single" w:color="BFC7D5" w:sz="4"/>
            </w:tcBorders>
            <w:shd w:fill="E5F3E6"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19</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730</w:t>
            </w:r>
          </w:p>
        </w:tc>
        <w:tc>
          <w:tcPr>
            <w:tcW w:type="dxa" w:w="2406"/>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High</w:t>
            </w:r>
          </w:p>
        </w:tc>
      </w:tr>
      <w:tr>
        <w:trPr>
          <w:cantSplit/>
        </w:trPr>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CCTV / IoT</w:t>
            </w:r>
          </w:p>
        </w:tc>
        <w:tc>
          <w:tcPr>
            <w:tcW w:type="dxa" w:w="105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4</w:t>
            </w:r>
          </w:p>
        </w:tc>
        <w:tc>
          <w:tcPr>
            <w:tcW w:type="dxa" w:w="1050"/>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w:t>
            </w:r>
          </w:p>
        </w:tc>
        <w:tc>
          <w:tcPr>
            <w:tcW w:type="dxa" w:w="110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13</w:t>
            </w:r>
          </w:p>
        </w:tc>
        <w:tc>
          <w:tcPr>
            <w:tcW w:type="dxa" w:w="1000"/>
            <w:tcBorders>
              <w:top w:val="single" w:color="BFC7D5" w:sz="4"/>
              <w:left w:val="single" w:color="BFC7D5" w:sz="4"/>
              <w:bottom w:val="single" w:color="BFC7D5" w:sz="4"/>
              <w:right w:val="single" w:color="BFC7D5" w:sz="4"/>
            </w:tcBorders>
            <w:shd w:fill="E5F3E6"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4</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22</w:t>
            </w:r>
          </w:p>
        </w:tc>
        <w:tc>
          <w:tcPr>
            <w:tcW w:type="dxa" w:w="2406"/>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Medium</w:t>
            </w:r>
          </w:p>
        </w:tc>
      </w:tr>
      <w:tr>
        <w:trPr>
          <w:cantSplit/>
        </w:trPr>
        <w:tc>
          <w:tcPr>
            <w:tcW w:type="dxa" w:w="23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Combined</w:t>
            </w:r>
          </w:p>
        </w:tc>
        <w:tc>
          <w:tcPr>
            <w:tcW w:type="dxa" w:w="105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116</w:t>
            </w:r>
          </w:p>
        </w:tc>
        <w:tc>
          <w:tcPr>
            <w:tcW w:type="dxa" w:w="1050"/>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484</w:t>
            </w:r>
          </w:p>
        </w:tc>
        <w:tc>
          <w:tcPr>
            <w:tcW w:type="dxa" w:w="110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129</w:t>
            </w:r>
          </w:p>
        </w:tc>
        <w:tc>
          <w:tcPr>
            <w:tcW w:type="dxa" w:w="1000"/>
            <w:tcBorders>
              <w:top w:val="single" w:color="BFC7D5" w:sz="4"/>
              <w:left w:val="single" w:color="BFC7D5" w:sz="4"/>
              <w:bottom w:val="single" w:color="BFC7D5" w:sz="4"/>
              <w:right w:val="single" w:color="BFC7D5" w:sz="4"/>
            </w:tcBorders>
            <w:shd w:fill="E5F3E6"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23</w:t>
            </w:r>
          </w:p>
        </w:tc>
        <w:tc>
          <w:tcPr>
            <w:tcW w:type="dxa" w:w="10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752</w:t>
            </w:r>
          </w:p>
        </w:tc>
        <w:tc>
          <w:tcPr>
            <w:tcW w:type="dxa" w:w="24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p>
        </w:tc>
      </w:tr>
    </w:tbl>
    <w:p>
      <w:pPr>
        <w:spacing w:after="80"/>
      </w:pPr>
    </w:p>
    <w:p>
      <w:pPr>
        <w:spacing w:after="120" w:line="276"/>
      </w:pPr>
      <w:r>
        <w:rPr>
          <w:rFonts w:ascii="Arial" w:cs="Arial" w:eastAsia="Arial" w:hAnsi="Arial"/>
          <w:sz w:val="19"/>
          <w:szCs w:val="19"/>
        </w:rPr>
        <w:t xml:space="preserve">Critical: complete compromise of a system or remote code execution is possible. High: unauthorised access or disclosure of sensitive information. Medium: exploitation needs additional conditions. Low: limited impact on its own.</w:t>
      </w:r>
    </w:p>
    <w:p>
      <w:pPr>
        <w:pStyle w:val="Heading1"/>
        <w:keepNext/>
        <w:pBdr>
          <w:bottom w:val="single" w:color="1F3A6E" w:sz="8" w:space="4"/>
        </w:pBdr>
        <w:spacing w:after="140" w:before="360"/>
      </w:pPr>
      <w:r>
        <w:rPr>
          <w:rFonts w:ascii="Arial" w:cs="Arial" w:eastAsia="Arial" w:hAnsi="Arial"/>
          <w:b/>
          <w:bCs/>
          <w:color w:val="1F3A6E"/>
          <w:sz w:val="30"/>
          <w:szCs w:val="30"/>
        </w:rPr>
        <w:t xml:space="preserve">3. Key observations</w:t>
      </w:r>
    </w:p>
    <w:p>
      <w:pPr>
        <w:pStyle w:val="ListParagraph"/>
        <w:numPr>
          <w:ilvl w:val="0"/>
          <w:numId w:val="2"/>
        </w:numPr>
        <w:spacing w:after="70" w:line="270"/>
      </w:pPr>
      <w:r>
        <w:rPr>
          <w:rFonts w:ascii="Arial" w:cs="Arial" w:eastAsia="Arial" w:hAnsi="Arial"/>
          <w:b/>
          <w:bCs/>
          <w:sz w:val="21"/>
          <w:szCs w:val="21"/>
        </w:rPr>
        <w:t xml:space="preserve">Endpoint protection:</w:t>
      </w:r>
      <w:r>
        <w:rPr>
          <w:rFonts w:ascii="Arial" w:cs="Arial" w:eastAsia="Arial" w:hAnsi="Arial"/>
          <w:sz w:val="21"/>
          <w:szCs w:val="21"/>
        </w:rPr>
        <w:t xml:space="preserve"> no Endpoint Detection and Response (EDR) or Extended Detection and Response (XDR) solution is deployed on endpoints and servers.</w:t>
      </w:r>
    </w:p>
    <w:p>
      <w:pPr>
        <w:pStyle w:val="ListParagraph"/>
        <w:numPr>
          <w:ilvl w:val="0"/>
          <w:numId w:val="2"/>
        </w:numPr>
        <w:spacing w:after="70" w:line="270"/>
      </w:pPr>
      <w:r>
        <w:rPr>
          <w:rFonts w:ascii="Arial" w:cs="Arial" w:eastAsia="Arial" w:hAnsi="Arial"/>
          <w:b/>
          <w:bCs/>
          <w:sz w:val="21"/>
          <w:szCs w:val="21"/>
        </w:rPr>
        <w:t xml:space="preserve">Internet access control:</w:t>
      </w:r>
      <w:r>
        <w:rPr>
          <w:rFonts w:ascii="Arial" w:cs="Arial" w:eastAsia="Arial" w:hAnsi="Arial"/>
          <w:sz w:val="21"/>
          <w:szCs w:val="21"/>
        </w:rPr>
        <w:t xml:space="preserve"> internet access is unrestricted where it must be blocked.</w:t>
      </w:r>
    </w:p>
    <w:p>
      <w:pPr>
        <w:pStyle w:val="ListParagraph"/>
        <w:numPr>
          <w:ilvl w:val="0"/>
          <w:numId w:val="2"/>
        </w:numPr>
        <w:spacing w:after="70" w:line="270"/>
      </w:pPr>
      <w:r>
        <w:rPr>
          <w:rFonts w:ascii="Arial" w:cs="Arial" w:eastAsia="Arial" w:hAnsi="Arial"/>
          <w:b/>
          <w:bCs/>
          <w:sz w:val="21"/>
          <w:szCs w:val="21"/>
        </w:rPr>
        <w:t xml:space="preserve">IP address management:</w:t>
      </w:r>
      <w:r>
        <w:rPr>
          <w:rFonts w:ascii="Arial" w:cs="Arial" w:eastAsia="Arial" w:hAnsi="Arial"/>
          <w:sz w:val="21"/>
          <w:szCs w:val="21"/>
        </w:rPr>
        <w:t xml:space="preserve"> any user can change locally set IP addresses to bypass restrictions.</w:t>
      </w:r>
    </w:p>
    <w:p>
      <w:pPr>
        <w:pStyle w:val="ListParagraph"/>
        <w:numPr>
          <w:ilvl w:val="0"/>
          <w:numId w:val="2"/>
        </w:numPr>
        <w:spacing w:after="70" w:line="270"/>
      </w:pPr>
      <w:r>
        <w:rPr>
          <w:rFonts w:ascii="Arial" w:cs="Arial" w:eastAsia="Arial" w:hAnsi="Arial"/>
          <w:b/>
          <w:bCs/>
          <w:sz w:val="21"/>
          <w:szCs w:val="21"/>
        </w:rPr>
        <w:t xml:space="preserve">Asset identification:</w:t>
      </w:r>
      <w:r>
        <w:rPr>
          <w:rFonts w:ascii="Arial" w:cs="Arial" w:eastAsia="Arial" w:hAnsi="Arial"/>
          <w:sz w:val="21"/>
          <w:szCs w:val="21"/>
        </w:rPr>
        <w:t xml:space="preserve"> hostnames are not standardised and devices are not labelled.</w:t>
      </w:r>
    </w:p>
    <w:p>
      <w:pPr>
        <w:pStyle w:val="ListParagraph"/>
        <w:numPr>
          <w:ilvl w:val="0"/>
          <w:numId w:val="2"/>
        </w:numPr>
        <w:spacing w:after="70" w:line="270"/>
      </w:pPr>
      <w:r>
        <w:rPr>
          <w:rFonts w:ascii="Arial" w:cs="Arial" w:eastAsia="Arial" w:hAnsi="Arial"/>
          <w:b/>
          <w:bCs/>
          <w:sz w:val="21"/>
          <w:szCs w:val="21"/>
        </w:rPr>
        <w:t xml:space="preserve">Vulnerability management:</w:t>
      </w:r>
      <w:r>
        <w:rPr>
          <w:rFonts w:ascii="Arial" w:cs="Arial" w:eastAsia="Arial" w:hAnsi="Arial"/>
          <w:sz w:val="21"/>
          <w:szCs w:val="21"/>
        </w:rPr>
        <w:t xml:space="preserve"> production systems are not periodically scanned or checked.</w:t>
      </w:r>
    </w:p>
    <w:p>
      <w:pPr>
        <w:pStyle w:val="Heading1"/>
        <w:keepNext/>
        <w:pBdr>
          <w:bottom w:val="single" w:color="1F3A6E" w:sz="8" w:space="4"/>
        </w:pBdr>
        <w:spacing w:after="140" w:before="360"/>
      </w:pPr>
      <w:r>
        <w:rPr>
          <w:rFonts w:ascii="Arial" w:cs="Arial" w:eastAsia="Arial" w:hAnsi="Arial"/>
          <w:b/>
          <w:bCs/>
          <w:color w:val="1F3A6E"/>
          <w:sz w:val="30"/>
          <w:szCs w:val="30"/>
        </w:rPr>
        <w:t xml:space="preserve">4. Business impact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706"/>
      </w:tblGrid>
      <w:tr>
        <w:trPr>
          <w:cantSplit/>
          <w:tblHeader/>
        </w:trPr>
        <w:tc>
          <w:tcPr>
            <w:tcW w:type="dxa" w:w="25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Area</w:t>
            </w:r>
          </w:p>
        </w:tc>
        <w:tc>
          <w:tcPr>
            <w:tcW w:type="dxa" w:w="37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Potential impact</w:t>
            </w:r>
          </w:p>
        </w:tc>
        <w:tc>
          <w:tcPr>
            <w:tcW w:type="dxa" w:w="37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Business consequence</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Operations</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Ransomware or a network outbreak locks or disables computers and servers.</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Work stops until systems are rebuilt. Recovery costs and possible ransom demand.</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Data confidentiality</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Credentials and files are intercepted or relayed across the network. Databases are reached from a compromised host.</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Loss of company and customer information. Legal and contractual exposure.</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Physical security</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CCTV devices are accessed without authentication. Recordings are viewed or deleted.</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Evidence may be unavailable or untrustworthy after an incident.</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Lateral movement</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compromised camera or workstation provides a path to servers because the network is not segmented.</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single weak device becomes a company-wide incident.</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Detection and response</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No EDR or XDR and no routine scanning. Devices are unlabelled.</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Intrusions remain unnoticed for longer. Recovery is slower and more costly.</w:t>
            </w:r>
          </w:p>
        </w:tc>
      </w:tr>
      <w:tr>
        <w:trPr>
          <w:cantSplit/>
        </w:trPr>
        <w:tc>
          <w:tcPr>
            <w:tcW w:type="dxa" w:w="25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Compliance and reputation</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752 open findings and no periodic assessment.</w:t>
            </w:r>
          </w:p>
        </w:tc>
        <w:tc>
          <w:tcPr>
            <w:tcW w:type="dxa" w:w="3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Reduced customer and auditor confidence.</w:t>
            </w:r>
          </w:p>
        </w:tc>
      </w:tr>
    </w:tbl>
    <w:p>
      <w:pPr>
        <w:pStyle w:val="Heading1"/>
        <w:keepNext/>
        <w:pBdr>
          <w:bottom w:val="single" w:color="1F3A6E" w:sz="8" w:space="4"/>
        </w:pBdr>
        <w:spacing w:after="140" w:before="360"/>
      </w:pPr>
      <w:r>
        <w:rPr>
          <w:rFonts w:ascii="Arial" w:cs="Arial" w:eastAsia="Arial" w:hAnsi="Arial"/>
          <w:b/>
          <w:bCs/>
          <w:color w:val="1F3A6E"/>
          <w:sz w:val="30"/>
          <w:szCs w:val="30"/>
        </w:rPr>
        <w:t xml:space="preserve">5. Network vulnerabilities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21"/>
                <w:szCs w:val="21"/>
              </w:rPr>
              <w:t xml:space="preserve">5.1 Remotely exploitable network services   |   CRITICAL / HIGH</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What we found</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Known remote attacks apply to services on a small number of hosts. EternalBlue (MS17-010) on up to 5 hosts. BlueKeep remote desktop (CVE-2019-0708) on 1. MSMQ QueueJumper (CVE-2023-21554) on 1. SMBv1 on 1. HTTP.sys on 2. Print Spooler on 3. Older remote desktop flaws on up to 5.</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Why it matters</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Malware or an attacker can take over these hosts over the network without user action and spread to others. WannaCry and Petya spread through the same weaknesses.</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How to fix it</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Patch or isolate the affected hosts within 24 to 72 hours. Disable SMBv1. Block remote desktop and file sharing ports from user networks and untrusted segments.</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21"/>
                <w:szCs w:val="21"/>
              </w:rPr>
              <w:t xml:space="preserve">5.2 SMB signing not required   |   HIGH</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What we found</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File sharing does not require signed messages on 262 hosts.</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Why it matters</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 attacker on the network can intercept and relay logins (NTLM relay) and reach file shares and servers as a legitimate user and possibly as an administrator.</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How to fix it</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Require SMB signing on all hosts through Group Policy. Disable NTLM where possible. Restrict which hosts can connect to each other.</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21"/>
                <w:szCs w:val="21"/>
              </w:rPr>
              <w:t xml:space="preserve">5.3 Remote desktop weaknesses   |   HIGH / MEDIUM</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What we found</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Network Level Authentication is not enforced on 8 hosts. A man-in-the-middle weakness is present on 1. A low or medium encryption level is configured on 1.</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Why it matters</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Credentials can be attacked or captured by anyone who can reach the service. Weak remote desktop is a common ransomware entry point.</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How to fix it</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Enforce NLA and a high encryption level. Allow remote desktop only through a VPN or gateway from approved addresses. Enable account lockout.</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21"/>
                <w:szCs w:val="21"/>
              </w:rPr>
              <w:t xml:space="preserve">5.4 Clear-text and legacy authentication   |   MEDIUM</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What we found</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Telnet is enabled on 2 hosts. NTLMv1 is enabled on 1. HTTP TRACE and TRACK are allowed on 4 web servers.</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Why it matters</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Passwords and commands travel as readable text and can be captured. NTLMv1 hashes can be cracked quickly. TRACE can assist session theft.</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How to fix it</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Disable Telnet and use SSH. Allow NTLMv2 or Kerberos only. Disable HTTP TRACE and TRACK.</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21"/>
                <w:szCs w:val="21"/>
              </w:rPr>
              <w:t xml:space="preserve">5.5 Weak encryption on network services   |   HIGH / MEDIUM</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What we found</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TLS 1.0 and 1.1 are allowed on 40 hosts. SWEET32 ciphers on 21. Certificates signed with a weak hash on 4. RC4 on 2. SSL 2 and 3 on 2.</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Why it matters</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Captured traffic could be read or altered. A forged certificate could let an attacker impersonate a service.</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How to fix it</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Allow TLS 1.2 or higher only. Remove 3DES and RC4 ciphers. Reissue certificates with SHA-256 and RSA 2048 or higher.</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21"/>
                <w:szCs w:val="21"/>
              </w:rPr>
              <w:t xml:space="preserve">5.6 Unrestricted and unsegmented network   |   HIGH</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What we found</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Internet access is unrestricted where it must be blocked. Any user can change a locally set IP address to bypass restrictions. The certificate requires internal segmentation and CCTV network isolation.</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Why it matters</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 attacker on one device can reach others. Controls tied to IP addresses can be bypassed. Data can leave the network freely.</w:t>
            </w:r>
          </w:p>
        </w:tc>
      </w:tr>
      <w:tr>
        <w:trPr>
          <w:cantSplit/>
        </w:trPr>
        <w:tc>
          <w:tcPr>
            <w:tcW w:type="dxa" w:w="1700"/>
            <w:tcBorders>
              <w:top w:val="single" w:color="BFC7D5" w:sz="4"/>
              <w:left w:val="single" w:color="BFC7D5" w:sz="4"/>
              <w:bottom w:val="single" w:color="BFC7D5" w:sz="4"/>
              <w:right w:val="single" w:color="BFC7D5" w:sz="4"/>
            </w:tcBorders>
            <w:shd w:fill="F2F4F8"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How to fix it</w:t>
            </w:r>
          </w:p>
        </w:tc>
        <w:tc>
          <w:tcPr>
            <w:tcW w:type="dxa" w:w="82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Deploy a next-generation firewall with internal segmentation. Isolate CCTV and server networks. Allow only approved ports and services. Assign IP addresses by DHCP reservation with IP and MAC binding. Block unnecessary internet access.</w:t>
            </w:r>
          </w:p>
        </w:tc>
      </w:tr>
    </w:tbl>
    <w:p>
      <w:pPr>
        <w:spacing w:after="80"/>
      </w:pPr>
    </w:p>
    <w:p>
      <w:pPr>
        <w:pStyle w:val="Heading1"/>
        <w:keepNext/>
        <w:pBdr>
          <w:bottom w:val="single" w:color="1F3A6E" w:sz="8" w:space="4"/>
        </w:pBdr>
        <w:spacing w:after="140" w:before="360"/>
      </w:pPr>
      <w:r>
        <w:rPr>
          <w:rFonts w:ascii="Arial" w:cs="Arial" w:eastAsia="Arial" w:hAnsi="Arial"/>
          <w:b/>
          <w:bCs/>
          <w:color w:val="1F3A6E"/>
          <w:sz w:val="30"/>
          <w:szCs w:val="30"/>
        </w:rPr>
        <w:t xml:space="preserve">6. CCTV vulnerabilities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50"/>
        <w:gridCol w:w="2500"/>
        <w:gridCol w:w="2600"/>
        <w:gridCol w:w="3056"/>
      </w:tblGrid>
      <w:tr>
        <w:trPr>
          <w:cantSplit/>
          <w:tblHeader/>
        </w:trPr>
        <w:tc>
          <w:tcPr>
            <w:tcW w:type="dxa" w:w="175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Finding</w:t>
            </w:r>
          </w:p>
        </w:tc>
        <w:tc>
          <w:tcPr>
            <w:tcW w:type="dxa" w:w="25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Issue</w:t>
            </w:r>
          </w:p>
        </w:tc>
        <w:tc>
          <w:tcPr>
            <w:tcW w:type="dxa" w:w="26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Impact</w:t>
            </w:r>
          </w:p>
        </w:tc>
        <w:tc>
          <w:tcPr>
            <w:tcW w:type="dxa" w:w="305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Mitigation</w:t>
            </w:r>
          </w:p>
        </w:tc>
      </w:tr>
      <w:tr>
        <w:trPr>
          <w:cantSplit/>
        </w:trPr>
        <w:tc>
          <w:tcPr>
            <w:tcW w:type="dxa" w:w="175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Critical</w:t>
            </w:r>
          </w:p>
          <w:p>
            <w:pPr>
              <w:spacing w:after="50" w:line="260"/>
            </w:pPr>
            <w:r>
              <w:rPr>
                <w:rFonts w:ascii="Arial" w:cs="Arial" w:eastAsia="Arial" w:hAnsi="Arial"/>
                <w:sz w:val="19"/>
                <w:szCs w:val="19"/>
              </w:rPr>
              <w:t xml:space="preserve">192.168.11.100</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Ollama AI service is open on the network without authentication.</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Anyone on the network can use the service or use it to move further in.</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Add authentication or place it behind a protected gateway. Restrict access to approved addresses.</w:t>
            </w:r>
          </w:p>
        </w:tc>
      </w:tr>
      <w:tr>
        <w:trPr>
          <w:cantSplit/>
        </w:trPr>
        <w:tc>
          <w:tcPr>
            <w:tcW w:type="dxa" w:w="175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Critical</w:t>
            </w:r>
          </w:p>
          <w:p>
            <w:pPr>
              <w:spacing w:after="50" w:line="260"/>
            </w:pPr>
            <w:r>
              <w:rPr>
                <w:rFonts w:ascii="Arial" w:cs="Arial" w:eastAsia="Arial" w:hAnsi="Arial"/>
                <w:sz w:val="19"/>
                <w:szCs w:val="19"/>
              </w:rPr>
              <w:t xml:space="preserve">192.168.1.101</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SSL versions 2 and 3 are enabled.</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Traffic such as camera feeds and logins can be read or altered.</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Disable SSL 2 and 3. Allow TLS 1.2 or higher only.</w:t>
            </w:r>
          </w:p>
        </w:tc>
      </w:tr>
      <w:tr>
        <w:trPr>
          <w:cantSplit/>
        </w:trPr>
        <w:tc>
          <w:tcPr>
            <w:tcW w:type="dxa" w:w="175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Critical</w:t>
            </w:r>
          </w:p>
          <w:p>
            <w:pPr>
              <w:spacing w:after="50" w:line="260"/>
            </w:pPr>
            <w:r>
              <w:rPr>
                <w:rFonts w:ascii="Arial" w:cs="Arial" w:eastAsia="Arial" w:hAnsi="Arial"/>
                <w:sz w:val="19"/>
                <w:szCs w:val="19"/>
              </w:rPr>
              <w:t xml:space="preserve">192.168.1.8 and 192.168.1.196</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Outdated Dropbear and OpenSSH servers (Dropbear before 2016.72 and OpenSSH before 10.5).</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Known flaws allow takeover of the device and access to recordings.</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Update firmware or replace the unit. Allow SSH only from an administrator network.</w:t>
            </w:r>
          </w:p>
        </w:tc>
      </w:tr>
      <w:tr>
        <w:trPr>
          <w:cantSplit/>
        </w:trPr>
        <w:tc>
          <w:tcPr>
            <w:tcW w:type="dxa" w:w="1750"/>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High</w:t>
            </w:r>
          </w:p>
          <w:p>
            <w:pPr>
              <w:spacing w:after="50" w:line="260"/>
            </w:pPr>
            <w:r>
              <w:rPr>
                <w:rFonts w:ascii="Arial" w:cs="Arial" w:eastAsia="Arial" w:hAnsi="Arial"/>
                <w:sz w:val="19"/>
                <w:szCs w:val="19"/>
              </w:rPr>
              <w:t xml:space="preserve">10 devices</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SWEET32 weak ciphers (3DES and 64-bit).</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Long sessions can leak parts of encrypted traffic.</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Remove 3DES and 64-bit ciphers. Use AES-GCM or ChaCha20-Poly1305.</w:t>
            </w:r>
          </w:p>
        </w:tc>
      </w:tr>
      <w:tr>
        <w:trPr>
          <w:cantSplit/>
        </w:trPr>
        <w:tc>
          <w:tcPr>
            <w:tcW w:type="dxa" w:w="175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Medium</w:t>
            </w:r>
          </w:p>
          <w:p>
            <w:pPr>
              <w:spacing w:after="50" w:line="260"/>
            </w:pPr>
            <w:r>
              <w:rPr>
                <w:rFonts w:ascii="Arial" w:cs="Arial" w:eastAsia="Arial" w:hAnsi="Arial"/>
                <w:sz w:val="19"/>
                <w:szCs w:val="19"/>
              </w:rPr>
              <w:t xml:space="preserve">5 devices including gateway 192.168.11.1</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Telnet is enabled.</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Passwords and commands are exposed as clear text. The gateway links many cameras.</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Disable Telnet and use SSH.</w:t>
            </w:r>
          </w:p>
        </w:tc>
      </w:tr>
      <w:tr>
        <w:trPr>
          <w:cantSplit/>
        </w:trPr>
        <w:tc>
          <w:tcPr>
            <w:tcW w:type="dxa" w:w="175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Medium</w:t>
            </w:r>
          </w:p>
          <w:p>
            <w:pPr>
              <w:spacing w:after="50" w:line="260"/>
            </w:pPr>
            <w:r>
              <w:rPr>
                <w:rFonts w:ascii="Arial" w:cs="Arial" w:eastAsia="Arial" w:hAnsi="Arial"/>
                <w:sz w:val="19"/>
                <w:szCs w:val="19"/>
              </w:rPr>
              <w:t xml:space="preserve">About 10 devices</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Certificates use SHA-1 and RC4 is allowed.</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forged certificate can impersonate a device. Traffic can be read.</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Reissue certificates with SHA-256. Disable RC4.</w:t>
            </w:r>
          </w:p>
        </w:tc>
      </w:tr>
      <w:tr>
        <w:trPr>
          <w:cantSplit/>
        </w:trPr>
        <w:tc>
          <w:tcPr>
            <w:tcW w:type="dxa" w:w="175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Medium</w:t>
            </w:r>
          </w:p>
          <w:p>
            <w:pPr>
              <w:spacing w:after="50" w:line="260"/>
            </w:pPr>
            <w:r>
              <w:rPr>
                <w:rFonts w:ascii="Arial" w:cs="Arial" w:eastAsia="Arial" w:hAnsi="Arial"/>
                <w:sz w:val="19"/>
                <w:szCs w:val="19"/>
              </w:rPr>
              <w:t xml:space="preserve">2 devices</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Certificates have expired (192.168.1.102 and 192.168.1.122).</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Devices cannot be properly trusted and impersonation is easier.</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Issue and install new certificates.</w:t>
            </w:r>
          </w:p>
        </w:tc>
      </w:tr>
      <w:tr>
        <w:trPr>
          <w:cantSplit/>
        </w:trPr>
        <w:tc>
          <w:tcPr>
            <w:tcW w:type="dxa" w:w="175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Medium</w:t>
            </w:r>
          </w:p>
          <w:p>
            <w:pPr>
              <w:spacing w:after="50" w:line="260"/>
            </w:pPr>
            <w:r>
              <w:rPr>
                <w:rFonts w:ascii="Arial" w:cs="Arial" w:eastAsia="Arial" w:hAnsi="Arial"/>
                <w:sz w:val="19"/>
                <w:szCs w:val="19"/>
              </w:rPr>
              <w:t xml:space="preserve">About 20 devices</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SSH Terrapin weakness (CVE-2023-48795).</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 attacker on the network can weaken the SSH connection.</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Update SSH software and disable the affected ciphers.</w:t>
            </w:r>
          </w:p>
        </w:tc>
      </w:tr>
      <w:tr>
        <w:trPr>
          <w:cantSplit/>
        </w:trPr>
        <w:tc>
          <w:tcPr>
            <w:tcW w:type="dxa" w:w="175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Medium</w:t>
            </w:r>
          </w:p>
          <w:p>
            <w:pPr>
              <w:spacing w:after="50" w:line="260"/>
            </w:pPr>
            <w:r>
              <w:rPr>
                <w:rFonts w:ascii="Arial" w:cs="Arial" w:eastAsia="Arial" w:hAnsi="Arial"/>
                <w:sz w:val="19"/>
                <w:szCs w:val="19"/>
              </w:rPr>
              <w:t xml:space="preserve">3 devices</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TLS 1.0 and 1.1 are allowed. 192.168.0.223 also allows export-grade ciphers (FREAK).</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Weaker protection of data and logins.</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Allow TLS 1.2 or higher only. Remove weak ciphers.</w:t>
            </w:r>
          </w:p>
        </w:tc>
      </w:tr>
      <w:tr>
        <w:trPr>
          <w:cantSplit/>
        </w:trPr>
        <w:tc>
          <w:tcPr>
            <w:tcW w:type="dxa" w:w="1750"/>
            <w:tcBorders>
              <w:top w:val="single" w:color="BFC7D5" w:sz="4"/>
              <w:left w:val="single" w:color="BFC7D5" w:sz="4"/>
              <w:bottom w:val="single" w:color="BFC7D5" w:sz="4"/>
              <w:right w:val="single" w:color="BFC7D5" w:sz="4"/>
            </w:tcBorders>
            <w:shd w:fill="E5F3E6"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Low</w:t>
            </w:r>
          </w:p>
          <w:p>
            <w:pPr>
              <w:spacing w:after="50" w:line="260"/>
            </w:pPr>
            <w:r>
              <w:rPr>
                <w:rFonts w:ascii="Arial" w:cs="Arial" w:eastAsia="Arial" w:hAnsi="Arial"/>
                <w:sz w:val="19"/>
                <w:szCs w:val="19"/>
              </w:rPr>
              <w:t xml:space="preserve">9 devices</w:t>
            </w:r>
          </w:p>
        </w:tc>
        <w:tc>
          <w:tcPr>
            <w:tcW w:type="dxa" w:w="25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RSA keys under 2048 bits. Weak SSH ciphers and key exchange and MAC settings on 3 devices.</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Reduced encryption strength.</w:t>
            </w:r>
          </w:p>
        </w:tc>
        <w:tc>
          <w:tcPr>
            <w:tcW w:type="dxa" w:w="305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Use RSA 2048 or higher. Allow modern SSH algorithms only.</w:t>
            </w:r>
          </w:p>
        </w:tc>
      </w:tr>
    </w:tbl>
    <w:p>
      <w:pPr>
        <w:pStyle w:val="Heading1"/>
        <w:keepNext/>
        <w:pBdr>
          <w:bottom w:val="single" w:color="1F3A6E" w:sz="8" w:space="4"/>
        </w:pBdr>
        <w:spacing w:after="140" w:before="360"/>
      </w:pPr>
      <w:r>
        <w:rPr>
          <w:rFonts w:ascii="Arial" w:cs="Arial" w:eastAsia="Arial" w:hAnsi="Arial"/>
          <w:b/>
          <w:bCs/>
          <w:color w:val="1F3A6E"/>
          <w:sz w:val="30"/>
          <w:szCs w:val="30"/>
        </w:rPr>
        <w:t xml:space="preserve">7. Recommendations and implementation priority</w:t>
      </w:r>
    </w:p>
    <w:p>
      <w:pPr>
        <w:keepNext/>
        <w:spacing w:after="120" w:line="276"/>
      </w:pPr>
      <w:r>
        <w:rPr>
          <w:rFonts w:ascii="Arial" w:cs="Arial" w:eastAsia="Arial" w:hAnsi="Arial"/>
          <w:sz w:val="21"/>
          <w:szCs w:val="21"/>
        </w:rPr>
        <w:t xml:space="preserve">The certificate sets out six mandatory recommendations. They are listed in order of implementation priority. EDR or XDR deployment and next-generation firewall installation come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100"/>
        <w:gridCol w:w="2806"/>
      </w:tblGrid>
      <w:tr>
        <w:trPr>
          <w:cantSplit/>
          <w:tblHeader/>
        </w:trPr>
        <w:tc>
          <w:tcPr>
            <w:tcW w:type="dxa" w:w="9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Priority</w:t>
            </w:r>
          </w:p>
        </w:tc>
        <w:tc>
          <w:tcPr>
            <w:tcW w:type="dxa" w:w="21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Recommendation</w:t>
            </w:r>
          </w:p>
        </w:tc>
        <w:tc>
          <w:tcPr>
            <w:tcW w:type="dxa" w:w="41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Requirement</w:t>
            </w:r>
          </w:p>
        </w:tc>
        <w:tc>
          <w:tcPr>
            <w:tcW w:type="dxa" w:w="28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Risk addressed</w:t>
            </w:r>
          </w:p>
        </w:tc>
      </w:tr>
      <w:tr>
        <w:trPr>
          <w:cantSplit/>
        </w:trPr>
        <w:tc>
          <w:tcPr>
            <w:tcW w:type="dxa" w:w="90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1</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Endpoint protection</w:t>
            </w:r>
          </w:p>
        </w:tc>
        <w:tc>
          <w:tcPr>
            <w:tcW w:type="dxa" w:w="4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An EDR or XDR solution must be deployed on all endpoints and servers with centralised monitoring and automated containment.</w:t>
            </w:r>
          </w:p>
        </w:tc>
        <w:tc>
          <w:tcPr>
            <w:tcW w:type="dxa" w:w="28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Undetected malware and intrusion.</w:t>
            </w:r>
          </w:p>
        </w:tc>
      </w:tr>
      <w:tr>
        <w:trPr>
          <w:cantSplit/>
        </w:trPr>
        <w:tc>
          <w:tcPr>
            <w:tcW w:type="dxa" w:w="90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2</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Network security</w:t>
            </w:r>
          </w:p>
        </w:tc>
        <w:tc>
          <w:tcPr>
            <w:tcW w:type="dxa" w:w="4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 next-generation firewall (NGFW) with internal segmentation must be implemented. The CCTV network must be isolated. Only approved ports and services allowed and unnecessary internet access blocked.</w:t>
            </w:r>
          </w:p>
        </w:tc>
        <w:tc>
          <w:tcPr>
            <w:tcW w:type="dxa" w:w="28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Lateral movement and data exfiltration.</w:t>
            </w:r>
          </w:p>
        </w:tc>
      </w:tr>
      <w:tr>
        <w:trPr>
          <w:cantSplit/>
        </w:trPr>
        <w:tc>
          <w:tcPr>
            <w:tcW w:type="dxa" w:w="900"/>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3</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Vulnerability remediation</w:t>
            </w:r>
          </w:p>
        </w:tc>
        <w:tc>
          <w:tcPr>
            <w:tcW w:type="dxa" w:w="4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Critical and High risk vulnerabilities must be remediated immediately. Medium and Low risk vulnerabilities must be closed within a defined timeline.</w:t>
            </w:r>
          </w:p>
        </w:tc>
        <w:tc>
          <w:tcPr>
            <w:tcW w:type="dxa" w:w="28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The 600 Critical and High findings.</w:t>
            </w:r>
          </w:p>
        </w:tc>
      </w:tr>
      <w:tr>
        <w:trPr>
          <w:cantSplit/>
        </w:trPr>
        <w:tc>
          <w:tcPr>
            <w:tcW w:type="dxa" w:w="900"/>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4</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IP and asset management</w:t>
            </w:r>
          </w:p>
        </w:tc>
        <w:tc>
          <w:tcPr>
            <w:tcW w:type="dxa" w:w="4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IP addresses must be assigned centrally via DHCP reservation with IP-MAC binding. Hostnames and labels and the asset inventory must be standardised.</w:t>
            </w:r>
          </w:p>
        </w:tc>
        <w:tc>
          <w:tcPr>
            <w:tcW w:type="dxa" w:w="28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Bypass of restrictions and unknown devices.</w:t>
            </w:r>
          </w:p>
        </w:tc>
      </w:tr>
      <w:tr>
        <w:trPr>
          <w:cantSplit/>
        </w:trPr>
        <w:tc>
          <w:tcPr>
            <w:tcW w:type="dxa" w:w="900"/>
            <w:tcBorders>
              <w:top w:val="single" w:color="BFC7D5" w:sz="4"/>
              <w:left w:val="single" w:color="BFC7D5" w:sz="4"/>
              <w:bottom w:val="single" w:color="BFC7D5" w:sz="4"/>
              <w:right w:val="single" w:color="BFC7D5" w:sz="4"/>
            </w:tcBorders>
            <w:shd w:fill="FFF4CC"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5</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Centralised administration</w:t>
            </w:r>
          </w:p>
        </w:tc>
        <w:tc>
          <w:tcPr>
            <w:tcW w:type="dxa" w:w="4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Active Directory with Group Policy must be enforced to prevent users from changing network settings.</w:t>
            </w:r>
          </w:p>
        </w:tc>
        <w:tc>
          <w:tcPr>
            <w:tcW w:type="dxa" w:w="28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Unauthorised configuration changes.</w:t>
            </w:r>
          </w:p>
        </w:tc>
      </w:tr>
      <w:tr>
        <w:trPr>
          <w:cantSplit/>
        </w:trPr>
        <w:tc>
          <w:tcPr>
            <w:tcW w:type="dxa" w:w="900"/>
            <w:tcBorders>
              <w:top w:val="single" w:color="BFC7D5" w:sz="4"/>
              <w:left w:val="single" w:color="BFC7D5" w:sz="4"/>
              <w:bottom w:val="single" w:color="BFC7D5" w:sz="4"/>
              <w:right w:val="single" w:color="BFC7D5" w:sz="4"/>
            </w:tcBorders>
            <w:shd w:fill="E5F3E6"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6</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Continuous assurance</w:t>
            </w:r>
          </w:p>
        </w:tc>
        <w:tc>
          <w:tcPr>
            <w:tcW w:type="dxa" w:w="41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Periodic vulnerability scanning must be conducted with revalidation after remediation and a fresh assessment after any significant change.</w:t>
            </w:r>
          </w:p>
        </w:tc>
        <w:tc>
          <w:tcPr>
            <w:tcW w:type="dxa" w:w="28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New weaknesses going unnoticed.</w:t>
            </w:r>
          </w:p>
        </w:tc>
      </w:tr>
    </w:tbl>
    <w:p>
      <w:pPr>
        <w:spacing w:after="80"/>
      </w:pPr>
    </w:p>
    <w:p>
      <w:pPr>
        <w:keepNext/>
        <w:spacing w:after="120" w:line="276"/>
      </w:pPr>
      <w:r>
        <w:rPr>
          <w:rFonts w:ascii="Arial" w:cs="Arial" w:eastAsia="Arial" w:hAnsi="Arial"/>
          <w:sz w:val="21"/>
          <w:szCs w:val="21"/>
        </w:rPr>
        <w:t xml:space="preserve">Recommended remediation timeline: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706"/>
      </w:tblGrid>
      <w:tr>
        <w:trPr>
          <w:cantSplit/>
          <w:tblHeader/>
        </w:trPr>
        <w:tc>
          <w:tcPr>
            <w:tcW w:type="dxa" w:w="20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Phase</w:t>
            </w:r>
          </w:p>
        </w:tc>
        <w:tc>
          <w:tcPr>
            <w:tcW w:type="dxa" w:w="5200"/>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Actions</w:t>
            </w:r>
          </w:p>
        </w:tc>
        <w:tc>
          <w:tcPr>
            <w:tcW w:type="dxa" w:w="2706"/>
            <w:tcBorders>
              <w:top w:val="single" w:color="BFC7D5" w:sz="4"/>
              <w:left w:val="single" w:color="BFC7D5" w:sz="4"/>
              <w:bottom w:val="single" w:color="BFC7D5" w:sz="4"/>
              <w:right w:val="single" w:color="BFC7D5" w:sz="4"/>
            </w:tcBorders>
            <w:shd w:fill="1F3A6E" w:color="auto" w:val="clear"/>
            <w:tcMar>
              <w:top w:type="dxa" w:w="70"/>
              <w:left w:type="dxa" w:w="110"/>
              <w:bottom w:type="dxa" w:w="70"/>
              <w:right w:type="dxa" w:w="110"/>
            </w:tcMar>
            <w:vAlign w:val="top"/>
          </w:tcPr>
          <w:p>
            <w:pPr>
              <w:spacing w:after="50" w:line="260"/>
            </w:pPr>
            <w:r>
              <w:rPr>
                <w:rFonts w:ascii="Arial" w:cs="Arial" w:eastAsia="Arial" w:hAnsi="Arial"/>
                <w:b/>
                <w:bCs/>
                <w:color w:val="FFFFFF"/>
                <w:sz w:val="19"/>
                <w:szCs w:val="19"/>
              </w:rPr>
              <w:t xml:space="preserve">Outcome</w:t>
            </w:r>
          </w:p>
        </w:tc>
      </w:tr>
      <w:tr>
        <w:trPr>
          <w:cantSplit/>
        </w:trPr>
        <w:tc>
          <w:tcPr>
            <w:tcW w:type="dxa" w:w="2000"/>
            <w:tcBorders>
              <w:top w:val="single" w:color="BFC7D5" w:sz="4"/>
              <w:left w:val="single" w:color="BFC7D5" w:sz="4"/>
              <w:bottom w:val="single" w:color="BFC7D5" w:sz="4"/>
              <w:right w:val="single" w:color="BFC7D5" w:sz="4"/>
            </w:tcBorders>
            <w:shd w:fill="FBE5E5"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Days 0 to 7</w:t>
            </w:r>
          </w:p>
          <w:p>
            <w:pPr>
              <w:spacing w:after="50" w:line="260"/>
            </w:pPr>
            <w:r>
              <w:rPr>
                <w:rFonts w:ascii="Arial" w:cs="Arial" w:eastAsia="Arial" w:hAnsi="Arial"/>
                <w:sz w:val="19"/>
                <w:szCs w:val="19"/>
              </w:rPr>
              <w:t xml:space="preserve">Priority actions</w:t>
            </w:r>
          </w:p>
        </w:tc>
        <w:tc>
          <w:tcPr>
            <w:tcW w:type="dxa" w:w="52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First: deploy EDR or XDR on all endpoints and servers. Install the next-generation firewall with internal segmentation. Then: isolate the CCTV network. Block unnecessary internet access. Implement central IP addressing with IP-MAC binding. Enforce Active Directory with Group Policy. Investigate the 2 hosts flagged as possibly compromised. Patch or isolate hosts exposed to EternalBlue and BlueKeep. Disable SMBv1 and Telnet. Remediate the 4 Critical CCTV findings.</w:t>
            </w:r>
          </w:p>
        </w:tc>
        <w:tc>
          <w:tcPr>
            <w:tcW w:type="dxa" w:w="2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Attacks detected and contained. Network segmented. Highest-risk exposures closed.</w:t>
            </w:r>
          </w:p>
        </w:tc>
      </w:tr>
      <w:tr>
        <w:trPr>
          <w:cantSplit/>
        </w:trPr>
        <w:tc>
          <w:tcPr>
            <w:tcW w:type="dxa" w:w="2000"/>
            <w:tcBorders>
              <w:top w:val="single" w:color="BFC7D5" w:sz="4"/>
              <w:left w:val="single" w:color="BFC7D5" w:sz="4"/>
              <w:bottom w:val="single" w:color="BFC7D5" w:sz="4"/>
              <w:right w:val="single" w:color="BFC7D5" w:sz="4"/>
            </w:tcBorders>
            <w:shd w:fill="FDEBDD"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Days 8 to 30</w:t>
            </w:r>
          </w:p>
          <w:p>
            <w:pPr>
              <w:spacing w:after="50" w:line="260"/>
            </w:pPr>
            <w:r>
              <w:rPr>
                <w:rFonts w:ascii="Arial" w:cs="Arial" w:eastAsia="Arial" w:hAnsi="Arial"/>
                <w:sz w:val="19"/>
                <w:szCs w:val="19"/>
              </w:rPr>
              <w:t xml:space="preserve">Remediate</w:t>
            </w:r>
          </w:p>
        </w:tc>
        <w:tc>
          <w:tcPr>
            <w:tcW w:type="dxa" w:w="52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Enforce SMB signing and remote desktop NLA. Disable NTLMv1 and HTTP TRACE. Restrict TLS to 1.2 or higher. Remediate remaining Critical and High findings.</w:t>
            </w:r>
          </w:p>
        </w:tc>
        <w:tc>
          <w:tcPr>
            <w:tcW w:type="dxa" w:w="2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Critical and High findings closed.</w:t>
            </w:r>
          </w:p>
        </w:tc>
      </w:tr>
      <w:tr>
        <w:trPr>
          <w:cantSplit/>
        </w:trPr>
        <w:tc>
          <w:tcPr>
            <w:tcW w:type="dxa" w:w="2000"/>
            <w:tcBorders>
              <w:top w:val="single" w:color="BFC7D5" w:sz="4"/>
              <w:left w:val="single" w:color="BFC7D5" w:sz="4"/>
              <w:bottom w:val="single" w:color="BFC7D5" w:sz="4"/>
              <w:right w:val="single" w:color="BFC7D5" w:sz="4"/>
            </w:tcBorders>
            <w:shd w:fill="E5F3E6" w:color="auto" w:val="clear"/>
            <w:tcMar>
              <w:top w:type="dxa" w:w="70"/>
              <w:left w:type="dxa" w:w="110"/>
              <w:bottom w:type="dxa" w:w="70"/>
              <w:right w:type="dxa" w:w="110"/>
            </w:tcMar>
            <w:vAlign w:val="top"/>
          </w:tcPr>
          <w:p>
            <w:pPr>
              <w:spacing w:after="50" w:line="260"/>
            </w:pPr>
            <w:r>
              <w:rPr>
                <w:rFonts w:ascii="Arial" w:cs="Arial" w:eastAsia="Arial" w:hAnsi="Arial"/>
                <w:b/>
                <w:bCs/>
                <w:sz w:val="19"/>
                <w:szCs w:val="19"/>
              </w:rPr>
              <w:t xml:space="preserve">Days 31 to 90</w:t>
            </w:r>
          </w:p>
          <w:p>
            <w:pPr>
              <w:spacing w:after="50" w:line="260"/>
            </w:pPr>
            <w:r>
              <w:rPr>
                <w:rFonts w:ascii="Arial" w:cs="Arial" w:eastAsia="Arial" w:hAnsi="Arial"/>
                <w:sz w:val="19"/>
                <w:szCs w:val="19"/>
              </w:rPr>
              <w:t xml:space="preserve">Sustain</w:t>
            </w:r>
          </w:p>
        </w:tc>
        <w:tc>
          <w:tcPr>
            <w:tcW w:type="dxa" w:w="5200"/>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Reissue weak certificates. Standardise hostnames and labels and the asset inventory. Begin periodic scanning. Close Medium and Low findings. Revalidation.</w:t>
            </w:r>
          </w:p>
        </w:tc>
        <w:tc>
          <w:tcPr>
            <w:tcW w:type="dxa" w:w="2706"/>
            <w:tcBorders>
              <w:top w:val="single" w:color="BFC7D5" w:sz="4"/>
              <w:left w:val="single" w:color="BFC7D5" w:sz="4"/>
              <w:bottom w:val="single" w:color="BFC7D5" w:sz="4"/>
              <w:right w:val="single" w:color="BFC7D5" w:sz="4"/>
            </w:tcBorders>
            <w:tcMar>
              <w:top w:type="dxa" w:w="70"/>
              <w:left w:type="dxa" w:w="110"/>
              <w:bottom w:type="dxa" w:w="70"/>
              <w:right w:type="dxa" w:w="110"/>
            </w:tcMar>
            <w:vAlign w:val="top"/>
          </w:tcPr>
          <w:p>
            <w:pPr>
              <w:spacing w:after="50" w:line="260"/>
            </w:pPr>
            <w:r>
              <w:rPr>
                <w:rFonts w:ascii="Arial" w:cs="Arial" w:eastAsia="Arial" w:hAnsi="Arial"/>
                <w:sz w:val="19"/>
                <w:szCs w:val="19"/>
              </w:rPr>
              <w:t xml:space="preserve">Verified closure and an ongoing assurance process.</w:t>
            </w:r>
          </w:p>
        </w:tc>
      </w:tr>
    </w:tbl>
    <w:p>
      <w:pPr>
        <w:pStyle w:val="Heading1"/>
        <w:keepNext/>
        <w:pBdr>
          <w:bottom w:val="single" w:color="1F3A6E" w:sz="8" w:space="4"/>
        </w:pBdr>
        <w:spacing w:after="140" w:before="360"/>
      </w:pPr>
      <w:r>
        <w:rPr>
          <w:rFonts w:ascii="Arial" w:cs="Arial" w:eastAsia="Arial" w:hAnsi="Arial"/>
          <w:b/>
          <w:bCs/>
          <w:color w:val="1F3A6E"/>
          <w:sz w:val="30"/>
          <w:szCs w:val="30"/>
        </w:rPr>
        <w:t xml:space="preserve">8. Conclusion</w:t>
      </w:r>
    </w:p>
    <w:p>
      <w:pPr>
        <w:spacing w:after="120" w:line="276"/>
      </w:pPr>
      <w:r>
        <w:rPr>
          <w:rFonts w:ascii="Arial" w:cs="Arial" w:eastAsia="Arial" w:hAnsi="Arial"/>
          <w:sz w:val="21"/>
          <w:szCs w:val="21"/>
        </w:rPr>
        <w:t xml:space="preserve">Serious security gaps were identified across the internal network and CCTV infrastructure. Remediation is pending as on the date of issue. Critical and High risk vulnerabilities expose the organisation to compromise and must be addressed immediately.</w:t>
      </w:r>
    </w:p>
    <w:p>
      <w:pPr>
        <w:spacing w:after="120" w:line="276"/>
      </w:pPr>
      <w:r>
        <w:rPr>
          <w:rFonts w:ascii="Arial" w:cs="Arial" w:eastAsia="Arial" w:hAnsi="Arial"/>
          <w:sz w:val="21"/>
          <w:szCs w:val="21"/>
        </w:rPr>
        <w:t xml:space="preserve">The certificate is valid until revalidation or any change to the in-scope infrastructure whichever is earlier. Scope and methodology and results and limitations are detailed in the respective assessment reports.</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Selkey Cyber Security Pvt. Ltd. | Confidential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Anjali Labtech Executive Summary</dc:title>
  <dc:creator>Selkey Cyber Security Pvt. Ltd.</dc:creator>
  <cp:lastModifiedBy>Un-named</cp:lastModifiedBy>
  <cp:revision>1</cp:revision>
  <dcterms:created xsi:type="dcterms:W3CDTF">2026-10-07T08:19:39.426Z</dcterms:created>
  <dcterms:modified xsi:type="dcterms:W3CDTF">2026-10-07T08:19:39.432Z</dcterms:modified>
</cp:coreProperties>
</file>

<file path=docProps/custom.xml><?xml version="1.0" encoding="utf-8"?>
<Properties xmlns="http://schemas.openxmlformats.org/officeDocument/2006/custom-properties" xmlns:vt="http://schemas.openxmlformats.org/officeDocument/2006/docPropsVTypes"/>
</file>