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8"/>
        </w:rPr>
        <w:t>ADVERSE DRUG REACTION (ADR) REPORT</w:t>
      </w:r>
    </w:p>
    <w:p>
      <w:pPr>
        <w:jc w:val="center"/>
      </w:pPr>
      <w:r>
        <w:rPr>
          <w:i/>
          <w:sz w:val="20"/>
        </w:rPr>
        <w:t>Task 2 – ADR Reporting &amp; Documentation | Educational Simulation</w:t>
      </w:r>
    </w:p>
    <w:p>
      <w:pPr>
        <w:jc w:val="center"/>
      </w:pPr>
      <w:r>
        <w:rPr>
          <w:b/>
        </w:rPr>
        <w:t>Prepared by: Dhruv Gupta | B.Pharm Student | Virtual Works Internship</w:t>
      </w:r>
    </w:p>
    <w:p>
      <w:pPr>
        <w:pStyle w:val="Heading1"/>
      </w:pPr>
      <w:r>
        <w:t>1. Case Summary</w:t>
      </w:r>
    </w:p>
    <w:p>
      <w:r>
        <w:t>A fictional 34-year-old male receiving treatment for a suspected bacterial throat infection was prescribed amoxicillin + clavulanic acid 625 mg orally twice daily. On treatment Day 2, he developed a generalized skin rash with itching. The suspected medicine was stopped after clinical evaluation, and symptoms gradually improved over approximately three days. No rechallenge was performed. This is a simulated training case, not a real patient report.</w:t>
      </w:r>
    </w:p>
    <w:p>
      <w:pPr>
        <w:pStyle w:val="Heading1"/>
      </w:pPr>
      <w:r>
        <w:t>2. Patient Information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AF0"/>
          </w:tcPr>
          <w:p>
            <w:pPr>
              <w:spacing w:after="20"/>
            </w:pPr>
            <w:r/>
            <w:r>
              <w:rPr>
                <w:rFonts w:ascii="Arial" w:hAnsi="Arial"/>
                <w:b/>
                <w:sz w:val="18"/>
              </w:rPr>
              <w:t>Patient initials</w:t>
            </w:r>
          </w:p>
        </w:tc>
        <w:tc>
          <w:tcPr>
            <w:tcW w:type="dxa" w:w="5040"/>
            <w:vAlign w:val="center"/>
          </w:tcPr>
          <w:p>
            <w:pPr>
              <w:spacing w:after="20"/>
            </w:pPr>
            <w:r/>
            <w:r>
              <w:rPr>
                <w:rFonts w:ascii="Arial" w:hAnsi="Arial"/>
                <w:b w:val="0"/>
                <w:sz w:val="18"/>
              </w:rPr>
              <w:t>A.B. (fictional)</w:t>
            </w:r>
          </w:p>
        </w:tc>
      </w:tr>
      <w:tr>
        <w:tc>
          <w:tcPr>
            <w:tcW w:type="dxa" w:w="5040"/>
            <w:vAlign w:val="center"/>
            <w:shd w:fill="E8EAF0"/>
          </w:tcPr>
          <w:p>
            <w:pPr>
              <w:spacing w:after="20"/>
            </w:pPr>
            <w:r/>
            <w:r>
              <w:rPr>
                <w:rFonts w:ascii="Arial" w:hAnsi="Arial"/>
                <w:b/>
                <w:sz w:val="18"/>
              </w:rPr>
              <w:t>Age / Sex</w:t>
            </w:r>
          </w:p>
        </w:tc>
        <w:tc>
          <w:tcPr>
            <w:tcW w:type="dxa" w:w="5040"/>
            <w:vAlign w:val="center"/>
          </w:tcPr>
          <w:p>
            <w:pPr>
              <w:spacing w:after="20"/>
            </w:pPr>
            <w:r/>
            <w:r>
              <w:rPr>
                <w:rFonts w:ascii="Arial" w:hAnsi="Arial"/>
                <w:b w:val="0"/>
                <w:sz w:val="18"/>
              </w:rPr>
              <w:t>34 years / Male</w:t>
            </w:r>
          </w:p>
        </w:tc>
      </w:tr>
      <w:tr>
        <w:tc>
          <w:tcPr>
            <w:tcW w:type="dxa" w:w="5040"/>
            <w:vAlign w:val="center"/>
            <w:shd w:fill="E8EAF0"/>
          </w:tcPr>
          <w:p>
            <w:pPr>
              <w:spacing w:after="20"/>
            </w:pPr>
            <w:r/>
            <w:r>
              <w:rPr>
                <w:rFonts w:ascii="Arial" w:hAnsi="Arial"/>
                <w:b/>
                <w:sz w:val="18"/>
              </w:rPr>
              <w:t>Weight</w:t>
            </w:r>
          </w:p>
        </w:tc>
        <w:tc>
          <w:tcPr>
            <w:tcW w:type="dxa" w:w="5040"/>
            <w:vAlign w:val="center"/>
          </w:tcPr>
          <w:p>
            <w:pPr>
              <w:spacing w:after="20"/>
            </w:pPr>
            <w:r/>
            <w:r>
              <w:rPr>
                <w:rFonts w:ascii="Arial" w:hAnsi="Arial"/>
                <w:b w:val="0"/>
                <w:sz w:val="18"/>
              </w:rPr>
              <w:t>68 kg</w:t>
            </w:r>
          </w:p>
        </w:tc>
      </w:tr>
      <w:tr>
        <w:tc>
          <w:tcPr>
            <w:tcW w:type="dxa" w:w="5040"/>
            <w:vAlign w:val="center"/>
            <w:shd w:fill="E8EAF0"/>
          </w:tcPr>
          <w:p>
            <w:pPr>
              <w:spacing w:after="20"/>
            </w:pPr>
            <w:r/>
            <w:r>
              <w:rPr>
                <w:rFonts w:ascii="Arial" w:hAnsi="Arial"/>
                <w:b/>
                <w:sz w:val="18"/>
              </w:rPr>
              <w:t>Indication / medical condition</w:t>
            </w:r>
          </w:p>
        </w:tc>
        <w:tc>
          <w:tcPr>
            <w:tcW w:type="dxa" w:w="5040"/>
            <w:vAlign w:val="center"/>
          </w:tcPr>
          <w:p>
            <w:pPr>
              <w:spacing w:after="20"/>
            </w:pPr>
            <w:r/>
            <w:r>
              <w:rPr>
                <w:rFonts w:ascii="Arial" w:hAnsi="Arial"/>
                <w:b w:val="0"/>
                <w:sz w:val="18"/>
              </w:rPr>
              <w:t>Suspected bacterial throat infection</w:t>
            </w:r>
          </w:p>
        </w:tc>
      </w:tr>
      <w:tr>
        <w:tc>
          <w:tcPr>
            <w:tcW w:type="dxa" w:w="5040"/>
            <w:vAlign w:val="center"/>
            <w:shd w:fill="E8EAF0"/>
          </w:tcPr>
          <w:p>
            <w:pPr>
              <w:spacing w:after="20"/>
            </w:pPr>
            <w:r/>
            <w:r>
              <w:rPr>
                <w:rFonts w:ascii="Arial" w:hAnsi="Arial"/>
                <w:b/>
                <w:sz w:val="18"/>
              </w:rPr>
              <w:t>Relevant history</w:t>
            </w:r>
          </w:p>
        </w:tc>
        <w:tc>
          <w:tcPr>
            <w:tcW w:type="dxa" w:w="5040"/>
            <w:vAlign w:val="center"/>
          </w:tcPr>
          <w:p>
            <w:pPr>
              <w:spacing w:after="20"/>
            </w:pPr>
            <w:r/>
            <w:r>
              <w:rPr>
                <w:rFonts w:ascii="Arial" w:hAnsi="Arial"/>
                <w:b w:val="0"/>
                <w:sz w:val="18"/>
              </w:rPr>
              <w:t>No previous similar drug reaction reported in this simulated case</w:t>
            </w:r>
          </w:p>
        </w:tc>
      </w:tr>
      <w:tr>
        <w:tc>
          <w:tcPr>
            <w:tcW w:type="dxa" w:w="5040"/>
            <w:vAlign w:val="center"/>
            <w:shd w:fill="E8EAF0"/>
          </w:tcPr>
          <w:p>
            <w:pPr>
              <w:spacing w:after="20"/>
            </w:pPr>
            <w:r/>
            <w:r>
              <w:rPr>
                <w:rFonts w:ascii="Arial" w:hAnsi="Arial"/>
                <w:b/>
                <w:sz w:val="18"/>
              </w:rPr>
              <w:t>Known drug allergies</w:t>
            </w:r>
          </w:p>
        </w:tc>
        <w:tc>
          <w:tcPr>
            <w:tcW w:type="dxa" w:w="5040"/>
            <w:vAlign w:val="center"/>
          </w:tcPr>
          <w:p>
            <w:pPr>
              <w:spacing w:after="20"/>
            </w:pPr>
            <w:r/>
            <w:r>
              <w:rPr>
                <w:rFonts w:ascii="Arial" w:hAnsi="Arial"/>
                <w:b w:val="0"/>
                <w:sz w:val="18"/>
              </w:rPr>
              <w:t>Not reported</w:t>
            </w:r>
          </w:p>
        </w:tc>
      </w:tr>
    </w:tbl>
    <w:p>
      <w:pPr>
        <w:pStyle w:val="Heading1"/>
      </w:pPr>
      <w:r>
        <w:t>3. Suspected Medicine</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AF0"/>
          </w:tcPr>
          <w:p>
            <w:pPr>
              <w:spacing w:after="20"/>
            </w:pPr>
            <w:r/>
            <w:r>
              <w:rPr>
                <w:rFonts w:ascii="Arial" w:hAnsi="Arial"/>
                <w:b/>
                <w:sz w:val="18"/>
              </w:rPr>
              <w:t>Medicine</w:t>
            </w:r>
          </w:p>
        </w:tc>
        <w:tc>
          <w:tcPr>
            <w:tcW w:type="dxa" w:w="5040"/>
            <w:vAlign w:val="center"/>
          </w:tcPr>
          <w:p>
            <w:pPr>
              <w:spacing w:after="20"/>
            </w:pPr>
            <w:r/>
            <w:r>
              <w:rPr>
                <w:rFonts w:ascii="Arial" w:hAnsi="Arial"/>
                <w:b w:val="0"/>
                <w:sz w:val="18"/>
              </w:rPr>
              <w:t>Amoxicillin + clavulanic acid</w:t>
            </w:r>
          </w:p>
        </w:tc>
      </w:tr>
      <w:tr>
        <w:tc>
          <w:tcPr>
            <w:tcW w:type="dxa" w:w="5040"/>
            <w:vAlign w:val="center"/>
            <w:shd w:fill="E8EAF0"/>
          </w:tcPr>
          <w:p>
            <w:pPr>
              <w:spacing w:after="20"/>
            </w:pPr>
            <w:r/>
            <w:r>
              <w:rPr>
                <w:rFonts w:ascii="Arial" w:hAnsi="Arial"/>
                <w:b/>
                <w:sz w:val="18"/>
              </w:rPr>
              <w:t>Drug class</w:t>
            </w:r>
          </w:p>
        </w:tc>
        <w:tc>
          <w:tcPr>
            <w:tcW w:type="dxa" w:w="5040"/>
            <w:vAlign w:val="center"/>
          </w:tcPr>
          <w:p>
            <w:pPr>
              <w:spacing w:after="20"/>
            </w:pPr>
            <w:r/>
            <w:r>
              <w:rPr>
                <w:rFonts w:ascii="Arial" w:hAnsi="Arial"/>
                <w:b w:val="0"/>
                <w:sz w:val="18"/>
              </w:rPr>
              <w:t>Aminopenicillin antibiotic with beta-lactamase inhibitor</w:t>
            </w:r>
          </w:p>
        </w:tc>
      </w:tr>
      <w:tr>
        <w:tc>
          <w:tcPr>
            <w:tcW w:type="dxa" w:w="5040"/>
            <w:vAlign w:val="center"/>
            <w:shd w:fill="E8EAF0"/>
          </w:tcPr>
          <w:p>
            <w:pPr>
              <w:spacing w:after="20"/>
            </w:pPr>
            <w:r/>
            <w:r>
              <w:rPr>
                <w:rFonts w:ascii="Arial" w:hAnsi="Arial"/>
                <w:b/>
                <w:sz w:val="18"/>
              </w:rPr>
              <w:t>Dose and frequency</w:t>
            </w:r>
          </w:p>
        </w:tc>
        <w:tc>
          <w:tcPr>
            <w:tcW w:type="dxa" w:w="5040"/>
            <w:vAlign w:val="center"/>
          </w:tcPr>
          <w:p>
            <w:pPr>
              <w:spacing w:after="20"/>
            </w:pPr>
            <w:r/>
            <w:r>
              <w:rPr>
                <w:rFonts w:ascii="Arial" w:hAnsi="Arial"/>
                <w:b w:val="0"/>
                <w:sz w:val="18"/>
              </w:rPr>
              <w:t>625 mg orally, twice daily</w:t>
            </w:r>
          </w:p>
        </w:tc>
      </w:tr>
      <w:tr>
        <w:tc>
          <w:tcPr>
            <w:tcW w:type="dxa" w:w="5040"/>
            <w:vAlign w:val="center"/>
            <w:shd w:fill="E8EAF0"/>
          </w:tcPr>
          <w:p>
            <w:pPr>
              <w:spacing w:after="20"/>
            </w:pPr>
            <w:r/>
            <w:r>
              <w:rPr>
                <w:rFonts w:ascii="Arial" w:hAnsi="Arial"/>
                <w:b/>
                <w:sz w:val="18"/>
              </w:rPr>
              <w:t>Route</w:t>
            </w:r>
          </w:p>
        </w:tc>
        <w:tc>
          <w:tcPr>
            <w:tcW w:type="dxa" w:w="5040"/>
            <w:vAlign w:val="center"/>
          </w:tcPr>
          <w:p>
            <w:pPr>
              <w:spacing w:after="20"/>
            </w:pPr>
            <w:r/>
            <w:r>
              <w:rPr>
                <w:rFonts w:ascii="Arial" w:hAnsi="Arial"/>
                <w:b w:val="0"/>
                <w:sz w:val="18"/>
              </w:rPr>
              <w:t>Oral</w:t>
            </w:r>
          </w:p>
        </w:tc>
      </w:tr>
      <w:tr>
        <w:tc>
          <w:tcPr>
            <w:tcW w:type="dxa" w:w="5040"/>
            <w:vAlign w:val="center"/>
            <w:shd w:fill="E8EAF0"/>
          </w:tcPr>
          <w:p>
            <w:pPr>
              <w:spacing w:after="20"/>
            </w:pPr>
            <w:r/>
            <w:r>
              <w:rPr>
                <w:rFonts w:ascii="Arial" w:hAnsi="Arial"/>
                <w:b/>
                <w:sz w:val="18"/>
              </w:rPr>
              <w:t>Start</w:t>
            </w:r>
          </w:p>
        </w:tc>
        <w:tc>
          <w:tcPr>
            <w:tcW w:type="dxa" w:w="5040"/>
            <w:vAlign w:val="center"/>
          </w:tcPr>
          <w:p>
            <w:pPr>
              <w:spacing w:after="20"/>
            </w:pPr>
            <w:r/>
            <w:r>
              <w:rPr>
                <w:rFonts w:ascii="Arial" w:hAnsi="Arial"/>
                <w:b w:val="0"/>
                <w:sz w:val="18"/>
              </w:rPr>
              <w:t>Day 1 (relative timeline)</w:t>
            </w:r>
          </w:p>
        </w:tc>
      </w:tr>
      <w:tr>
        <w:tc>
          <w:tcPr>
            <w:tcW w:type="dxa" w:w="5040"/>
            <w:vAlign w:val="center"/>
            <w:shd w:fill="E8EAF0"/>
          </w:tcPr>
          <w:p>
            <w:pPr>
              <w:spacing w:after="20"/>
            </w:pPr>
            <w:r/>
            <w:r>
              <w:rPr>
                <w:rFonts w:ascii="Arial" w:hAnsi="Arial"/>
                <w:b/>
                <w:sz w:val="18"/>
              </w:rPr>
              <w:t>Stop</w:t>
            </w:r>
          </w:p>
        </w:tc>
        <w:tc>
          <w:tcPr>
            <w:tcW w:type="dxa" w:w="5040"/>
            <w:vAlign w:val="center"/>
          </w:tcPr>
          <w:p>
            <w:pPr>
              <w:spacing w:after="20"/>
            </w:pPr>
            <w:r/>
            <w:r>
              <w:rPr>
                <w:rFonts w:ascii="Arial" w:hAnsi="Arial"/>
                <w:b w:val="0"/>
                <w:sz w:val="18"/>
              </w:rPr>
              <w:t>Day 2, after clinical evaluation</w:t>
            </w:r>
          </w:p>
        </w:tc>
      </w:tr>
      <w:tr>
        <w:tc>
          <w:tcPr>
            <w:tcW w:type="dxa" w:w="5040"/>
            <w:vAlign w:val="center"/>
            <w:shd w:fill="E8EAF0"/>
          </w:tcPr>
          <w:p>
            <w:pPr>
              <w:spacing w:after="20"/>
            </w:pPr>
            <w:r/>
            <w:r>
              <w:rPr>
                <w:rFonts w:ascii="Arial" w:hAnsi="Arial"/>
                <w:b/>
                <w:sz w:val="18"/>
              </w:rPr>
              <w:t>Batch / expiry</w:t>
            </w:r>
          </w:p>
        </w:tc>
        <w:tc>
          <w:tcPr>
            <w:tcW w:type="dxa" w:w="5040"/>
            <w:vAlign w:val="center"/>
          </w:tcPr>
          <w:p>
            <w:pPr>
              <w:spacing w:after="20"/>
            </w:pPr>
            <w:r/>
            <w:r>
              <w:rPr>
                <w:rFonts w:ascii="Arial" w:hAnsi="Arial"/>
                <w:b w:val="0"/>
                <w:sz w:val="18"/>
              </w:rPr>
              <w:t>Not available</w:t>
            </w:r>
          </w:p>
        </w:tc>
      </w:tr>
      <w:tr>
        <w:tc>
          <w:tcPr>
            <w:tcW w:type="dxa" w:w="5040"/>
            <w:vAlign w:val="center"/>
            <w:shd w:fill="E8EAF0"/>
          </w:tcPr>
          <w:p>
            <w:pPr>
              <w:spacing w:after="20"/>
            </w:pPr>
            <w:r/>
            <w:r>
              <w:rPr>
                <w:rFonts w:ascii="Arial" w:hAnsi="Arial"/>
                <w:b/>
                <w:sz w:val="18"/>
              </w:rPr>
              <w:t>Concomitant medicines</w:t>
            </w:r>
          </w:p>
        </w:tc>
        <w:tc>
          <w:tcPr>
            <w:tcW w:type="dxa" w:w="5040"/>
            <w:vAlign w:val="center"/>
          </w:tcPr>
          <w:p>
            <w:pPr>
              <w:spacing w:after="20"/>
            </w:pPr>
            <w:r/>
            <w:r>
              <w:rPr>
                <w:rFonts w:ascii="Arial" w:hAnsi="Arial"/>
                <w:b w:val="0"/>
                <w:sz w:val="18"/>
              </w:rPr>
              <w:t>None documented in this simulated case</w:t>
            </w:r>
          </w:p>
        </w:tc>
      </w:tr>
    </w:tbl>
    <w:p>
      <w:pPr>
        <w:pStyle w:val="Heading1"/>
      </w:pPr>
      <w:r>
        <w:t>4. Adverse Reaction Details</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AF0"/>
          </w:tcPr>
          <w:p>
            <w:pPr>
              <w:spacing w:after="20"/>
            </w:pPr>
            <w:r/>
            <w:r>
              <w:rPr>
                <w:rFonts w:ascii="Arial" w:hAnsi="Arial"/>
                <w:b/>
                <w:sz w:val="18"/>
              </w:rPr>
              <w:t>Reported reaction</w:t>
            </w:r>
          </w:p>
        </w:tc>
        <w:tc>
          <w:tcPr>
            <w:tcW w:type="dxa" w:w="5040"/>
            <w:vAlign w:val="center"/>
          </w:tcPr>
          <w:p>
            <w:pPr>
              <w:spacing w:after="20"/>
            </w:pPr>
            <w:r/>
            <w:r>
              <w:rPr>
                <w:rFonts w:ascii="Arial" w:hAnsi="Arial"/>
                <w:b w:val="0"/>
                <w:sz w:val="18"/>
              </w:rPr>
              <w:t>Generalized skin rash with itching</w:t>
            </w:r>
          </w:p>
        </w:tc>
      </w:tr>
      <w:tr>
        <w:tc>
          <w:tcPr>
            <w:tcW w:type="dxa" w:w="5040"/>
            <w:vAlign w:val="center"/>
            <w:shd w:fill="E8EAF0"/>
          </w:tcPr>
          <w:p>
            <w:pPr>
              <w:spacing w:after="20"/>
            </w:pPr>
            <w:r/>
            <w:r>
              <w:rPr>
                <w:rFonts w:ascii="Arial" w:hAnsi="Arial"/>
                <w:b/>
                <w:sz w:val="18"/>
              </w:rPr>
              <w:t>Onset</w:t>
            </w:r>
          </w:p>
        </w:tc>
        <w:tc>
          <w:tcPr>
            <w:tcW w:type="dxa" w:w="5040"/>
            <w:vAlign w:val="center"/>
          </w:tcPr>
          <w:p>
            <w:pPr>
              <w:spacing w:after="20"/>
            </w:pPr>
            <w:r/>
            <w:r>
              <w:rPr>
                <w:rFonts w:ascii="Arial" w:hAnsi="Arial"/>
                <w:b w:val="0"/>
                <w:sz w:val="18"/>
              </w:rPr>
              <w:t>Day 2 of treatment</w:t>
            </w:r>
          </w:p>
        </w:tc>
      </w:tr>
      <w:tr>
        <w:tc>
          <w:tcPr>
            <w:tcW w:type="dxa" w:w="5040"/>
            <w:vAlign w:val="center"/>
            <w:shd w:fill="E8EAF0"/>
          </w:tcPr>
          <w:p>
            <w:pPr>
              <w:spacing w:after="20"/>
            </w:pPr>
            <w:r/>
            <w:r>
              <w:rPr>
                <w:rFonts w:ascii="Arial" w:hAnsi="Arial"/>
                <w:b/>
                <w:sz w:val="18"/>
              </w:rPr>
              <w:t>Dechallenge</w:t>
            </w:r>
          </w:p>
        </w:tc>
        <w:tc>
          <w:tcPr>
            <w:tcW w:type="dxa" w:w="5040"/>
            <w:vAlign w:val="center"/>
          </w:tcPr>
          <w:p>
            <w:pPr>
              <w:spacing w:after="20"/>
            </w:pPr>
            <w:r/>
            <w:r>
              <w:rPr>
                <w:rFonts w:ascii="Arial" w:hAnsi="Arial"/>
                <w:b w:val="0"/>
                <w:sz w:val="18"/>
              </w:rPr>
              <w:t>Suspected medicine discontinued</w:t>
            </w:r>
          </w:p>
        </w:tc>
      </w:tr>
      <w:tr>
        <w:tc>
          <w:tcPr>
            <w:tcW w:type="dxa" w:w="5040"/>
            <w:vAlign w:val="center"/>
            <w:shd w:fill="E8EAF0"/>
          </w:tcPr>
          <w:p>
            <w:pPr>
              <w:spacing w:after="20"/>
            </w:pPr>
            <w:r/>
            <w:r>
              <w:rPr>
                <w:rFonts w:ascii="Arial" w:hAnsi="Arial"/>
                <w:b/>
                <w:sz w:val="18"/>
              </w:rPr>
              <w:t>Rechallenge</w:t>
            </w:r>
          </w:p>
        </w:tc>
        <w:tc>
          <w:tcPr>
            <w:tcW w:type="dxa" w:w="5040"/>
            <w:vAlign w:val="center"/>
          </w:tcPr>
          <w:p>
            <w:pPr>
              <w:spacing w:after="20"/>
            </w:pPr>
            <w:r/>
            <w:r>
              <w:rPr>
                <w:rFonts w:ascii="Arial" w:hAnsi="Arial"/>
                <w:b w:val="0"/>
                <w:sz w:val="18"/>
              </w:rPr>
              <w:t>Not performed</w:t>
            </w:r>
          </w:p>
        </w:tc>
      </w:tr>
      <w:tr>
        <w:tc>
          <w:tcPr>
            <w:tcW w:type="dxa" w:w="5040"/>
            <w:vAlign w:val="center"/>
            <w:shd w:fill="E8EAF0"/>
          </w:tcPr>
          <w:p>
            <w:pPr>
              <w:spacing w:after="20"/>
            </w:pPr>
            <w:r/>
            <w:r>
              <w:rPr>
                <w:rFonts w:ascii="Arial" w:hAnsi="Arial"/>
                <w:b/>
                <w:sz w:val="18"/>
              </w:rPr>
              <w:t>Recovery</w:t>
            </w:r>
          </w:p>
        </w:tc>
        <w:tc>
          <w:tcPr>
            <w:tcW w:type="dxa" w:w="5040"/>
            <w:vAlign w:val="center"/>
          </w:tcPr>
          <w:p>
            <w:pPr>
              <w:spacing w:after="20"/>
            </w:pPr>
            <w:r/>
            <w:r>
              <w:rPr>
                <w:rFonts w:ascii="Arial" w:hAnsi="Arial"/>
                <w:b w:val="0"/>
                <w:sz w:val="18"/>
              </w:rPr>
              <w:t>Gradual improvement over approximately 3 days after withdrawal</w:t>
            </w:r>
          </w:p>
        </w:tc>
      </w:tr>
      <w:tr>
        <w:tc>
          <w:tcPr>
            <w:tcW w:type="dxa" w:w="5040"/>
            <w:vAlign w:val="center"/>
            <w:shd w:fill="E8EAF0"/>
          </w:tcPr>
          <w:p>
            <w:pPr>
              <w:spacing w:after="20"/>
            </w:pPr>
            <w:r/>
            <w:r>
              <w:rPr>
                <w:rFonts w:ascii="Arial" w:hAnsi="Arial"/>
                <w:b/>
                <w:sz w:val="18"/>
              </w:rPr>
              <w:t>Outcome</w:t>
            </w:r>
          </w:p>
        </w:tc>
        <w:tc>
          <w:tcPr>
            <w:tcW w:type="dxa" w:w="5040"/>
            <w:vAlign w:val="center"/>
          </w:tcPr>
          <w:p>
            <w:pPr>
              <w:spacing w:after="20"/>
            </w:pPr>
            <w:r/>
            <w:r>
              <w:rPr>
                <w:rFonts w:ascii="Arial" w:hAnsi="Arial"/>
                <w:b w:val="0"/>
                <w:sz w:val="18"/>
              </w:rPr>
              <w:t>Recovered (as defined in this simulated scenario)</w:t>
            </w:r>
          </w:p>
        </w:tc>
      </w:tr>
      <w:tr>
        <w:tc>
          <w:tcPr>
            <w:tcW w:type="dxa" w:w="5040"/>
            <w:vAlign w:val="center"/>
            <w:shd w:fill="E8EAF0"/>
          </w:tcPr>
          <w:p>
            <w:pPr>
              <w:spacing w:after="20"/>
            </w:pPr>
            <w:r/>
            <w:r>
              <w:rPr>
                <w:rFonts w:ascii="Arial" w:hAnsi="Arial"/>
                <w:b/>
                <w:sz w:val="18"/>
              </w:rPr>
              <w:t>Reaction classification</w:t>
            </w:r>
          </w:p>
        </w:tc>
        <w:tc>
          <w:tcPr>
            <w:tcW w:type="dxa" w:w="5040"/>
            <w:vAlign w:val="center"/>
          </w:tcPr>
          <w:p>
            <w:pPr>
              <w:spacing w:after="20"/>
            </w:pPr>
            <w:r/>
            <w:r>
              <w:rPr>
                <w:rFonts w:ascii="Arial" w:hAnsi="Arial"/>
                <w:b w:val="0"/>
                <w:sz w:val="18"/>
              </w:rPr>
              <w:t>Suspected cutaneous adverse drug reaction</w:t>
            </w:r>
          </w:p>
        </w:tc>
      </w:tr>
    </w:tbl>
    <w:p>
      <w:pPr>
        <w:pStyle w:val="Heading1"/>
      </w:pPr>
      <w:r>
        <w:t>5. Seriousness and Causality Assessment</w:t>
      </w:r>
    </w:p>
    <w:p>
      <w:r>
        <w:t>Seriousness: Classified as non-serious in this training scenario because no death, life-threatening event, hospitalization, persistent disability, congenital anomaly, or other medically important event is specified. Severity (intensity) is not interchangeable with regulatory seriousness.</w:t>
      </w:r>
    </w:p>
    <w:p>
      <w:r>
        <w:t>Causality: A suspected association is supported by onset after drug initiation and improvement following withdrawal. However, alternative causes (including the underlying infection) have not been fully excluded. For training purposes, the case may be discussed as possible; a definitive WHO-UMC category cannot be assigned without fuller clinical information.</w:t>
      </w:r>
    </w:p>
    <w:p>
      <w:pPr>
        <w:pStyle w:val="Heading1"/>
      </w:pPr>
      <w:r>
        <w:t>6. Reporter Information</w:t>
      </w:r>
    </w:p>
    <w:tbl>
      <w:tblPr>
        <w:tblStyle w:val="TableGrid"/>
        <w:tblW w:type="auto" w:w="0"/>
        <w:jc w:val="center"/>
        <w:tblLook w:firstColumn="1" w:firstRow="1" w:lastColumn="0" w:lastRow="0" w:noHBand="0" w:noVBand="1" w:val="04A0"/>
      </w:tblPr>
      <w:tblGrid>
        <w:gridCol w:w="5040"/>
        <w:gridCol w:w="5040"/>
      </w:tblGrid>
      <w:tr>
        <w:tc>
          <w:tcPr>
            <w:tcW w:type="dxa" w:w="5040"/>
            <w:vAlign w:val="center"/>
            <w:shd w:fill="E8EAF0"/>
          </w:tcPr>
          <w:p>
            <w:pPr>
              <w:spacing w:after="20"/>
            </w:pPr>
            <w:r/>
            <w:r>
              <w:rPr>
                <w:rFonts w:ascii="Arial" w:hAnsi="Arial"/>
                <w:b/>
                <w:sz w:val="18"/>
              </w:rPr>
              <w:t>Reporter name</w:t>
            </w:r>
          </w:p>
        </w:tc>
        <w:tc>
          <w:tcPr>
            <w:tcW w:type="dxa" w:w="5040"/>
            <w:vAlign w:val="center"/>
          </w:tcPr>
          <w:p>
            <w:pPr>
              <w:spacing w:after="20"/>
            </w:pPr>
            <w:r/>
            <w:r>
              <w:rPr>
                <w:rFonts w:ascii="Arial" w:hAnsi="Arial"/>
                <w:b w:val="0"/>
                <w:sz w:val="18"/>
              </w:rPr>
              <w:t>Dhruv Gupta</w:t>
            </w:r>
          </w:p>
        </w:tc>
      </w:tr>
      <w:tr>
        <w:tc>
          <w:tcPr>
            <w:tcW w:type="dxa" w:w="5040"/>
            <w:vAlign w:val="center"/>
            <w:shd w:fill="E8EAF0"/>
          </w:tcPr>
          <w:p>
            <w:pPr>
              <w:spacing w:after="20"/>
            </w:pPr>
            <w:r/>
            <w:r>
              <w:rPr>
                <w:rFonts w:ascii="Arial" w:hAnsi="Arial"/>
                <w:b/>
                <w:sz w:val="18"/>
              </w:rPr>
              <w:t>Designation</w:t>
            </w:r>
          </w:p>
        </w:tc>
        <w:tc>
          <w:tcPr>
            <w:tcW w:type="dxa" w:w="5040"/>
            <w:vAlign w:val="center"/>
          </w:tcPr>
          <w:p>
            <w:pPr>
              <w:spacing w:after="20"/>
            </w:pPr>
            <w:r/>
            <w:r>
              <w:rPr>
                <w:rFonts w:ascii="Arial" w:hAnsi="Arial"/>
                <w:b w:val="0"/>
                <w:sz w:val="18"/>
              </w:rPr>
              <w:t>B.Pharm Student</w:t>
            </w:r>
          </w:p>
        </w:tc>
      </w:tr>
      <w:tr>
        <w:tc>
          <w:tcPr>
            <w:tcW w:type="dxa" w:w="5040"/>
            <w:vAlign w:val="center"/>
            <w:shd w:fill="E8EAF0"/>
          </w:tcPr>
          <w:p>
            <w:pPr>
              <w:spacing w:after="20"/>
            </w:pPr>
            <w:r/>
            <w:r>
              <w:rPr>
                <w:rFonts w:ascii="Arial" w:hAnsi="Arial"/>
                <w:b/>
                <w:sz w:val="18"/>
              </w:rPr>
              <w:t>Institution</w:t>
            </w:r>
          </w:p>
        </w:tc>
        <w:tc>
          <w:tcPr>
            <w:tcW w:type="dxa" w:w="5040"/>
            <w:vAlign w:val="center"/>
          </w:tcPr>
          <w:p>
            <w:pPr>
              <w:spacing w:after="20"/>
            </w:pPr>
            <w:r/>
            <w:r>
              <w:rPr>
                <w:rFonts w:ascii="Arial" w:hAnsi="Arial"/>
                <w:b w:val="0"/>
                <w:sz w:val="18"/>
              </w:rPr>
              <w:t>[Enter college name]</w:t>
            </w:r>
          </w:p>
        </w:tc>
      </w:tr>
      <w:tr>
        <w:tc>
          <w:tcPr>
            <w:tcW w:type="dxa" w:w="5040"/>
            <w:vAlign w:val="center"/>
            <w:shd w:fill="E8EAF0"/>
          </w:tcPr>
          <w:p>
            <w:pPr>
              <w:spacing w:after="20"/>
            </w:pPr>
            <w:r/>
            <w:r>
              <w:rPr>
                <w:rFonts w:ascii="Arial" w:hAnsi="Arial"/>
                <w:b/>
                <w:sz w:val="18"/>
              </w:rPr>
              <w:t>Contact</w:t>
            </w:r>
          </w:p>
        </w:tc>
        <w:tc>
          <w:tcPr>
            <w:tcW w:type="dxa" w:w="5040"/>
            <w:vAlign w:val="center"/>
          </w:tcPr>
          <w:p>
            <w:pPr>
              <w:spacing w:after="20"/>
            </w:pPr>
            <w:r/>
            <w:r>
              <w:rPr>
                <w:rFonts w:ascii="Arial" w:hAnsi="Arial"/>
                <w:b w:val="0"/>
                <w:sz w:val="18"/>
              </w:rPr>
              <w:t>[Enter professional email only if required]</w:t>
            </w:r>
          </w:p>
        </w:tc>
      </w:tr>
      <w:tr>
        <w:tc>
          <w:tcPr>
            <w:tcW w:type="dxa" w:w="5040"/>
            <w:vAlign w:val="center"/>
            <w:shd w:fill="E8EAF0"/>
          </w:tcPr>
          <w:p>
            <w:pPr>
              <w:spacing w:after="20"/>
            </w:pPr>
            <w:r/>
            <w:r>
              <w:rPr>
                <w:rFonts w:ascii="Arial" w:hAnsi="Arial"/>
                <w:b/>
                <w:sz w:val="18"/>
              </w:rPr>
              <w:t>Report type</w:t>
            </w:r>
          </w:p>
        </w:tc>
        <w:tc>
          <w:tcPr>
            <w:tcW w:type="dxa" w:w="5040"/>
            <w:vAlign w:val="center"/>
          </w:tcPr>
          <w:p>
            <w:pPr>
              <w:spacing w:after="20"/>
            </w:pPr>
            <w:r/>
            <w:r>
              <w:rPr>
                <w:rFonts w:ascii="Arial" w:hAnsi="Arial"/>
                <w:b w:val="0"/>
                <w:sz w:val="18"/>
              </w:rPr>
              <w:t>Educational simulation; not submitted to a regulatory system</w:t>
            </w:r>
          </w:p>
        </w:tc>
      </w:tr>
      <w:tr>
        <w:tc>
          <w:tcPr>
            <w:tcW w:type="dxa" w:w="5040"/>
            <w:vAlign w:val="center"/>
            <w:shd w:fill="E8EAF0"/>
          </w:tcPr>
          <w:p>
            <w:pPr>
              <w:spacing w:after="20"/>
            </w:pPr>
            <w:r/>
            <w:r>
              <w:rPr>
                <w:rFonts w:ascii="Arial" w:hAnsi="Arial"/>
                <w:b/>
                <w:sz w:val="18"/>
              </w:rPr>
              <w:t>Preparation date</w:t>
            </w:r>
          </w:p>
        </w:tc>
        <w:tc>
          <w:tcPr>
            <w:tcW w:type="dxa" w:w="5040"/>
            <w:vAlign w:val="center"/>
          </w:tcPr>
          <w:p>
            <w:pPr>
              <w:spacing w:after="20"/>
            </w:pPr>
            <w:r/>
            <w:r>
              <w:rPr>
                <w:rFonts w:ascii="Arial" w:hAnsi="Arial"/>
                <w:b w:val="0"/>
                <w:sz w:val="18"/>
              </w:rPr>
              <w:t>[Enter date]</w:t>
            </w:r>
          </w:p>
        </w:tc>
      </w:tr>
    </w:tbl>
    <w:p>
      <w:pPr>
        <w:pStyle w:val="Heading1"/>
      </w:pPr>
      <w:r>
        <w:t>7. Assessment and Conclusion</w:t>
      </w:r>
    </w:p>
    <w:p>
      <w:r>
        <w:t>The simulated case illustrates structured documentation of a suspected antibiotic-associated skin reaction. The key elements recorded are the patient profile, suspected medicine, dose, reaction description, onset, dechallenge, outcome, seriousness, and causality considerations. In real pharmacovigilance practice, reports should be based on verified clinical information and submitted through the appropriate reporting pathway.</w:t>
      </w:r>
    </w:p>
    <w:p>
      <w:pPr>
        <w:pStyle w:val="Heading1"/>
      </w:pPr>
      <w:r>
        <w:t>8. References</w:t>
      </w:r>
    </w:p>
    <w:p>
      <w:pPr>
        <w:pStyle w:val="ListNumber"/>
      </w:pPr>
      <w:r>
        <w:t>World Health Organization. Pharmacovigilance. https://www.who.int/teams/regulation-prequalification/regulation-and-safety/pharmacovigilance</w:t>
      </w:r>
    </w:p>
    <w:p>
      <w:pPr>
        <w:pStyle w:val="ListNumber"/>
      </w:pPr>
      <w:r>
        <w:t>Uppsala Monitoring Centre. WHO-UMC system for standardised case causality assessment. https://www.who-umc.org/</w:t>
      </w:r>
    </w:p>
    <w:p>
      <w:pPr>
        <w:pStyle w:val="ListNumber"/>
      </w:pPr>
      <w:r>
        <w:t>Indian Pharmacopoeia Commission. Pharmacovigilance Programme of India. https://www.ipc.gov.in/</w:t>
      </w:r>
    </w:p>
    <w:p>
      <w:pPr>
        <w:spacing w:before="160"/>
      </w:pPr>
      <w:r>
        <w:rPr>
          <w:b/>
        </w:rPr>
        <w:t xml:space="preserve">Declaration: </w:t>
      </w:r>
      <w:r>
        <w:t>This document uses a fictional educational scenario and is not an actual patient record or official PvPI ADR submission.</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ADR Reporting &amp; Documentation | Educational Training Copy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