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4E3D"/>
          <w:sz w:val="60"/>
        </w:rPr>
        <w:t>DEADSTOCK EXCHANGE</w:t>
      </w:r>
    </w:p>
    <w:p>
      <w:pPr>
        <w:jc w:val="center"/>
      </w:pPr>
      <w:r>
        <w:rPr>
          <w:b/>
          <w:sz w:val="30"/>
        </w:rPr>
        <w:t>B2B Circular Material Exchange for Industrial Surplus</w:t>
      </w:r>
    </w:p>
    <w:p>
      <w:pPr>
        <w:spacing w:before="320"/>
        <w:jc w:val="center"/>
      </w:pPr>
      <w:r>
        <w:rPr>
          <w:sz w:val="22"/>
        </w:rPr>
        <w:t>First Commit 2026 — Detailed Problem Statement &amp; Build Structure</w:t>
      </w:r>
    </w:p>
    <w:p>
      <w:pPr>
        <w:spacing w:before="680"/>
        <w:jc w:val="center"/>
      </w:pPr>
      <w:r>
        <w:rPr>
          <w:b/>
          <w:color w:val="1F4E3D"/>
          <w:sz w:val="22"/>
        </w:rPr>
        <w:t>Core idea</w:t>
      </w:r>
    </w:p>
    <w:p>
      <w:pPr>
        <w:jc w:val="center"/>
      </w:pPr>
      <w:r>
        <w:rPr>
          <w:i/>
          <w:sz w:val="26"/>
        </w:rPr>
        <w:t>One business's dead stock or usable production surplus can become another business's raw material.</w:t>
      </w:r>
    </w:p>
    <w:p>
      <w:r>
        <w:br w:type="page"/>
      </w:r>
    </w:p>
    <w:p>
      <w:pPr>
        <w:pStyle w:val="Heading1"/>
      </w:pPr>
      <w:r>
        <w:t>1. Problem Statement</w:t>
      </w:r>
    </w:p>
    <w:p>
      <w:r>
        <w:rPr>
          <w:b/>
        </w:rPr>
        <w:t xml:space="preserve">Problem statement: </w:t>
      </w:r>
      <w:r>
        <w:t>Small and medium manufacturers, workshops and businesses regularly accumulate usable surplus materials—such as fabric offcuts, packaging material, wood pieces, acrylic sheets, paper/cardboard, spare components and excess production stock—that are no longer useful to them. At the same time, other nearby businesses may be purchasing the same or compatible materials from new suppliers. Because there is no simple, structured way to expose this surplus as usable industrial inventory, material with economic value is often stored, sold as low-value scrap or discarded while another business buys fresh material.</w:t>
      </w:r>
    </w:p>
    <w:p>
      <w:r>
        <w:rPr>
          <w:b/>
        </w:rPr>
        <w:t xml:space="preserve">Build: </w:t>
      </w:r>
      <w:r>
        <w:t>a B2B circular-material exchange that converts surplus inventory into structured listings, matches it against real material requirements from other businesses, supports reservation and handoff, and measures material diverted from disposal and procurement potentially avoided.</w:t>
      </w:r>
    </w:p>
    <w:p>
      <w:pPr>
        <w:pStyle w:val="Heading1"/>
      </w:pPr>
      <w:r>
        <w:t>2. The Real-Life Situation</w:t>
      </w:r>
    </w:p>
    <w:p>
      <w:r>
        <w:t>Consider two small businesses operating in the same city.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8E2"/>
          </w:tcPr>
          <w:p>
            <w:r/>
            <w:r>
              <w:rPr>
                <w:rFonts w:ascii="Aptos" w:hAnsi="Aptos"/>
                <w:b/>
                <w:sz w:val="19"/>
              </w:rPr>
              <w:t>Furniture Workshop A</w:t>
            </w:r>
          </w:p>
        </w:tc>
        <w:tc>
          <w:tcPr>
            <w:tcW w:type="dxa" w:w="4968"/>
            <w:vAlign w:val="center"/>
            <w:shd w:fill="DCE8E2"/>
          </w:tcPr>
          <w:p>
            <w:r/>
            <w:r>
              <w:rPr>
                <w:rFonts w:ascii="Aptos" w:hAnsi="Aptos"/>
                <w:b/>
                <w:sz w:val="19"/>
              </w:rPr>
              <w:t>Décor / Packaging Business B</w:t>
            </w:r>
          </w:p>
        </w:tc>
      </w:tr>
      <w:tr>
        <w:tc>
          <w:tcPr>
            <w:tcW w:type="dxa" w:w="4968"/>
            <w:vAlign w:val="center"/>
          </w:tcPr>
          <w:p>
            <w:r/>
            <w:r>
              <w:rPr>
                <w:rFonts w:ascii="Aptos" w:hAnsi="Aptos"/>
                <w:b w:val="0"/>
                <w:sz w:val="19"/>
              </w:rPr>
              <w:t>Produces 80 kg of clean wood offcuts.</w:t>
            </w:r>
          </w:p>
        </w:tc>
        <w:tc>
          <w:tcPr>
            <w:tcW w:type="dxa" w:w="4968"/>
            <w:vAlign w:val="center"/>
          </w:tcPr>
          <w:p>
            <w:r/>
            <w:r>
              <w:rPr>
                <w:rFonts w:ascii="Aptos" w:hAnsi="Aptos"/>
                <w:b w:val="0"/>
                <w:sz w:val="19"/>
              </w:rPr>
              <w:t>Needs 50 kg of small wood pieces for non-structural products.</w:t>
            </w:r>
          </w:p>
        </w:tc>
      </w:tr>
      <w:tr>
        <w:tc>
          <w:tcPr>
            <w:tcW w:type="dxa" w:w="4968"/>
            <w:vAlign w:val="center"/>
          </w:tcPr>
          <w:p>
            <w:r/>
            <w:r>
              <w:rPr>
                <w:rFonts w:ascii="Aptos" w:hAnsi="Aptos"/>
                <w:b w:val="0"/>
                <w:sz w:val="19"/>
              </w:rPr>
              <w:t>Material is usable but irregular in size.</w:t>
            </w:r>
          </w:p>
        </w:tc>
        <w:tc>
          <w:tcPr>
            <w:tcW w:type="dxa" w:w="4968"/>
            <w:vAlign w:val="center"/>
          </w:tcPr>
          <w:p>
            <w:r/>
            <w:r>
              <w:rPr>
                <w:rFonts w:ascii="Aptos" w:hAnsi="Aptos"/>
                <w:b w:val="0"/>
                <w:sz w:val="19"/>
              </w:rPr>
              <w:t>Normally purchases new material from a supplier.</w:t>
            </w:r>
          </w:p>
        </w:tc>
      </w:tr>
      <w:tr>
        <w:tc>
          <w:tcPr>
            <w:tcW w:type="dxa" w:w="4968"/>
            <w:vAlign w:val="center"/>
          </w:tcPr>
          <w:p>
            <w:r/>
            <w:r>
              <w:rPr>
                <w:rFonts w:ascii="Aptos" w:hAnsi="Aptos"/>
                <w:b w:val="0"/>
                <w:sz w:val="19"/>
              </w:rPr>
              <w:t>Workshop has no internal use for it.</w:t>
            </w:r>
          </w:p>
        </w:tc>
        <w:tc>
          <w:tcPr>
            <w:tcW w:type="dxa" w:w="4968"/>
            <w:vAlign w:val="center"/>
          </w:tcPr>
          <w:p>
            <w:r/>
            <w:r>
              <w:rPr>
                <w:rFonts w:ascii="Aptos" w:hAnsi="Aptos"/>
                <w:b w:val="0"/>
                <w:sz w:val="19"/>
              </w:rPr>
              <w:t>Would accept suitable offcuts if dimensions/quality are known.</w:t>
            </w:r>
          </w:p>
        </w:tc>
      </w:tr>
      <w:tr>
        <w:tc>
          <w:tcPr>
            <w:tcW w:type="dxa" w:w="4968"/>
            <w:vAlign w:val="center"/>
          </w:tcPr>
          <w:p>
            <w:r/>
            <w:r>
              <w:rPr>
                <w:rFonts w:ascii="Aptos" w:hAnsi="Aptos"/>
                <w:b w:val="0"/>
                <w:sz w:val="19"/>
              </w:rPr>
              <w:t>Likely outcome: storage, scrap sale or disposal.</w:t>
            </w:r>
          </w:p>
        </w:tc>
        <w:tc>
          <w:tcPr>
            <w:tcW w:type="dxa" w:w="4968"/>
            <w:vAlign w:val="center"/>
          </w:tcPr>
          <w:p>
            <w:r/>
            <w:r>
              <w:rPr>
                <w:rFonts w:ascii="Aptos" w:hAnsi="Aptos"/>
                <w:b w:val="0"/>
                <w:sz w:val="19"/>
              </w:rPr>
              <w:t>Likely outcome: pays for new raw material.</w:t>
            </w:r>
          </w:p>
        </w:tc>
      </w:tr>
    </w:tbl>
    <w:p>
      <w:r>
        <w:t>The inefficiency is not that the material has no value. The problem is that the business that has it and the business that can use it do not discover each other at the right time with enough information to transact.</w:t>
      </w:r>
    </w:p>
    <w:p>
      <w:pPr>
        <w:pStyle w:val="Heading1"/>
      </w:pPr>
      <w:r>
        <w:t>3. What Users Do Today</w:t>
      </w:r>
    </w:p>
    <w:p>
      <w:pPr>
        <w:pStyle w:val="ListBullet"/>
        <w:spacing w:after="60"/>
      </w:pPr>
      <w:r>
        <w:t>Keep surplus material in storage until someone finds a use for it.</w:t>
      </w:r>
    </w:p>
    <w:p>
      <w:pPr>
        <w:pStyle w:val="ListBullet"/>
        <w:spacing w:after="60"/>
      </w:pPr>
      <w:r>
        <w:t>Sell mixed material to a scrap dealer at a low recovery value.</w:t>
      </w:r>
    </w:p>
    <w:p>
      <w:pPr>
        <w:pStyle w:val="ListBullet"/>
        <w:spacing w:after="60"/>
      </w:pPr>
      <w:r>
        <w:t>Discard material when storage becomes inconvenient.</w:t>
      </w:r>
    </w:p>
    <w:p>
      <w:pPr>
        <w:pStyle w:val="ListBullet"/>
        <w:spacing w:after="60"/>
      </w:pPr>
      <w:r>
        <w:t>Post informally in WhatsApp groups or call known businesses.</w:t>
      </w:r>
    </w:p>
    <w:p>
      <w:pPr>
        <w:pStyle w:val="ListBullet"/>
        <w:spacing w:after="60"/>
      </w:pPr>
      <w:r>
        <w:t>Buy new raw material because finding compatible local surplus is unreliable.</w:t>
      </w:r>
    </w:p>
    <w:p>
      <w:r>
        <w:rPr>
          <w:b/>
        </w:rPr>
        <w:t xml:space="preserve">Weakness in the current process: </w:t>
      </w:r>
      <w:r>
        <w:t>surplus and demand are fragmented, descriptions are inconsistent, availability becomes stale quickly, and there is usually no workflow for matching, reserving, collecting and recording reuse.</w:t>
      </w:r>
    </w:p>
    <w:p>
      <w:pPr>
        <w:pStyle w:val="Heading1"/>
      </w:pPr>
      <w:r>
        <w:t>4. What DeadStock Exchange Actually Does</w:t>
      </w:r>
    </w:p>
    <w:p>
      <w:r>
        <w:t>DeadStock Exchange is not a general e-commerce marketplace and not a consumer resale app. It is a focused B2B workflow for usable surplus materials.</w:t>
      </w:r>
    </w:p>
    <w:p>
      <w:pPr>
        <w:pStyle w:val="ListNumber"/>
        <w:spacing w:after="60"/>
      </w:pPr>
      <w:r>
        <w:t>A supplier business lists surplus material using structured fields.</w:t>
      </w:r>
    </w:p>
    <w:p>
      <w:pPr>
        <w:pStyle w:val="ListNumber"/>
        <w:spacing w:after="60"/>
      </w:pPr>
      <w:r>
        <w:t>A receiving business posts a material requirement or browses available surplus.</w:t>
      </w:r>
    </w:p>
    <w:p>
      <w:pPr>
        <w:pStyle w:val="ListNumber"/>
        <w:spacing w:after="60"/>
      </w:pPr>
      <w:r>
        <w:t>The system compares material type, quantity, location, dimensions/attributes and availability window.</w:t>
      </w:r>
    </w:p>
    <w:p>
      <w:pPr>
        <w:pStyle w:val="ListNumber"/>
        <w:spacing w:after="60"/>
      </w:pPr>
      <w:r>
        <w:t>Potential matches are surfaced with a transparent compatibility explanation.</w:t>
      </w:r>
    </w:p>
    <w:p>
      <w:pPr>
        <w:pStyle w:val="ListNumber"/>
        <w:spacing w:after="60"/>
      </w:pPr>
      <w:r>
        <w:t>The receiver reserves some or all of the material.</w:t>
      </w:r>
    </w:p>
    <w:p>
      <w:pPr>
        <w:pStyle w:val="ListNumber"/>
        <w:spacing w:after="60"/>
      </w:pPr>
      <w:r>
        <w:t>The supplier confirms the handoff.</w:t>
      </w:r>
    </w:p>
    <w:p>
      <w:pPr>
        <w:pStyle w:val="ListNumber"/>
        <w:spacing w:after="60"/>
      </w:pPr>
      <w:r>
        <w:t>Inventory is reduced automatically and the transaction is recorded as reused/diverted material.</w:t>
      </w:r>
    </w:p>
    <w:p>
      <w:pPr>
        <w:pStyle w:val="Heading1"/>
      </w:pPr>
      <w:r>
        <w:t>5. Example End-to-End Workflow</w:t>
      </w:r>
    </w:p>
    <w:p>
      <w:pPr>
        <w:pStyle w:val="Heading2"/>
      </w:pPr>
      <w:r>
        <w:t>Supplier listing</w:t>
      </w:r>
    </w:p>
    <w:p>
      <w:pPr>
        <w:pStyle w:val="ListBullet"/>
        <w:spacing w:after="60"/>
      </w:pPr>
      <w:r>
        <w:rPr>
          <w:b/>
        </w:rPr>
        <w:t xml:space="preserve">Material: </w:t>
      </w:r>
      <w:r>
        <w:t>Plywood / wood offcuts</w:t>
      </w:r>
    </w:p>
    <w:p>
      <w:pPr>
        <w:pStyle w:val="ListBullet"/>
        <w:spacing w:after="60"/>
      </w:pPr>
      <w:r>
        <w:rPr>
          <w:b/>
        </w:rPr>
        <w:t xml:space="preserve">Quantity: </w:t>
      </w:r>
      <w:r>
        <w:t>80 kg</w:t>
      </w:r>
    </w:p>
    <w:p>
      <w:pPr>
        <w:pStyle w:val="ListBullet"/>
        <w:spacing w:after="60"/>
      </w:pPr>
      <w:r>
        <w:rPr>
          <w:b/>
        </w:rPr>
        <w:t xml:space="preserve">Location: </w:t>
      </w:r>
      <w:r>
        <w:t>Andheri, Mumbai</w:t>
      </w:r>
    </w:p>
    <w:p>
      <w:pPr>
        <w:pStyle w:val="ListBullet"/>
        <w:spacing w:after="60"/>
      </w:pPr>
      <w:r>
        <w:rPr>
          <w:b/>
        </w:rPr>
        <w:t xml:space="preserve">Typical size: </w:t>
      </w:r>
      <w:r>
        <w:t>15–40 cm pieces</w:t>
      </w:r>
    </w:p>
    <w:p>
      <w:pPr>
        <w:pStyle w:val="ListBullet"/>
        <w:spacing w:after="60"/>
      </w:pPr>
      <w:r>
        <w:rPr>
          <w:b/>
        </w:rPr>
        <w:t xml:space="preserve">Condition: </w:t>
      </w:r>
      <w:r>
        <w:t>Clean, dry, untreated</w:t>
      </w:r>
    </w:p>
    <w:p>
      <w:pPr>
        <w:pStyle w:val="ListBullet"/>
        <w:spacing w:after="60"/>
      </w:pPr>
      <w:r>
        <w:rPr>
          <w:b/>
        </w:rPr>
        <w:t xml:space="preserve">Availability: </w:t>
      </w:r>
      <w:r>
        <w:t>Until 20 September</w:t>
      </w:r>
    </w:p>
    <w:p>
      <w:pPr>
        <w:pStyle w:val="ListBullet"/>
        <w:spacing w:after="60"/>
      </w:pPr>
      <w:r>
        <w:rPr>
          <w:b/>
        </w:rPr>
        <w:t xml:space="preserve">Preference: </w:t>
      </w:r>
      <w:r>
        <w:t>Pickup</w:t>
      </w:r>
    </w:p>
    <w:p>
      <w:pPr>
        <w:pStyle w:val="Heading2"/>
      </w:pPr>
      <w:r>
        <w:t>Buyer requirement</w:t>
      </w:r>
    </w:p>
    <w:p>
      <w:pPr>
        <w:pStyle w:val="ListBullet"/>
        <w:spacing w:after="60"/>
      </w:pPr>
      <w:r>
        <w:rPr>
          <w:b/>
        </w:rPr>
        <w:t xml:space="preserve">Material needed: </w:t>
      </w:r>
      <w:r>
        <w:t>Wood offcuts</w:t>
      </w:r>
    </w:p>
    <w:p>
      <w:pPr>
        <w:pStyle w:val="ListBullet"/>
        <w:spacing w:after="60"/>
      </w:pPr>
      <w:r>
        <w:rPr>
          <w:b/>
        </w:rPr>
        <w:t xml:space="preserve">Quantity: </w:t>
      </w:r>
      <w:r>
        <w:t>50 kg</w:t>
      </w:r>
    </w:p>
    <w:p>
      <w:pPr>
        <w:pStyle w:val="ListBullet"/>
        <w:spacing w:after="60"/>
      </w:pPr>
      <w:r>
        <w:rPr>
          <w:b/>
        </w:rPr>
        <w:t xml:space="preserve">Minimum usable size: </w:t>
      </w:r>
      <w:r>
        <w:t>10 cm</w:t>
      </w:r>
    </w:p>
    <w:p>
      <w:pPr>
        <w:pStyle w:val="ListBullet"/>
        <w:spacing w:after="60"/>
      </w:pPr>
      <w:r>
        <w:rPr>
          <w:b/>
        </w:rPr>
        <w:t xml:space="preserve">Radius: </w:t>
      </w:r>
      <w:r>
        <w:t>15 km</w:t>
      </w:r>
    </w:p>
    <w:p>
      <w:pPr>
        <w:pStyle w:val="ListBullet"/>
        <w:spacing w:after="60"/>
      </w:pPr>
      <w:r>
        <w:rPr>
          <w:b/>
        </w:rPr>
        <w:t xml:space="preserve">Required before: </w:t>
      </w:r>
      <w:r>
        <w:t>19 September</w:t>
      </w:r>
    </w:p>
    <w:p>
      <w:pPr>
        <w:pStyle w:val="Heading2"/>
      </w:pPr>
      <w:r>
        <w:t>System output</w:t>
      </w:r>
    </w:p>
    <w:p>
      <w:r>
        <w:rPr>
          <w:b/>
        </w:rPr>
        <w:t>POTENTIAL MATCH FOUND</w:t>
      </w:r>
      <w:r>
        <w:br/>
        <w:t>Material category compatible ✓</w:t>
      </w:r>
      <w:r>
        <w:br/>
        <w:t>Quantity available ✓</w:t>
      </w:r>
      <w:r>
        <w:br/>
        <w:t>Minimum size requirement satisfied ✓</w:t>
      </w:r>
      <w:r>
        <w:br/>
        <w:t>Availability window compatible ✓</w:t>
      </w:r>
      <w:r>
        <w:br/>
        <w:t>Location within selected service area ✓</w:t>
      </w:r>
      <w:r>
        <w:br/>
        <w:br/>
        <w:t>Recommended action: Reserve 50 kg</w:t>
      </w:r>
      <w:r>
        <w:br/>
        <w:t>Remaining supplier surplus after reservation: 30 kg</w:t>
      </w:r>
    </w:p>
    <w:p>
      <w:pPr>
        <w:pStyle w:val="Heading1"/>
      </w:pPr>
      <w:r>
        <w:t>6. The Killer Workflow</w:t>
      </w:r>
    </w:p>
    <w:p>
      <w:r>
        <w:rPr>
          <w:b/>
          <w:color w:val="1F4E3D"/>
          <w:sz w:val="26"/>
        </w:rPr>
        <w:t>SURPLUS MATERIAL → STRUCTURED LISTING → MATCH → RESERVATION → HANDOFF → MEASURABLE REUSE</w:t>
      </w:r>
    </w:p>
    <w:p>
      <w:r>
        <w:t>This is the single workflow that should work completely before any secondary feature is added. The value is visible because the system turns material that would otherwise sit idle or be discarded into a concrete input for another business.</w:t>
      </w:r>
    </w:p>
    <w:p>
      <w:pPr>
        <w:pStyle w:val="Heading1"/>
      </w:pPr>
      <w:r>
        <w:t>7. The WOW Moment for the Demo</w:t>
      </w:r>
    </w:p>
    <w:p>
      <w:r>
        <w:t>Start with two disconnected screens: Business A has 80 kg of surplus; Business B is about to purchase 50 kg of compatible material. Submit the requirement. Within seconds, the interface produces a match, explains why it is compatible, allows a 50 kg reservation, reduces the supplier's available stock to 30 kg, and updates the impact dashboard.</w:t>
      </w:r>
    </w:p>
    <w:p>
      <w:r>
        <w:rPr>
          <w:b/>
        </w:rPr>
        <w:t xml:space="preserve">Before: </w:t>
      </w:r>
      <w:r>
        <w:t>80 kg dead stock + 50 kg new procurement required</w:t>
      </w:r>
      <w:r>
        <w:rPr>
          <w:b/>
        </w:rPr>
        <w:br/>
        <w:t xml:space="preserve">Action: </w:t>
      </w:r>
      <w:r>
        <w:t>match and reserve</w:t>
      </w:r>
      <w:r>
        <w:rPr>
          <w:b/>
        </w:rPr>
        <w:br/>
        <w:t xml:space="preserve">After: </w:t>
      </w:r>
      <w:r>
        <w:t>50 kg redirected for reuse; supplier surplus reduced; buyer requirement fulfilled</w:t>
      </w:r>
    </w:p>
    <w:p>
      <w:pPr>
        <w:pStyle w:val="Heading1"/>
      </w:pPr>
      <w:r>
        <w:t>8. Core Features for the 4-Day MVP</w:t>
      </w:r>
    </w:p>
    <w:p>
      <w:pPr>
        <w:pStyle w:val="ListBullet"/>
        <w:spacing w:after="60"/>
      </w:pPr>
      <w:r>
        <w:rPr>
          <w:b/>
        </w:rPr>
        <w:t xml:space="preserve">1. Structured surplus listing — </w:t>
      </w:r>
      <w:r>
        <w:t>material, quantity, condition, dimensions/attributes, location and expiry/availability window.</w:t>
      </w:r>
    </w:p>
    <w:p>
      <w:pPr>
        <w:pStyle w:val="ListBullet"/>
        <w:spacing w:after="60"/>
      </w:pPr>
      <w:r>
        <w:rPr>
          <w:b/>
        </w:rPr>
        <w:t xml:space="preserve">2. Material requirement posting — </w:t>
      </w:r>
      <w:r>
        <w:t>what is needed, how much, constraints and deadline.</w:t>
      </w:r>
    </w:p>
    <w:p>
      <w:pPr>
        <w:pStyle w:val="ListBullet"/>
        <w:spacing w:after="60"/>
      </w:pPr>
      <w:r>
        <w:rPr>
          <w:b/>
        </w:rPr>
        <w:t xml:space="preserve">3. Rule-based matching — </w:t>
      </w:r>
      <w:r>
        <w:t>deterministic compatibility checks; no ML or model training.</w:t>
      </w:r>
    </w:p>
    <w:p>
      <w:pPr>
        <w:pStyle w:val="ListBullet"/>
        <w:spacing w:after="60"/>
      </w:pPr>
      <w:r>
        <w:rPr>
          <w:b/>
        </w:rPr>
        <w:t xml:space="preserve">4. Match explanation — </w:t>
      </w:r>
      <w:r>
        <w:t>show exactly why a listing matched or failed.</w:t>
      </w:r>
    </w:p>
    <w:p>
      <w:pPr>
        <w:pStyle w:val="ListBullet"/>
        <w:spacing w:after="60"/>
      </w:pPr>
      <w:r>
        <w:rPr>
          <w:b/>
        </w:rPr>
        <w:t xml:space="preserve">5. Reservation — </w:t>
      </w:r>
      <w:r>
        <w:t>reserve a partial or full quantity and prevent double allocation.</w:t>
      </w:r>
    </w:p>
    <w:p>
      <w:pPr>
        <w:pStyle w:val="ListBullet"/>
        <w:spacing w:after="60"/>
      </w:pPr>
      <w:r>
        <w:rPr>
          <w:b/>
        </w:rPr>
        <w:t xml:space="preserve">6. Handoff confirmation — </w:t>
      </w:r>
      <w:r>
        <w:t>supplier confirms material was transferred.</w:t>
      </w:r>
    </w:p>
    <w:p>
      <w:pPr>
        <w:pStyle w:val="ListBullet"/>
        <w:spacing w:after="60"/>
      </w:pPr>
      <w:r>
        <w:rPr>
          <w:b/>
        </w:rPr>
        <w:t xml:space="preserve">7. Impact dashboard — </w:t>
      </w:r>
      <w:r>
        <w:t>kg/units reused, listings fulfilled and estimated procurement avoided where the team has a defensible value.</w:t>
      </w:r>
    </w:p>
    <w:p>
      <w:pPr>
        <w:pStyle w:val="Heading1"/>
      </w:pPr>
      <w:r>
        <w:t>9. Features to Avoid in the MVP</w:t>
      </w:r>
    </w:p>
    <w:p>
      <w:pPr>
        <w:pStyle w:val="ListBullet"/>
        <w:spacing w:after="60"/>
      </w:pPr>
      <w:r>
        <w:t>Complex logistics or delivery fleet management.</w:t>
      </w:r>
    </w:p>
    <w:p>
      <w:pPr>
        <w:pStyle w:val="ListBullet"/>
        <w:spacing w:after="60"/>
      </w:pPr>
      <w:r>
        <w:t>Real payment gateway integration.</w:t>
      </w:r>
    </w:p>
    <w:p>
      <w:pPr>
        <w:pStyle w:val="ListBullet"/>
        <w:spacing w:after="60"/>
      </w:pPr>
      <w:r>
        <w:t>Nationwide marketplace coverage.</w:t>
      </w:r>
    </w:p>
    <w:p>
      <w:pPr>
        <w:pStyle w:val="ListBullet"/>
        <w:spacing w:after="60"/>
      </w:pPr>
      <w:r>
        <w:t>AI-generated material safety decisions.</w:t>
      </w:r>
    </w:p>
    <w:p>
      <w:pPr>
        <w:pStyle w:val="ListBullet"/>
        <w:spacing w:after="60"/>
      </w:pPr>
      <w:r>
        <w:t>Automated hazardous-material matching.</w:t>
      </w:r>
    </w:p>
    <w:p>
      <w:pPr>
        <w:pStyle w:val="ListBullet"/>
        <w:spacing w:after="60"/>
      </w:pPr>
      <w:r>
        <w:t>Dynamic pricing algorithms.</w:t>
      </w:r>
    </w:p>
    <w:p>
      <w:pPr>
        <w:pStyle w:val="ListBullet"/>
        <w:spacing w:after="60"/>
      </w:pPr>
      <w:r>
        <w:t>Computer-vision material identification.</w:t>
      </w:r>
    </w:p>
    <w:p>
      <w:pPr>
        <w:pStyle w:val="ListBullet"/>
        <w:spacing w:after="60"/>
      </w:pPr>
      <w:r>
        <w:t>Carbon-savings claims that cannot be supported by a defensible calculation.</w:t>
      </w:r>
    </w:p>
    <w:p>
      <w:r>
        <w:t>The hackathon build should focus on safe, non-hazardous material categories with clear attributes. Expansion to regulated, chemical or safety-critical materials would require domain-specific controls outside the MVP.</w:t>
      </w:r>
    </w:p>
    <w:p>
      <w:pPr>
        <w:pStyle w:val="Heading1"/>
      </w:pPr>
      <w:r>
        <w:t>10. Input → Processing → Output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CE8E2"/>
          </w:tcPr>
          <w:p>
            <w:r/>
            <w:r>
              <w:rPr>
                <w:rFonts w:ascii="Aptos" w:hAnsi="Aptos"/>
                <w:b/>
                <w:sz w:val="19"/>
              </w:rPr>
              <w:t>INPUT</w:t>
            </w:r>
          </w:p>
        </w:tc>
        <w:tc>
          <w:tcPr>
            <w:tcW w:type="dxa" w:w="3312"/>
            <w:vAlign w:val="center"/>
            <w:shd w:fill="DCE8E2"/>
          </w:tcPr>
          <w:p>
            <w:r/>
            <w:r>
              <w:rPr>
                <w:rFonts w:ascii="Aptos" w:hAnsi="Aptos"/>
                <w:b/>
                <w:sz w:val="19"/>
              </w:rPr>
              <w:t>CORE PROCESS</w:t>
            </w:r>
          </w:p>
        </w:tc>
        <w:tc>
          <w:tcPr>
            <w:tcW w:type="dxa" w:w="3312"/>
            <w:vAlign w:val="center"/>
            <w:shd w:fill="DCE8E2"/>
          </w:tcPr>
          <w:p>
            <w:r/>
            <w:r>
              <w:rPr>
                <w:rFonts w:ascii="Aptos" w:hAnsi="Aptos"/>
                <w:b/>
                <w:sz w:val="19"/>
              </w:rPr>
              <w:t>VALUABLE OUTPUT</w:t>
            </w:r>
          </w:p>
        </w:tc>
      </w:tr>
      <w:tr>
        <w:tc>
          <w:tcPr>
            <w:tcW w:type="dxa" w:w="3312"/>
            <w:vAlign w:val="center"/>
          </w:tcPr>
          <w:p>
            <w:r/>
            <w:r>
              <w:rPr>
                <w:rFonts w:ascii="Aptos" w:hAnsi="Aptos"/>
                <w:b w:val="0"/>
                <w:sz w:val="19"/>
              </w:rPr>
              <w:t>Surplus listing + buyer requirement</w:t>
            </w:r>
          </w:p>
        </w:tc>
        <w:tc>
          <w:tcPr>
            <w:tcW w:type="dxa" w:w="3312"/>
            <w:vAlign w:val="center"/>
          </w:tcPr>
          <w:p>
            <w:r/>
            <w:r>
              <w:rPr>
                <w:rFonts w:ascii="Aptos" w:hAnsi="Aptos"/>
                <w:b w:val="0"/>
                <w:sz w:val="19"/>
              </w:rPr>
              <w:t>Validate → normalize → compare constraints → reserve → update inventory</w:t>
            </w:r>
          </w:p>
        </w:tc>
        <w:tc>
          <w:tcPr>
            <w:tcW w:type="dxa" w:w="3312"/>
            <w:vAlign w:val="center"/>
          </w:tcPr>
          <w:p>
            <w:r/>
            <w:r>
              <w:rPr>
                <w:rFonts w:ascii="Aptos" w:hAnsi="Aptos"/>
                <w:b w:val="0"/>
                <w:sz w:val="19"/>
              </w:rPr>
              <w:t>Compatible match + transparent reason + confirmed reuse record</w:t>
            </w:r>
          </w:p>
        </w:tc>
      </w:tr>
    </w:tbl>
    <w:p>
      <w:pPr>
        <w:pStyle w:val="Heading1"/>
      </w:pPr>
      <w:r>
        <w:t>11. Matching Logic — No ML Required</w:t>
      </w:r>
    </w:p>
    <w:p>
      <w:r>
        <w:t>The matching engine can be deterministic and transparent. Each listing and requirement is stored in a common schema. The backend checks hard constraints first and ranks only valid candidates.</w:t>
      </w:r>
    </w:p>
    <w:p>
      <w:pPr>
        <w:pStyle w:val="ListBullet"/>
        <w:spacing w:after="60"/>
      </w:pPr>
      <w:r>
        <w:rPr>
          <w:b/>
        </w:rPr>
        <w:t xml:space="preserve">Material category compatibility: </w:t>
      </w:r>
      <w:r>
        <w:t>exact category or explicitly allowed substitute.</w:t>
      </w:r>
    </w:p>
    <w:p>
      <w:pPr>
        <w:pStyle w:val="ListBullet"/>
        <w:spacing w:after="60"/>
      </w:pPr>
      <w:r>
        <w:rPr>
          <w:b/>
        </w:rPr>
        <w:t xml:space="preserve">Quantity: </w:t>
      </w:r>
      <w:r>
        <w:t>available quantity must satisfy all or part of the requirement.</w:t>
      </w:r>
    </w:p>
    <w:p>
      <w:pPr>
        <w:pStyle w:val="ListBullet"/>
        <w:spacing w:after="60"/>
      </w:pPr>
      <w:r>
        <w:rPr>
          <w:b/>
        </w:rPr>
        <w:t xml:space="preserve">Location: </w:t>
      </w:r>
      <w:r>
        <w:t>same area / configured radius / city zone.</w:t>
      </w:r>
    </w:p>
    <w:p>
      <w:pPr>
        <w:pStyle w:val="ListBullet"/>
        <w:spacing w:after="60"/>
      </w:pPr>
      <w:r>
        <w:rPr>
          <w:b/>
        </w:rPr>
        <w:t xml:space="preserve">Dimensions or grade: </w:t>
      </w:r>
      <w:r>
        <w:t>buyer-defined minimum/maximum attributes.</w:t>
      </w:r>
    </w:p>
    <w:p>
      <w:pPr>
        <w:pStyle w:val="ListBullet"/>
        <w:spacing w:after="60"/>
      </w:pPr>
      <w:r>
        <w:rPr>
          <w:b/>
        </w:rPr>
        <w:t xml:space="preserve">Condition: </w:t>
      </w:r>
      <w:r>
        <w:t>buyer accepts only specified conditions.</w:t>
      </w:r>
    </w:p>
    <w:p>
      <w:pPr>
        <w:pStyle w:val="ListBullet"/>
        <w:spacing w:after="60"/>
      </w:pPr>
      <w:r>
        <w:rPr>
          <w:b/>
        </w:rPr>
        <w:t xml:space="preserve">Availability window: </w:t>
      </w:r>
      <w:r>
        <w:t>material must remain available until required handoff.</w:t>
      </w:r>
    </w:p>
    <w:p>
      <w:r>
        <w:rPr>
          <w:b/>
        </w:rPr>
        <w:t xml:space="preserve">Important product choice: </w:t>
      </w:r>
      <w:r>
        <w:t>The interface should explain the match rather than display a mysterious score. For example: “Matched because category, size, quantity and availability satisfy your requirement.”</w:t>
      </w:r>
    </w:p>
    <w:p>
      <w:pPr>
        <w:pStyle w:val="Heading1"/>
      </w:pPr>
      <w:r>
        <w:t>12. Proposed AWS Architecture</w:t>
      </w:r>
    </w:p>
    <w:p>
      <w:pPr>
        <w:jc w:val="center"/>
      </w:pPr>
      <w:r>
        <w:rPr>
          <w:rFonts w:ascii="Consolas" w:hAnsi="Consolas"/>
          <w:sz w:val="20"/>
        </w:rPr>
        <w:t>React / Web Frontend</w:t>
        <w:br/>
        <w:t>↓</w:t>
        <w:br/>
        <w:t>Amazon API Gateway</w:t>
        <w:br/>
        <w:t>↓</w:t>
        <w:br/>
        <w:t>AWS Lambda</w:t>
        <w:br/>
        <w:t>↓</w:t>
        <w:br/>
        <w:t>Amazon DynamoDB</w:t>
        <w:br/>
        <w:t>↙                         ↘</w:t>
        <w:br/>
        <w:t>Amazon S3                Amazon EventBridge</w:t>
        <w:br/>
        <w:t>listing images/docs      expiry &amp; reservation events</w:t>
      </w:r>
    </w:p>
    <w:p>
      <w:pPr>
        <w:pStyle w:val="Heading1"/>
      </w:pPr>
      <w:r>
        <w:t>13. Why Each AWS Service Exists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8E2"/>
          </w:tcPr>
          <w:p>
            <w:r/>
            <w:r>
              <w:rPr>
                <w:rFonts w:ascii="Aptos" w:hAnsi="Aptos"/>
                <w:b/>
                <w:sz w:val="19"/>
              </w:rPr>
              <w:t>AWS Service</w:t>
            </w:r>
          </w:p>
        </w:tc>
        <w:tc>
          <w:tcPr>
            <w:tcW w:type="dxa" w:w="4968"/>
            <w:vAlign w:val="center"/>
            <w:shd w:fill="DCE8E2"/>
          </w:tcPr>
          <w:p>
            <w:r/>
            <w:r>
              <w:rPr>
                <w:rFonts w:ascii="Aptos" w:hAnsi="Aptos"/>
                <w:b/>
                <w:sz w:val="19"/>
              </w:rPr>
              <w:t>Necessary Job in the Product</w:t>
            </w:r>
          </w:p>
        </w:tc>
      </w:tr>
      <w:tr>
        <w:tc>
          <w:tcPr>
            <w:tcW w:type="dxa" w:w="4968"/>
            <w:vAlign w:val="center"/>
          </w:tcPr>
          <w:p>
            <w:r/>
            <w:r>
              <w:rPr>
                <w:rFonts w:ascii="Aptos" w:hAnsi="Aptos"/>
                <w:b/>
                <w:sz w:val="19"/>
              </w:rPr>
              <w:t>API Gateway</w:t>
            </w:r>
          </w:p>
        </w:tc>
        <w:tc>
          <w:tcPr>
            <w:tcW w:type="dxa" w:w="4968"/>
            <w:vAlign w:val="center"/>
          </w:tcPr>
          <w:p>
            <w:r/>
            <w:r>
              <w:rPr>
                <w:rFonts w:ascii="Aptos" w:hAnsi="Aptos"/>
                <w:b w:val="0"/>
                <w:sz w:val="19"/>
              </w:rPr>
              <w:t>Exposes the backend endpoints used by the web application.</w:t>
            </w:r>
          </w:p>
        </w:tc>
      </w:tr>
      <w:tr>
        <w:tc>
          <w:tcPr>
            <w:tcW w:type="dxa" w:w="4968"/>
            <w:vAlign w:val="center"/>
          </w:tcPr>
          <w:p>
            <w:r/>
            <w:r>
              <w:rPr>
                <w:rFonts w:ascii="Aptos" w:hAnsi="Aptos"/>
                <w:b/>
                <w:sz w:val="19"/>
              </w:rPr>
              <w:t>Lambda</w:t>
            </w:r>
          </w:p>
        </w:tc>
        <w:tc>
          <w:tcPr>
            <w:tcW w:type="dxa" w:w="4968"/>
            <w:vAlign w:val="center"/>
          </w:tcPr>
          <w:p>
            <w:r/>
            <w:r>
              <w:rPr>
                <w:rFonts w:ascii="Aptos" w:hAnsi="Aptos"/>
                <w:b w:val="0"/>
                <w:sz w:val="19"/>
              </w:rPr>
              <w:t>Runs validation, matching, reservation and impact-update business logic without maintaining a server.</w:t>
            </w:r>
          </w:p>
        </w:tc>
      </w:tr>
      <w:tr>
        <w:tc>
          <w:tcPr>
            <w:tcW w:type="dxa" w:w="4968"/>
            <w:vAlign w:val="center"/>
          </w:tcPr>
          <w:p>
            <w:r/>
            <w:r>
              <w:rPr>
                <w:rFonts w:ascii="Aptos" w:hAnsi="Aptos"/>
                <w:b/>
                <w:sz w:val="19"/>
              </w:rPr>
              <w:t>DynamoDB</w:t>
            </w:r>
          </w:p>
        </w:tc>
        <w:tc>
          <w:tcPr>
            <w:tcW w:type="dxa" w:w="4968"/>
            <w:vAlign w:val="center"/>
          </w:tcPr>
          <w:p>
            <w:r/>
            <w:r>
              <w:rPr>
                <w:rFonts w:ascii="Aptos" w:hAnsi="Aptos"/>
                <w:b w:val="0"/>
                <w:sz w:val="19"/>
              </w:rPr>
              <w:t>Stores businesses, listings, requirements, reservations and transaction state.</w:t>
            </w:r>
          </w:p>
        </w:tc>
      </w:tr>
      <w:tr>
        <w:tc>
          <w:tcPr>
            <w:tcW w:type="dxa" w:w="4968"/>
            <w:vAlign w:val="center"/>
          </w:tcPr>
          <w:p>
            <w:r/>
            <w:r>
              <w:rPr>
                <w:rFonts w:ascii="Aptos" w:hAnsi="Aptos"/>
                <w:b/>
                <w:sz w:val="19"/>
              </w:rPr>
              <w:t>S3</w:t>
            </w:r>
          </w:p>
        </w:tc>
        <w:tc>
          <w:tcPr>
            <w:tcW w:type="dxa" w:w="4968"/>
            <w:vAlign w:val="center"/>
          </w:tcPr>
          <w:p>
            <w:r/>
            <w:r>
              <w:rPr>
                <w:rFonts w:ascii="Aptos" w:hAnsi="Aptos"/>
                <w:b w:val="0"/>
                <w:sz w:val="19"/>
              </w:rPr>
              <w:t>Stores optional listing photographs or supporting material documents.</w:t>
            </w:r>
          </w:p>
        </w:tc>
      </w:tr>
      <w:tr>
        <w:tc>
          <w:tcPr>
            <w:tcW w:type="dxa" w:w="4968"/>
            <w:vAlign w:val="center"/>
          </w:tcPr>
          <w:p>
            <w:r/>
            <w:r>
              <w:rPr>
                <w:rFonts w:ascii="Aptos" w:hAnsi="Aptos"/>
                <w:b/>
                <w:sz w:val="19"/>
              </w:rPr>
              <w:t>EventBridge</w:t>
            </w:r>
          </w:p>
        </w:tc>
        <w:tc>
          <w:tcPr>
            <w:tcW w:type="dxa" w:w="4968"/>
            <w:vAlign w:val="center"/>
          </w:tcPr>
          <w:p>
            <w:r/>
            <w:r>
              <w:rPr>
                <w:rFonts w:ascii="Aptos" w:hAnsi="Aptos"/>
                <w:b w:val="0"/>
                <w:sz w:val="19"/>
              </w:rPr>
              <w:t>Triggers events such as listing expiry, reservation timeout or availability-window reminders.</w:t>
            </w:r>
          </w:p>
        </w:tc>
      </w:tr>
      <w:tr>
        <w:tc>
          <w:tcPr>
            <w:tcW w:type="dxa" w:w="4968"/>
            <w:vAlign w:val="center"/>
          </w:tcPr>
          <w:p>
            <w:r/>
            <w:r>
              <w:rPr>
                <w:rFonts w:ascii="Aptos" w:hAnsi="Aptos"/>
                <w:b/>
                <w:sz w:val="19"/>
              </w:rPr>
              <w:t>Amplify Hosting (optional)</w:t>
            </w:r>
          </w:p>
        </w:tc>
        <w:tc>
          <w:tcPr>
            <w:tcW w:type="dxa" w:w="4968"/>
            <w:vAlign w:val="center"/>
          </w:tcPr>
          <w:p>
            <w:r/>
            <w:r>
              <w:rPr>
                <w:rFonts w:ascii="Aptos" w:hAnsi="Aptos"/>
                <w:b w:val="0"/>
                <w:sz w:val="19"/>
              </w:rPr>
              <w:t>Deploys the frontend and provides a live URL for the Ship It approach.</w:t>
            </w:r>
          </w:p>
        </w:tc>
      </w:tr>
      <w:tr>
        <w:tc>
          <w:tcPr>
            <w:tcW w:type="dxa" w:w="4968"/>
            <w:vAlign w:val="center"/>
          </w:tcPr>
          <w:p>
            <w:r/>
            <w:r>
              <w:rPr>
                <w:rFonts w:ascii="Aptos" w:hAnsi="Aptos"/>
                <w:b/>
                <w:sz w:val="19"/>
              </w:rPr>
              <w:t>Cognito (optional)</w:t>
            </w:r>
          </w:p>
        </w:tc>
        <w:tc>
          <w:tcPr>
            <w:tcW w:type="dxa" w:w="4968"/>
            <w:vAlign w:val="center"/>
          </w:tcPr>
          <w:p>
            <w:r/>
            <w:r>
              <w:rPr>
                <w:rFonts w:ascii="Aptos" w:hAnsi="Aptos"/>
                <w:b w:val="0"/>
                <w:sz w:val="19"/>
              </w:rPr>
              <w:t>Adds supplier/buyer authentication if the team has time after the core workflow is reliable.</w:t>
            </w:r>
          </w:p>
        </w:tc>
      </w:tr>
    </w:tbl>
    <w:p>
      <w:pPr>
        <w:pStyle w:val="Heading1"/>
      </w:pPr>
      <w:r>
        <w:t>14. Data Model</w:t>
      </w:r>
    </w:p>
    <w:p>
      <w:pPr>
        <w:pStyle w:val="ListBullet"/>
        <w:spacing w:after="60"/>
      </w:pPr>
      <w:r>
        <w:rPr>
          <w:b/>
        </w:rPr>
        <w:t xml:space="preserve">Business: </w:t>
      </w:r>
      <w:r>
        <w:t>business_id, name, location, role/contact information.</w:t>
      </w:r>
    </w:p>
    <w:p>
      <w:pPr>
        <w:pStyle w:val="ListBullet"/>
        <w:spacing w:after="60"/>
      </w:pPr>
      <w:r>
        <w:rPr>
          <w:b/>
        </w:rPr>
        <w:t xml:space="preserve">SurplusListing: </w:t>
      </w:r>
      <w:r>
        <w:t>listing_id, business_id, material_category, quantity, unit, attributes, condition, location, available_until, status.</w:t>
      </w:r>
    </w:p>
    <w:p>
      <w:pPr>
        <w:pStyle w:val="ListBullet"/>
        <w:spacing w:after="60"/>
      </w:pPr>
      <w:r>
        <w:rPr>
          <w:b/>
        </w:rPr>
        <w:t xml:space="preserve">Requirement: </w:t>
      </w:r>
      <w:r>
        <w:t>requirement_id, business_id, category, requested_quantity, accepted_attributes, required_by, location/radius, status.</w:t>
      </w:r>
    </w:p>
    <w:p>
      <w:pPr>
        <w:pStyle w:val="ListBullet"/>
        <w:spacing w:after="60"/>
      </w:pPr>
      <w:r>
        <w:rPr>
          <w:b/>
        </w:rPr>
        <w:t xml:space="preserve">Match: </w:t>
      </w:r>
      <w:r>
        <w:t>match_id, listing_id, requirement_id, compatible_quantity, reasons, status.</w:t>
      </w:r>
    </w:p>
    <w:p>
      <w:pPr>
        <w:pStyle w:val="ListBullet"/>
        <w:spacing w:after="60"/>
      </w:pPr>
      <w:r>
        <w:rPr>
          <w:b/>
        </w:rPr>
        <w:t xml:space="preserve">Reservation: </w:t>
      </w:r>
      <w:r>
        <w:t>reservation_id, match_id, reserved_quantity, created_at, expires_at, handoff_status.</w:t>
      </w:r>
    </w:p>
    <w:p>
      <w:pPr>
        <w:pStyle w:val="ListBullet"/>
        <w:spacing w:after="60"/>
      </w:pPr>
      <w:r>
        <w:rPr>
          <w:b/>
        </w:rPr>
        <w:t xml:space="preserve">ImpactRecord: </w:t>
      </w:r>
      <w:r>
        <w:t>transaction_id, quantity_reused, material_category, supplier, receiver, completed_at.</w:t>
      </w:r>
    </w:p>
    <w:p>
      <w:pPr>
        <w:pStyle w:val="Heading1"/>
      </w:pPr>
      <w:r>
        <w:t>15. Main Screens / UI</w:t>
      </w:r>
    </w:p>
    <w:p>
      <w:pPr>
        <w:pStyle w:val="ListBullet"/>
        <w:spacing w:after="60"/>
      </w:pPr>
      <w:r>
        <w:rPr>
          <w:b/>
        </w:rPr>
        <w:t xml:space="preserve">Dashboard — </w:t>
      </w:r>
      <w:r>
        <w:t>surplus available, active requirements, successful matches and reuse impact.</w:t>
      </w:r>
    </w:p>
    <w:p>
      <w:pPr>
        <w:pStyle w:val="ListBullet"/>
        <w:spacing w:after="60"/>
      </w:pPr>
      <w:r>
        <w:rPr>
          <w:b/>
        </w:rPr>
        <w:t xml:space="preserve">List Surplus — </w:t>
      </w:r>
      <w:r>
        <w:t>fast structured form with material attributes and optional photo.</w:t>
      </w:r>
    </w:p>
    <w:p>
      <w:pPr>
        <w:pStyle w:val="ListBullet"/>
        <w:spacing w:after="60"/>
      </w:pPr>
      <w:r>
        <w:rPr>
          <w:b/>
        </w:rPr>
        <w:t xml:space="preserve">Post Requirement — </w:t>
      </w:r>
      <w:r>
        <w:t>material needed, quantity, constraints, location and deadline.</w:t>
      </w:r>
    </w:p>
    <w:p>
      <w:pPr>
        <w:pStyle w:val="ListBullet"/>
        <w:spacing w:after="60"/>
      </w:pPr>
      <w:r>
        <w:rPr>
          <w:b/>
        </w:rPr>
        <w:t xml:space="preserve">Matches — </w:t>
      </w:r>
      <w:r>
        <w:t>cards showing compatible quantity and exactly why each match works.</w:t>
      </w:r>
    </w:p>
    <w:p>
      <w:pPr>
        <w:pStyle w:val="ListBullet"/>
        <w:spacing w:after="60"/>
      </w:pPr>
      <w:r>
        <w:rPr>
          <w:b/>
        </w:rPr>
        <w:t xml:space="preserve">Reservation / Handoff — </w:t>
      </w:r>
      <w:r>
        <w:t>reserve quantity, confirm pickup/handoff, close transaction.</w:t>
      </w:r>
    </w:p>
    <w:p>
      <w:pPr>
        <w:pStyle w:val="ListBullet"/>
        <w:spacing w:after="60"/>
      </w:pPr>
      <w:r>
        <w:rPr>
          <w:b/>
        </w:rPr>
        <w:t xml:space="preserve">Impact — </w:t>
      </w:r>
      <w:r>
        <w:t>total kg/units reused, completed exchanges, active surplus and fulfilled demand.</w:t>
      </w:r>
    </w:p>
    <w:p>
      <w:r>
        <w:t>The UI should feel operational rather than marketplace-heavy. The central CTA should be either “List Surplus” or “Find Material,” and the match explanation should be visible without requiring a long description.</w:t>
      </w:r>
    </w:p>
    <w:p>
      <w:pPr>
        <w:pStyle w:val="Heading1"/>
      </w:pPr>
      <w:r>
        <w:t>16. What Makes It Different From a Generic Marketplace</w:t>
      </w:r>
    </w:p>
    <w:tbl>
      <w:tblPr>
        <w:tblStyle w:val="TableGrid"/>
        <w:tblW w:type="auto" w:w="0"/>
        <w:tblLook w:firstColumn="1" w:firstRow="1" w:lastColumn="0" w:lastRow="0" w:noHBand="0" w:noVBand="1" w:val="04A0"/>
      </w:tblPr>
      <w:tblGrid>
        <w:gridCol w:w="4968"/>
        <w:gridCol w:w="4968"/>
      </w:tblGrid>
      <w:tr>
        <w:tc>
          <w:tcPr>
            <w:tcW w:type="dxa" w:w="4968"/>
            <w:vAlign w:val="center"/>
            <w:shd w:fill="DCE8E2"/>
          </w:tcPr>
          <w:p>
            <w:r/>
            <w:r>
              <w:rPr>
                <w:rFonts w:ascii="Aptos" w:hAnsi="Aptos"/>
                <w:b/>
                <w:sz w:val="19"/>
              </w:rPr>
              <w:t>Generic Marketplace</w:t>
            </w:r>
          </w:p>
        </w:tc>
        <w:tc>
          <w:tcPr>
            <w:tcW w:type="dxa" w:w="4968"/>
            <w:vAlign w:val="center"/>
            <w:shd w:fill="DCE8E2"/>
          </w:tcPr>
          <w:p>
            <w:r/>
            <w:r>
              <w:rPr>
                <w:rFonts w:ascii="Aptos" w:hAnsi="Aptos"/>
                <w:b/>
                <w:sz w:val="19"/>
              </w:rPr>
              <w:t>DeadStock Exchange</w:t>
            </w:r>
          </w:p>
        </w:tc>
      </w:tr>
      <w:tr>
        <w:tc>
          <w:tcPr>
            <w:tcW w:type="dxa" w:w="4968"/>
            <w:vAlign w:val="center"/>
          </w:tcPr>
          <w:p>
            <w:r/>
            <w:r>
              <w:rPr>
                <w:rFonts w:ascii="Aptos" w:hAnsi="Aptos"/>
                <w:b w:val="0"/>
                <w:sz w:val="19"/>
              </w:rPr>
              <w:t>Seller posts an item and waits.</w:t>
            </w:r>
          </w:p>
        </w:tc>
        <w:tc>
          <w:tcPr>
            <w:tcW w:type="dxa" w:w="4968"/>
            <w:vAlign w:val="center"/>
          </w:tcPr>
          <w:p>
            <w:r/>
            <w:r>
              <w:rPr>
                <w:rFonts w:ascii="Aptos" w:hAnsi="Aptos"/>
                <w:b w:val="0"/>
                <w:sz w:val="19"/>
              </w:rPr>
              <w:t>System also captures buyer requirements and actively matches supply to demand.</w:t>
            </w:r>
          </w:p>
        </w:tc>
      </w:tr>
      <w:tr>
        <w:tc>
          <w:tcPr>
            <w:tcW w:type="dxa" w:w="4968"/>
            <w:vAlign w:val="center"/>
          </w:tcPr>
          <w:p>
            <w:r/>
            <w:r>
              <w:rPr>
                <w:rFonts w:ascii="Aptos" w:hAnsi="Aptos"/>
                <w:b w:val="0"/>
                <w:sz w:val="19"/>
              </w:rPr>
              <w:t>Mostly product/price discovery.</w:t>
            </w:r>
          </w:p>
        </w:tc>
        <w:tc>
          <w:tcPr>
            <w:tcW w:type="dxa" w:w="4968"/>
            <w:vAlign w:val="center"/>
          </w:tcPr>
          <w:p>
            <w:r/>
            <w:r>
              <w:rPr>
                <w:rFonts w:ascii="Aptos" w:hAnsi="Aptos"/>
                <w:b w:val="0"/>
                <w:sz w:val="19"/>
              </w:rPr>
              <w:t>Material compatibility, quantity, condition and availability are central.</w:t>
            </w:r>
          </w:p>
        </w:tc>
      </w:tr>
      <w:tr>
        <w:tc>
          <w:tcPr>
            <w:tcW w:type="dxa" w:w="4968"/>
            <w:vAlign w:val="center"/>
          </w:tcPr>
          <w:p>
            <w:r/>
            <w:r>
              <w:rPr>
                <w:rFonts w:ascii="Aptos" w:hAnsi="Aptos"/>
                <w:b w:val="0"/>
                <w:sz w:val="19"/>
              </w:rPr>
              <w:t>Inventory often sold as a whole listing.</w:t>
            </w:r>
          </w:p>
        </w:tc>
        <w:tc>
          <w:tcPr>
            <w:tcW w:type="dxa" w:w="4968"/>
            <w:vAlign w:val="center"/>
          </w:tcPr>
          <w:p>
            <w:r/>
            <w:r>
              <w:rPr>
                <w:rFonts w:ascii="Aptos" w:hAnsi="Aptos"/>
                <w:b w:val="0"/>
                <w:sz w:val="19"/>
              </w:rPr>
              <w:t>Partial quantity reservation is a core workflow.</w:t>
            </w:r>
          </w:p>
        </w:tc>
      </w:tr>
      <w:tr>
        <w:tc>
          <w:tcPr>
            <w:tcW w:type="dxa" w:w="4968"/>
            <w:vAlign w:val="center"/>
          </w:tcPr>
          <w:p>
            <w:r/>
            <w:r>
              <w:rPr>
                <w:rFonts w:ascii="Aptos" w:hAnsi="Aptos"/>
                <w:b w:val="0"/>
                <w:sz w:val="19"/>
              </w:rPr>
              <w:t>Success = sale.</w:t>
            </w:r>
          </w:p>
        </w:tc>
        <w:tc>
          <w:tcPr>
            <w:tcW w:type="dxa" w:w="4968"/>
            <w:vAlign w:val="center"/>
          </w:tcPr>
          <w:p>
            <w:r/>
            <w:r>
              <w:rPr>
                <w:rFonts w:ascii="Aptos" w:hAnsi="Aptos"/>
                <w:b w:val="0"/>
                <w:sz w:val="19"/>
              </w:rPr>
              <w:t>Success = material transferred into another productive use.</w:t>
            </w:r>
          </w:p>
        </w:tc>
      </w:tr>
      <w:tr>
        <w:tc>
          <w:tcPr>
            <w:tcW w:type="dxa" w:w="4968"/>
            <w:vAlign w:val="center"/>
          </w:tcPr>
          <w:p>
            <w:r/>
            <w:r>
              <w:rPr>
                <w:rFonts w:ascii="Aptos" w:hAnsi="Aptos"/>
                <w:b w:val="0"/>
                <w:sz w:val="19"/>
              </w:rPr>
              <w:t>Little operational impact measurement.</w:t>
            </w:r>
          </w:p>
        </w:tc>
        <w:tc>
          <w:tcPr>
            <w:tcW w:type="dxa" w:w="4968"/>
            <w:vAlign w:val="center"/>
          </w:tcPr>
          <w:p>
            <w:r/>
            <w:r>
              <w:rPr>
                <w:rFonts w:ascii="Aptos" w:hAnsi="Aptos"/>
                <w:b w:val="0"/>
                <w:sz w:val="19"/>
              </w:rPr>
              <w:t>Reuse quantity and fulfilled demand are recorded automatically.</w:t>
            </w:r>
          </w:p>
        </w:tc>
      </w:tr>
    </w:tbl>
    <w:p>
      <w:pPr>
        <w:pStyle w:val="Heading1"/>
      </w:pPr>
      <w:r>
        <w:t>17. Demonstrable Impact</w:t>
      </w:r>
    </w:p>
    <w:p>
      <w:r>
        <w:t>Impact should be measured from transactions completed inside the product rather than from broad environmental claims. The strongest metrics are operational and directly observable.</w:t>
      </w:r>
    </w:p>
    <w:p>
      <w:pPr>
        <w:pStyle w:val="ListBullet"/>
        <w:spacing w:after="60"/>
      </w:pPr>
      <w:r>
        <w:t>Total kg/units of surplus successfully transferred.</w:t>
      </w:r>
    </w:p>
    <w:p>
      <w:pPr>
        <w:pStyle w:val="ListBullet"/>
        <w:spacing w:after="60"/>
      </w:pPr>
      <w:r>
        <w:t>Percentage of posted requirements fully or partially fulfilled.</w:t>
      </w:r>
    </w:p>
    <w:p>
      <w:pPr>
        <w:pStyle w:val="ListBullet"/>
        <w:spacing w:after="60"/>
      </w:pPr>
      <w:r>
        <w:t>Quantity of listed material remaining unused.</w:t>
      </w:r>
    </w:p>
    <w:p>
      <w:pPr>
        <w:pStyle w:val="ListBullet"/>
        <w:spacing w:after="60"/>
      </w:pPr>
      <w:r>
        <w:t>Number of completed B2B reuse transactions.</w:t>
      </w:r>
    </w:p>
    <w:p>
      <w:pPr>
        <w:pStyle w:val="ListBullet"/>
        <w:spacing w:after="60"/>
      </w:pPr>
      <w:r>
        <w:t>Estimated procurement avoided only where the buyer supplies or confirms a reference purchase price.</w:t>
      </w:r>
    </w:p>
    <w:p>
      <w:pPr>
        <w:pStyle w:val="ListBullet"/>
        <w:spacing w:after="60"/>
      </w:pPr>
      <w:r>
        <w:t>Average time from listing to successful reservation.</w:t>
      </w:r>
    </w:p>
    <w:p>
      <w:r>
        <w:rPr>
          <w:b/>
        </w:rPr>
        <w:t xml:space="preserve">Example demo metric: </w:t>
      </w:r>
      <w:r>
        <w:t>“50 kg reused through 1 completed match; 62.5% of this supplier's original surplus redirected.”</w:t>
      </w:r>
    </w:p>
    <w:p>
      <w:pPr>
        <w:pStyle w:val="Heading1"/>
      </w:pPr>
      <w:r>
        <w:t>18. Why It Is a Meaningful Problem</w:t>
      </w:r>
    </w:p>
    <w:p>
      <w:r>
        <w:t>The tool addresses two forms of inefficiency at once: usable material loses value because the owner cannot find a suitable receiver, while another organization spends money and resources procuring compatible new material. DeadStock Exchange creates a structured coordination layer between these two sides. The impact does not depend on predicting behavior or training a model; it depends on making otherwise invisible supply and demand discoverable and executable.</w:t>
      </w:r>
    </w:p>
    <w:p>
      <w:pPr>
        <w:pStyle w:val="Heading1"/>
      </w:pPr>
      <w:r>
        <w:t>19. Four-Day MVP Plan</w:t>
      </w:r>
    </w:p>
    <w:tbl>
      <w:tblPr>
        <w:tblStyle w:val="TableGrid"/>
        <w:tblW w:type="auto" w:w="0"/>
        <w:tblLook w:firstColumn="1" w:firstRow="1" w:lastColumn="0" w:lastRow="0" w:noHBand="0" w:noVBand="1" w:val="04A0"/>
      </w:tblPr>
      <w:tblGrid>
        <w:gridCol w:w="4968"/>
        <w:gridCol w:w="4968"/>
      </w:tblGrid>
      <w:tr>
        <w:tc>
          <w:tcPr>
            <w:tcW w:type="dxa" w:w="4968"/>
            <w:vAlign w:val="center"/>
            <w:shd w:fill="DCE8E2"/>
          </w:tcPr>
          <w:p>
            <w:r/>
            <w:r>
              <w:rPr>
                <w:rFonts w:ascii="Aptos" w:hAnsi="Aptos"/>
                <w:b/>
                <w:sz w:val="19"/>
              </w:rPr>
              <w:t>Phase</w:t>
            </w:r>
          </w:p>
        </w:tc>
        <w:tc>
          <w:tcPr>
            <w:tcW w:type="dxa" w:w="4968"/>
            <w:vAlign w:val="center"/>
            <w:shd w:fill="DCE8E2"/>
          </w:tcPr>
          <w:p>
            <w:r/>
            <w:r>
              <w:rPr>
                <w:rFonts w:ascii="Aptos" w:hAnsi="Aptos"/>
                <w:b/>
                <w:sz w:val="19"/>
              </w:rPr>
              <w:t>Deliverable</w:t>
            </w:r>
          </w:p>
        </w:tc>
      </w:tr>
      <w:tr>
        <w:tc>
          <w:tcPr>
            <w:tcW w:type="dxa" w:w="4968"/>
            <w:vAlign w:val="center"/>
          </w:tcPr>
          <w:p>
            <w:r/>
            <w:r>
              <w:rPr>
                <w:rFonts w:ascii="Aptos" w:hAnsi="Aptos"/>
                <w:b/>
                <w:sz w:val="19"/>
              </w:rPr>
              <w:t>Day 1 — Core model &amp; skeleton</w:t>
            </w:r>
          </w:p>
        </w:tc>
        <w:tc>
          <w:tcPr>
            <w:tcW w:type="dxa" w:w="4968"/>
            <w:vAlign w:val="center"/>
          </w:tcPr>
          <w:p>
            <w:r/>
            <w:r>
              <w:rPr>
                <w:rFonts w:ascii="Aptos" w:hAnsi="Aptos"/>
                <w:b w:val="0"/>
                <w:sz w:val="19"/>
              </w:rPr>
              <w:t>Fresh repository; finalize 3–4 safe material categories; frontend shell; DynamoDB schema; create/list surplus API.</w:t>
            </w:r>
          </w:p>
        </w:tc>
      </w:tr>
      <w:tr>
        <w:tc>
          <w:tcPr>
            <w:tcW w:type="dxa" w:w="4968"/>
            <w:vAlign w:val="center"/>
          </w:tcPr>
          <w:p>
            <w:r/>
            <w:r>
              <w:rPr>
                <w:rFonts w:ascii="Aptos" w:hAnsi="Aptos"/>
                <w:b/>
                <w:sz w:val="19"/>
              </w:rPr>
              <w:t>Day 2 — Matching</w:t>
            </w:r>
          </w:p>
        </w:tc>
        <w:tc>
          <w:tcPr>
            <w:tcW w:type="dxa" w:w="4968"/>
            <w:vAlign w:val="center"/>
          </w:tcPr>
          <w:p>
            <w:r/>
            <w:r>
              <w:rPr>
                <w:rFonts w:ascii="Aptos" w:hAnsi="Aptos"/>
                <w:b w:val="0"/>
                <w:sz w:val="19"/>
              </w:rPr>
              <w:t>Requirement form; Lambda matching rules; match explanation; basic reservation logic.</w:t>
            </w:r>
          </w:p>
        </w:tc>
      </w:tr>
      <w:tr>
        <w:tc>
          <w:tcPr>
            <w:tcW w:type="dxa" w:w="4968"/>
            <w:vAlign w:val="center"/>
          </w:tcPr>
          <w:p>
            <w:r/>
            <w:r>
              <w:rPr>
                <w:rFonts w:ascii="Aptos" w:hAnsi="Aptos"/>
                <w:b/>
                <w:sz w:val="19"/>
              </w:rPr>
              <w:t>Day 3 — Completion &amp; UI</w:t>
            </w:r>
          </w:p>
        </w:tc>
        <w:tc>
          <w:tcPr>
            <w:tcW w:type="dxa" w:w="4968"/>
            <w:vAlign w:val="center"/>
          </w:tcPr>
          <w:p>
            <w:r/>
            <w:r>
              <w:rPr>
                <w:rFonts w:ascii="Aptos" w:hAnsi="Aptos"/>
                <w:b w:val="0"/>
                <w:sz w:val="19"/>
              </w:rPr>
              <w:t>Handoff confirmation; impact counters; EventBridge expiry; polish dashboard; deploy frontend.</w:t>
            </w:r>
          </w:p>
        </w:tc>
      </w:tr>
      <w:tr>
        <w:tc>
          <w:tcPr>
            <w:tcW w:type="dxa" w:w="4968"/>
            <w:vAlign w:val="center"/>
          </w:tcPr>
          <w:p>
            <w:r/>
            <w:r>
              <w:rPr>
                <w:rFonts w:ascii="Aptos" w:hAnsi="Aptos"/>
                <w:b/>
                <w:sz w:val="19"/>
              </w:rPr>
              <w:t>Day 4 — Reliability &amp; submission</w:t>
            </w:r>
          </w:p>
        </w:tc>
        <w:tc>
          <w:tcPr>
            <w:tcW w:type="dxa" w:w="4968"/>
            <w:vAlign w:val="center"/>
          </w:tcPr>
          <w:p>
            <w:r/>
            <w:r>
              <w:rPr>
                <w:rFonts w:ascii="Aptos" w:hAnsi="Aptos"/>
                <w:b w:val="0"/>
                <w:sz w:val="19"/>
              </w:rPr>
              <w:t>Test edge cases; seed demo businesses/materials; architecture diagram; README; 3-minute demo; freeze risky features.</w:t>
            </w:r>
          </w:p>
        </w:tc>
      </w:tr>
    </w:tbl>
    <w:p>
      <w:pPr>
        <w:pStyle w:val="Heading1"/>
      </w:pPr>
      <w:r>
        <w:t>20. Three-Minute Demo Structure</w:t>
      </w:r>
    </w:p>
    <w:p>
      <w:pPr>
        <w:pStyle w:val="ListBullet"/>
        <w:spacing w:after="60"/>
      </w:pPr>
      <w:r>
        <w:rPr>
          <w:b/>
        </w:rPr>
        <w:t xml:space="preserve">0:00–0:20 — Problem: </w:t>
      </w:r>
      <w:r>
        <w:t>show a workshop with usable surplus and another business buying compatible fresh material.</w:t>
      </w:r>
    </w:p>
    <w:p>
      <w:pPr>
        <w:pStyle w:val="ListBullet"/>
        <w:spacing w:after="60"/>
      </w:pPr>
      <w:r>
        <w:rPr>
          <w:b/>
        </w:rPr>
        <w:t xml:space="preserve">0:20–0:35 — Product: </w:t>
      </w:r>
      <w:r>
        <w:t>“DeadStock Exchange connects usable B2B surplus with real material demand.”</w:t>
      </w:r>
    </w:p>
    <w:p>
      <w:pPr>
        <w:pStyle w:val="ListBullet"/>
        <w:spacing w:after="60"/>
      </w:pPr>
      <w:r>
        <w:rPr>
          <w:b/>
        </w:rPr>
        <w:t xml:space="preserve">0:35–1:10 — Supplier: </w:t>
      </w:r>
      <w:r>
        <w:t>list 80 kg of wood offcuts.</w:t>
      </w:r>
    </w:p>
    <w:p>
      <w:pPr>
        <w:pStyle w:val="ListBullet"/>
        <w:spacing w:after="60"/>
      </w:pPr>
      <w:r>
        <w:rPr>
          <w:b/>
        </w:rPr>
        <w:t xml:space="preserve">1:10–1:35 — Buyer: </w:t>
      </w:r>
      <w:r>
        <w:t>post a requirement for 50 kg.</w:t>
      </w:r>
    </w:p>
    <w:p>
      <w:pPr>
        <w:pStyle w:val="ListBullet"/>
        <w:spacing w:after="60"/>
      </w:pPr>
      <w:r>
        <w:rPr>
          <w:b/>
        </w:rPr>
        <w:t xml:space="preserve">1:35–1:55 — WOW moment: </w:t>
      </w:r>
      <w:r>
        <w:t>match appears with transparent compatibility reasons.</w:t>
      </w:r>
    </w:p>
    <w:p>
      <w:pPr>
        <w:pStyle w:val="ListBullet"/>
        <w:spacing w:after="60"/>
      </w:pPr>
      <w:r>
        <w:rPr>
          <w:b/>
        </w:rPr>
        <w:t xml:space="preserve">1:55–2:15 — Execute: </w:t>
      </w:r>
      <w:r>
        <w:t>reserve 50 kg; supplier stock automatically becomes 30 kg.</w:t>
      </w:r>
    </w:p>
    <w:p>
      <w:pPr>
        <w:pStyle w:val="ListBullet"/>
        <w:spacing w:after="60"/>
      </w:pPr>
      <w:r>
        <w:rPr>
          <w:b/>
        </w:rPr>
        <w:t xml:space="preserve">2:15–2:30 — Complete: </w:t>
      </w:r>
      <w:r>
        <w:t>confirm handoff; impact dashboard updates.</w:t>
      </w:r>
    </w:p>
    <w:p>
      <w:pPr>
        <w:pStyle w:val="ListBullet"/>
        <w:spacing w:after="60"/>
      </w:pPr>
      <w:r>
        <w:rPr>
          <w:b/>
        </w:rPr>
        <w:t xml:space="preserve">2:30–2:50 — AWS: </w:t>
      </w:r>
      <w:r>
        <w:t>show Lambda/API Gateway/DynamoDB/EventBridge architecture and live AWS-powered workflow.</w:t>
      </w:r>
    </w:p>
    <w:p>
      <w:pPr>
        <w:pStyle w:val="ListBullet"/>
        <w:spacing w:after="60"/>
      </w:pPr>
      <w:r>
        <w:rPr>
          <w:b/>
        </w:rPr>
        <w:t xml:space="preserve">2:50–3:00 — Impact: </w:t>
      </w:r>
      <w:r>
        <w:t>show quantity reused and explain how the same workflow can scale across material categories.</w:t>
      </w:r>
    </w:p>
    <w:p>
      <w:pPr>
        <w:pStyle w:val="Heading1"/>
      </w:pPr>
      <w:r>
        <w:t>21. Suggested Team Division</w:t>
      </w:r>
    </w:p>
    <w:p>
      <w:pPr>
        <w:pStyle w:val="ListBullet"/>
        <w:spacing w:after="60"/>
      </w:pPr>
      <w:r>
        <w:rPr>
          <w:b/>
        </w:rPr>
        <w:t xml:space="preserve">Member 1 — Frontend/Product: </w:t>
      </w:r>
      <w:r>
        <w:t>listing form, requirement form, matches, impact dashboard.</w:t>
      </w:r>
    </w:p>
    <w:p>
      <w:pPr>
        <w:pStyle w:val="ListBullet"/>
        <w:spacing w:after="60"/>
      </w:pPr>
      <w:r>
        <w:rPr>
          <w:b/>
        </w:rPr>
        <w:t xml:space="preserve">Member 2 — Backend: </w:t>
      </w:r>
      <w:r>
        <w:t>API routes, validation, matching engine, reservation logic.</w:t>
      </w:r>
    </w:p>
    <w:p>
      <w:pPr>
        <w:pStyle w:val="ListBullet"/>
        <w:spacing w:after="60"/>
      </w:pPr>
      <w:r>
        <w:rPr>
          <w:b/>
        </w:rPr>
        <w:t xml:space="preserve">Member 3 — AWS: </w:t>
      </w:r>
      <w:r>
        <w:t>DynamoDB, Lambda, API Gateway, EventBridge, deployment/IAM.</w:t>
      </w:r>
    </w:p>
    <w:p>
      <w:pPr>
        <w:pStyle w:val="ListBullet"/>
        <w:spacing w:after="60"/>
      </w:pPr>
      <w:r>
        <w:rPr>
          <w:b/>
        </w:rPr>
        <w:t xml:space="preserve">Member 4 — Integration/QA: </w:t>
      </w:r>
      <w:r>
        <w:t>seed data, end-to-end testing, Git/README, architecture, demo recording.</w:t>
      </w:r>
    </w:p>
    <w:p>
      <w:pPr>
        <w:pStyle w:val="Heading1"/>
      </w:pPr>
      <w:r>
        <w:t>22. Main Risks and How to Control Them</w:t>
      </w:r>
    </w:p>
    <w:tbl>
      <w:tblPr>
        <w:tblStyle w:val="TableGrid"/>
        <w:tblW w:type="auto" w:w="0"/>
        <w:tblLook w:firstColumn="1" w:firstRow="1" w:lastColumn="0" w:lastRow="0" w:noHBand="0" w:noVBand="1" w:val="04A0"/>
      </w:tblPr>
      <w:tblGrid>
        <w:gridCol w:w="4968"/>
        <w:gridCol w:w="4968"/>
      </w:tblGrid>
      <w:tr>
        <w:tc>
          <w:tcPr>
            <w:tcW w:type="dxa" w:w="4968"/>
            <w:vAlign w:val="center"/>
            <w:shd w:fill="DCE8E2"/>
          </w:tcPr>
          <w:p>
            <w:r/>
            <w:r>
              <w:rPr>
                <w:rFonts w:ascii="Aptos" w:hAnsi="Aptos"/>
                <w:b/>
                <w:sz w:val="19"/>
              </w:rPr>
              <w:t>Risk</w:t>
            </w:r>
          </w:p>
        </w:tc>
        <w:tc>
          <w:tcPr>
            <w:tcW w:type="dxa" w:w="4968"/>
            <w:vAlign w:val="center"/>
            <w:shd w:fill="DCE8E2"/>
          </w:tcPr>
          <w:p>
            <w:r/>
            <w:r>
              <w:rPr>
                <w:rFonts w:ascii="Aptos" w:hAnsi="Aptos"/>
                <w:b/>
                <w:sz w:val="19"/>
              </w:rPr>
              <w:t>Control</w:t>
            </w:r>
          </w:p>
        </w:tc>
      </w:tr>
      <w:tr>
        <w:tc>
          <w:tcPr>
            <w:tcW w:type="dxa" w:w="4968"/>
            <w:vAlign w:val="center"/>
          </w:tcPr>
          <w:p>
            <w:r/>
            <w:r>
              <w:rPr>
                <w:rFonts w:ascii="Aptos" w:hAnsi="Aptos"/>
                <w:b/>
                <w:sz w:val="19"/>
              </w:rPr>
              <w:t>Becoming a generic OLX-style marketplace</w:t>
            </w:r>
          </w:p>
        </w:tc>
        <w:tc>
          <w:tcPr>
            <w:tcW w:type="dxa" w:w="4968"/>
            <w:vAlign w:val="center"/>
          </w:tcPr>
          <w:p>
            <w:r/>
            <w:r>
              <w:rPr>
                <w:rFonts w:ascii="Aptos" w:hAnsi="Aptos"/>
                <w:b w:val="0"/>
                <w:sz w:val="19"/>
              </w:rPr>
              <w:t>Keep requirements, matching, partial allocation and reuse metrics central.</w:t>
            </w:r>
          </w:p>
        </w:tc>
      </w:tr>
      <w:tr>
        <w:tc>
          <w:tcPr>
            <w:tcW w:type="dxa" w:w="4968"/>
            <w:vAlign w:val="center"/>
          </w:tcPr>
          <w:p>
            <w:r/>
            <w:r>
              <w:rPr>
                <w:rFonts w:ascii="Aptos" w:hAnsi="Aptos"/>
                <w:b/>
                <w:sz w:val="19"/>
              </w:rPr>
              <w:t>Unsafe material matching</w:t>
            </w:r>
          </w:p>
        </w:tc>
        <w:tc>
          <w:tcPr>
            <w:tcW w:type="dxa" w:w="4968"/>
            <w:vAlign w:val="center"/>
          </w:tcPr>
          <w:p>
            <w:r/>
            <w:r>
              <w:rPr>
                <w:rFonts w:ascii="Aptos" w:hAnsi="Aptos"/>
                <w:b w:val="0"/>
                <w:sz w:val="19"/>
              </w:rPr>
              <w:t>Limit MVP to predefined non-hazardous categories and explicit compatibility rules.</w:t>
            </w:r>
          </w:p>
        </w:tc>
      </w:tr>
      <w:tr>
        <w:tc>
          <w:tcPr>
            <w:tcW w:type="dxa" w:w="4968"/>
            <w:vAlign w:val="center"/>
          </w:tcPr>
          <w:p>
            <w:r/>
            <w:r>
              <w:rPr>
                <w:rFonts w:ascii="Aptos" w:hAnsi="Aptos"/>
                <w:b/>
                <w:sz w:val="19"/>
              </w:rPr>
              <w:t>Too many features</w:t>
            </w:r>
          </w:p>
        </w:tc>
        <w:tc>
          <w:tcPr>
            <w:tcW w:type="dxa" w:w="4968"/>
            <w:vAlign w:val="center"/>
          </w:tcPr>
          <w:p>
            <w:r/>
            <w:r>
              <w:rPr>
                <w:rFonts w:ascii="Aptos" w:hAnsi="Aptos"/>
                <w:b w:val="0"/>
                <w:sz w:val="19"/>
              </w:rPr>
              <w:t>Do not add chat, payments, delivery or AI until the core exchange works.</w:t>
            </w:r>
          </w:p>
        </w:tc>
      </w:tr>
      <w:tr>
        <w:tc>
          <w:tcPr>
            <w:tcW w:type="dxa" w:w="4968"/>
            <w:vAlign w:val="center"/>
          </w:tcPr>
          <w:p>
            <w:r/>
            <w:r>
              <w:rPr>
                <w:rFonts w:ascii="Aptos" w:hAnsi="Aptos"/>
                <w:b/>
                <w:sz w:val="19"/>
              </w:rPr>
              <w:t>Fake environmental claims</w:t>
            </w:r>
          </w:p>
        </w:tc>
        <w:tc>
          <w:tcPr>
            <w:tcW w:type="dxa" w:w="4968"/>
            <w:vAlign w:val="center"/>
          </w:tcPr>
          <w:p>
            <w:r/>
            <w:r>
              <w:rPr>
                <w:rFonts w:ascii="Aptos" w:hAnsi="Aptos"/>
                <w:b w:val="0"/>
                <w:sz w:val="19"/>
              </w:rPr>
              <w:t>Report direct quantities reused; label any monetary estimate clearly.</w:t>
            </w:r>
          </w:p>
        </w:tc>
      </w:tr>
      <w:tr>
        <w:tc>
          <w:tcPr>
            <w:tcW w:type="dxa" w:w="4968"/>
            <w:vAlign w:val="center"/>
          </w:tcPr>
          <w:p>
            <w:r/>
            <w:r>
              <w:rPr>
                <w:rFonts w:ascii="Aptos" w:hAnsi="Aptos"/>
                <w:b/>
                <w:sz w:val="19"/>
              </w:rPr>
              <w:t>No real marketplace data</w:t>
            </w:r>
          </w:p>
        </w:tc>
        <w:tc>
          <w:tcPr>
            <w:tcW w:type="dxa" w:w="4968"/>
            <w:vAlign w:val="center"/>
          </w:tcPr>
          <w:p>
            <w:r/>
            <w:r>
              <w:rPr>
                <w:rFonts w:ascii="Aptos" w:hAnsi="Aptos"/>
                <w:b w:val="0"/>
                <w:sz w:val="19"/>
              </w:rPr>
              <w:t>Use legitimate synthetic businesses/listings designed for the demo; the workflow does not depend on external APIs.</w:t>
            </w:r>
          </w:p>
        </w:tc>
      </w:tr>
      <w:tr>
        <w:tc>
          <w:tcPr>
            <w:tcW w:type="dxa" w:w="4968"/>
            <w:vAlign w:val="center"/>
          </w:tcPr>
          <w:p>
            <w:r/>
            <w:r>
              <w:rPr>
                <w:rFonts w:ascii="Aptos" w:hAnsi="Aptos"/>
                <w:b/>
                <w:sz w:val="19"/>
              </w:rPr>
              <w:t>Double allocation</w:t>
            </w:r>
          </w:p>
        </w:tc>
        <w:tc>
          <w:tcPr>
            <w:tcW w:type="dxa" w:w="4968"/>
            <w:vAlign w:val="center"/>
          </w:tcPr>
          <w:p>
            <w:r/>
            <w:r>
              <w:rPr>
                <w:rFonts w:ascii="Aptos" w:hAnsi="Aptos"/>
                <w:b w:val="0"/>
                <w:sz w:val="19"/>
              </w:rPr>
              <w:t>Use transactional/conditional reservation logic so available quantity cannot fall below zero.</w:t>
            </w:r>
          </w:p>
        </w:tc>
      </w:tr>
    </w:tbl>
    <w:p>
      <w:pPr>
        <w:pStyle w:val="Heading1"/>
      </w:pPr>
      <w:r>
        <w:t>23. Future Expansion</w:t>
      </w:r>
    </w:p>
    <w:p>
      <w:pPr>
        <w:pStyle w:val="ListBullet"/>
        <w:spacing w:after="60"/>
      </w:pPr>
      <w:r>
        <w:t>Verified business profiles and organization-level permissions.</w:t>
      </w:r>
    </w:p>
    <w:p>
      <w:pPr>
        <w:pStyle w:val="ListBullet"/>
        <w:spacing w:after="60"/>
      </w:pPr>
      <w:r>
        <w:t>More detailed material taxonomy and industry-specific attributes.</w:t>
      </w:r>
    </w:p>
    <w:p>
      <w:pPr>
        <w:pStyle w:val="ListBullet"/>
        <w:spacing w:after="60"/>
      </w:pPr>
      <w:r>
        <w:t>Pickup/logistics partner integration.</w:t>
      </w:r>
    </w:p>
    <w:p>
      <w:pPr>
        <w:pStyle w:val="ListBullet"/>
        <w:spacing w:after="60"/>
      </w:pPr>
      <w:r>
        <w:t>Recurring surplus patterns for manufacturers.</w:t>
      </w:r>
    </w:p>
    <w:p>
      <w:pPr>
        <w:pStyle w:val="ListBullet"/>
        <w:spacing w:after="60"/>
      </w:pPr>
      <w:r>
        <w:t>Request subscriptions: notify a buyer when a desired material becomes available.</w:t>
      </w:r>
    </w:p>
    <w:p>
      <w:pPr>
        <w:pStyle w:val="ListBullet"/>
        <w:spacing w:after="60"/>
      </w:pPr>
      <w:r>
        <w:t>Material passports and provenance records.</w:t>
      </w:r>
    </w:p>
    <w:p>
      <w:pPr>
        <w:pStyle w:val="ListBullet"/>
        <w:spacing w:after="60"/>
      </w:pPr>
      <w:r>
        <w:t>Cross-company analytics for circular procurement.</w:t>
      </w:r>
    </w:p>
    <w:p>
      <w:pPr>
        <w:pStyle w:val="ListBullet"/>
        <w:spacing w:after="60"/>
      </w:pPr>
      <w:r>
        <w:t>Optional document extraction to turn existing inventory sheets into listings, without training a custom model.</w:t>
      </w:r>
    </w:p>
    <w:p>
      <w:pPr>
        <w:pStyle w:val="Heading1"/>
      </w:pPr>
      <w:r>
        <w:t>24. One-Sentence Pitch</w:t>
      </w:r>
    </w:p>
    <w:p>
      <w:pPr>
        <w:jc w:val="center"/>
      </w:pPr>
      <w:r>
        <w:rPr>
          <w:b/>
          <w:color w:val="1F4E3D"/>
          <w:sz w:val="26"/>
        </w:rPr>
        <w:t>DeadStock Exchange turns one business's usable surplus into another business's raw material by matching structured industrial supply and demand before that material loses value or is discarded.</w:t>
      </w:r>
    </w:p>
    <w:p>
      <w:pPr>
        <w:pStyle w:val="Heading1"/>
      </w:pPr>
      <w:r>
        <w:t>25. Final Hackathon Scope</w:t>
      </w:r>
    </w:p>
    <w:p>
      <w:r>
        <w:rPr>
          <w:b/>
        </w:rPr>
        <w:t xml:space="preserve">Build only this exceptionally well: </w:t>
      </w:r>
      <w:r>
        <w:t>a supplier lists surplus → a buyer posts a requirement → the backend finds and explains a compatible match → the buyer reserves a quantity → the supplier confirms handoff → inventory and reuse impact update automatically.</w:t>
      </w:r>
    </w:p>
    <w:p>
      <w:r>
        <w:t>Everything else is optional. This keeps the project aligned with the competition's emphasis on a focused, working, demonstrable AWS-powered workflow rather than a broad product with incomplete features.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4E3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