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2EB" w:rsidRDefault="00EA12EB"/>
    <w:tbl>
      <w:tblPr>
        <w:tblW w:w="10136" w:type="dxa"/>
        <w:tblInd w:w="558" w:type="dxa"/>
        <w:tblLayout w:type="fixed"/>
        <w:tblLook w:val="0600" w:firstRow="0" w:lastRow="0" w:firstColumn="0" w:lastColumn="0" w:noHBand="1" w:noVBand="1"/>
      </w:tblPr>
      <w:tblGrid>
        <w:gridCol w:w="236"/>
        <w:gridCol w:w="6416"/>
        <w:gridCol w:w="3049"/>
        <w:gridCol w:w="19"/>
        <w:gridCol w:w="36"/>
        <w:gridCol w:w="144"/>
        <w:gridCol w:w="236"/>
      </w:tblGrid>
      <w:tr w:rsidR="00E926A0" w:rsidRPr="0093392D" w:rsidTr="00C82D5D">
        <w:trPr>
          <w:gridAfter w:val="2"/>
          <w:wAfter w:w="380" w:type="dxa"/>
          <w:trHeight w:val="705"/>
        </w:trPr>
        <w:tc>
          <w:tcPr>
            <w:tcW w:w="9756" w:type="dxa"/>
            <w:gridSpan w:val="5"/>
            <w:tcBorders>
              <w:bottom w:val="single" w:sz="4" w:space="0" w:color="999999"/>
            </w:tcBorders>
          </w:tcPr>
          <w:p w:rsidR="00694549" w:rsidRPr="00EA12EB" w:rsidRDefault="00C82D5D" w:rsidP="00694549">
            <w:pPr>
              <w:pStyle w:val="Heading3"/>
              <w:jc w:val="center"/>
              <w:rPr>
                <w:sz w:val="28"/>
                <w:szCs w:val="28"/>
              </w:rPr>
            </w:pPr>
            <w:r w:rsidRPr="00EA12EB">
              <w:rPr>
                <w:sz w:val="28"/>
                <w:szCs w:val="28"/>
              </w:rPr>
              <w:t>John</w:t>
            </w:r>
            <w:r w:rsidR="00E926A0" w:rsidRPr="00EA12EB">
              <w:rPr>
                <w:sz w:val="28"/>
                <w:szCs w:val="28"/>
              </w:rPr>
              <w:t xml:space="preserve"> </w:t>
            </w:r>
            <w:r w:rsidRPr="00EA12EB">
              <w:rPr>
                <w:sz w:val="28"/>
                <w:szCs w:val="28"/>
              </w:rPr>
              <w:t>Smith</w:t>
            </w:r>
          </w:p>
          <w:p w:rsidR="00694549" w:rsidRDefault="00694549" w:rsidP="00694549">
            <w:pPr>
              <w:pStyle w:val="Heading3"/>
              <w:jc w:val="center"/>
              <w:rPr>
                <w:sz w:val="24"/>
              </w:rPr>
            </w:pPr>
          </w:p>
          <w:p w:rsidR="00E926A0" w:rsidRDefault="00E926A0" w:rsidP="00A922F2">
            <w:pPr>
              <w:pStyle w:val="Heading3"/>
            </w:pPr>
            <w:r w:rsidRPr="00A922F2">
              <w:rPr>
                <w:sz w:val="24"/>
              </w:rPr>
              <w:t xml:space="preserve">  </w:t>
            </w:r>
          </w:p>
          <w:p w:rsidR="00661F92" w:rsidRDefault="00E926A0" w:rsidP="00EB6006">
            <w:pPr>
              <w:rPr>
                <w:b/>
              </w:rPr>
            </w:pPr>
            <w:r w:rsidRPr="00EA12EB">
              <w:t>C</w:t>
            </w:r>
            <w:r w:rsidR="00EB6006" w:rsidRPr="00EA12EB">
              <w:t>ell</w:t>
            </w:r>
            <w:r w:rsidRPr="00EA12EB">
              <w:t xml:space="preserve">: </w:t>
            </w:r>
            <w:r w:rsidR="00661F92" w:rsidRPr="00EA12EB">
              <w:t xml:space="preserve"> </w:t>
            </w:r>
            <w:r w:rsidR="00EB6006" w:rsidRPr="00EA12EB">
              <w:t xml:space="preserve"> </w:t>
            </w:r>
            <w:r w:rsidR="008D1D18" w:rsidRPr="00EA12EB">
              <w:t xml:space="preserve"> </w:t>
            </w:r>
            <w:r w:rsidRPr="00EA12EB">
              <w:t>512-</w:t>
            </w:r>
            <w:r w:rsidR="00C82D5D" w:rsidRPr="00EA12EB">
              <w:t>000</w:t>
            </w:r>
            <w:r w:rsidRPr="00EA12EB">
              <w:t>-3</w:t>
            </w:r>
            <w:r w:rsidR="00C82D5D" w:rsidRPr="00EA12EB">
              <w:t>8</w:t>
            </w:r>
            <w:r w:rsidRPr="00EA12EB">
              <w:t xml:space="preserve">51      </w:t>
            </w:r>
            <w:r w:rsidR="00033915" w:rsidRPr="00EA12EB">
              <w:t xml:space="preserve">                                                                                  </w:t>
            </w:r>
            <w:r w:rsidR="00EA12EB">
              <w:t xml:space="preserve">          </w:t>
            </w:r>
            <w:r w:rsidR="00033915" w:rsidRPr="00EA12EB">
              <w:t>Austin, Texas</w:t>
            </w:r>
          </w:p>
          <w:p w:rsidR="00C82D5D" w:rsidRPr="00EA12EB" w:rsidRDefault="00EB6006" w:rsidP="003B073C">
            <w:pPr>
              <w:rPr>
                <w:rStyle w:val="Hyperlink"/>
                <w:color w:val="auto"/>
              </w:rPr>
            </w:pPr>
            <w:r>
              <w:t>Home</w:t>
            </w:r>
            <w:r w:rsidR="00D166B8">
              <w:t>: 512-2</w:t>
            </w:r>
            <w:r w:rsidR="00C82D5D">
              <w:t>0</w:t>
            </w:r>
            <w:r w:rsidR="00D166B8">
              <w:t>0-4</w:t>
            </w:r>
            <w:r w:rsidR="00C82D5D">
              <w:t>000</w:t>
            </w:r>
            <w:r w:rsidR="00D166B8">
              <w:t xml:space="preserve">    </w:t>
            </w:r>
            <w:r w:rsidR="00195D4E">
              <w:t xml:space="preserve"> </w:t>
            </w:r>
            <w:r w:rsidR="00661F92">
              <w:t xml:space="preserve">    </w:t>
            </w:r>
            <w:r w:rsidR="00E926A0" w:rsidRPr="009E5828">
              <w:t xml:space="preserve">                                                                                </w:t>
            </w:r>
            <w:r w:rsidR="00E926A0" w:rsidRPr="00280B50">
              <w:t xml:space="preserve"> </w:t>
            </w:r>
            <w:hyperlink r:id="rId9" w:history="1">
              <w:r w:rsidR="00C82D5D" w:rsidRPr="00EA12EB">
                <w:rPr>
                  <w:rStyle w:val="Hyperlink"/>
                  <w:color w:val="auto"/>
                </w:rPr>
                <w:t>name.surname@yahoo.com</w:t>
              </w:r>
            </w:hyperlink>
          </w:p>
          <w:p w:rsidR="00E926A0" w:rsidRDefault="00E926A0" w:rsidP="003B073C">
            <w:pPr>
              <w:rPr>
                <w:sz w:val="20"/>
              </w:rPr>
            </w:pPr>
            <w:r w:rsidRPr="00EB6006">
              <w:rPr>
                <w:sz w:val="20"/>
              </w:rPr>
              <w:t xml:space="preserve"> </w:t>
            </w:r>
          </w:p>
          <w:p w:rsidR="00694549" w:rsidRPr="005A5E99" w:rsidRDefault="00694549" w:rsidP="003B073C"/>
        </w:tc>
      </w:tr>
      <w:tr w:rsidR="00E926A0" w:rsidRPr="0093392D" w:rsidTr="00C82D5D">
        <w:trPr>
          <w:gridAfter w:val="2"/>
          <w:wAfter w:w="380" w:type="dxa"/>
        </w:trPr>
        <w:tc>
          <w:tcPr>
            <w:tcW w:w="9756" w:type="dxa"/>
            <w:gridSpan w:val="5"/>
            <w:tcBorders>
              <w:top w:val="single" w:sz="4" w:space="0" w:color="999999"/>
              <w:bottom w:val="single" w:sz="4" w:space="0" w:color="999999"/>
            </w:tcBorders>
          </w:tcPr>
          <w:p w:rsidR="00E926A0" w:rsidRPr="000B7FDD" w:rsidRDefault="00E926A0" w:rsidP="00694549">
            <w:pPr>
              <w:pStyle w:val="Heading1"/>
              <w:rPr>
                <w:b/>
                <w:sz w:val="18"/>
              </w:rPr>
            </w:pPr>
            <w:r w:rsidRPr="000B7FDD">
              <w:rPr>
                <w:b/>
                <w:sz w:val="18"/>
              </w:rPr>
              <w:t>Summary</w:t>
            </w:r>
          </w:p>
        </w:tc>
      </w:tr>
      <w:tr w:rsidR="00E926A0" w:rsidRPr="0093392D" w:rsidTr="00C82D5D">
        <w:trPr>
          <w:gridAfter w:val="2"/>
          <w:wAfter w:w="380" w:type="dxa"/>
          <w:trHeight w:val="3023"/>
        </w:trPr>
        <w:tc>
          <w:tcPr>
            <w:tcW w:w="236" w:type="dxa"/>
            <w:tcBorders>
              <w:top w:val="single" w:sz="4" w:space="0" w:color="999999"/>
            </w:tcBorders>
          </w:tcPr>
          <w:p w:rsidR="00E926A0" w:rsidRPr="000B7FDD" w:rsidRDefault="00E926A0" w:rsidP="00F65C5D"/>
        </w:tc>
        <w:tc>
          <w:tcPr>
            <w:tcW w:w="9520" w:type="dxa"/>
            <w:gridSpan w:val="4"/>
            <w:tcBorders>
              <w:top w:val="single" w:sz="4" w:space="0" w:color="999999"/>
            </w:tcBorders>
          </w:tcPr>
          <w:p w:rsidR="00E926A0" w:rsidRPr="000B7FDD" w:rsidRDefault="00E926A0" w:rsidP="00F65C5D"/>
          <w:p w:rsidR="00E926A0" w:rsidRDefault="00E926A0" w:rsidP="00C82D5D">
            <w:pPr>
              <w:pStyle w:val="Heading3"/>
              <w:rPr>
                <w:sz w:val="18"/>
                <w:szCs w:val="18"/>
              </w:rPr>
            </w:pPr>
            <w:r w:rsidRPr="00C82D5D">
              <w:rPr>
                <w:sz w:val="18"/>
                <w:szCs w:val="18"/>
              </w:rPr>
              <w:t>Experienced CFO in multi-entity environments</w:t>
            </w:r>
            <w:r w:rsidR="00C82D5D" w:rsidRPr="00C82D5D">
              <w:rPr>
                <w:sz w:val="18"/>
                <w:szCs w:val="18"/>
              </w:rPr>
              <w:t xml:space="preserve">. </w:t>
            </w:r>
            <w:r w:rsidRPr="00C82D5D">
              <w:rPr>
                <w:sz w:val="18"/>
                <w:szCs w:val="18"/>
              </w:rPr>
              <w:t xml:space="preserve">Seventeen years’ experience in executive </w:t>
            </w:r>
            <w:r w:rsidR="00C82D5D">
              <w:rPr>
                <w:sz w:val="18"/>
                <w:szCs w:val="18"/>
              </w:rPr>
              <w:t>financial roles including VP, FD and CFO designations</w:t>
            </w:r>
          </w:p>
          <w:p w:rsidR="00694549" w:rsidRPr="00694549" w:rsidRDefault="00694549" w:rsidP="00694549"/>
          <w:p w:rsidR="00E926A0" w:rsidRDefault="00C82D5D" w:rsidP="00F65C5D">
            <w:pPr>
              <w:pStyle w:val="BodyText1"/>
              <w:numPr>
                <w:ilvl w:val="0"/>
                <w:numId w:val="15"/>
              </w:numPr>
              <w:spacing w:after="0"/>
            </w:pPr>
            <w:r>
              <w:t xml:space="preserve">Analytical Tools: </w:t>
            </w:r>
            <w:r w:rsidR="00E926A0">
              <w:t>Designs and implements reporting tools improve process flows of information.</w:t>
            </w:r>
          </w:p>
          <w:p w:rsidR="00E926A0" w:rsidRDefault="00C82D5D" w:rsidP="007B366A">
            <w:pPr>
              <w:pStyle w:val="BodyText1"/>
              <w:numPr>
                <w:ilvl w:val="0"/>
                <w:numId w:val="15"/>
              </w:numPr>
              <w:spacing w:after="0"/>
            </w:pPr>
            <w:r>
              <w:t xml:space="preserve">Operations: </w:t>
            </w:r>
            <w:r w:rsidR="00E926A0">
              <w:t>Manage</w:t>
            </w:r>
            <w:r>
              <w:t>s</w:t>
            </w:r>
            <w:r w:rsidR="00E926A0">
              <w:t xml:space="preserve"> Accounting and IT departments </w:t>
            </w:r>
            <w:r>
              <w:t xml:space="preserve">of staff compliments exceeding </w:t>
            </w:r>
            <w:r w:rsidR="00694549">
              <w:t>100 individuals</w:t>
            </w:r>
            <w:r>
              <w:t>.</w:t>
            </w:r>
          </w:p>
          <w:p w:rsidR="00E926A0" w:rsidRDefault="00C82D5D" w:rsidP="00F65C5D">
            <w:pPr>
              <w:pStyle w:val="BodyText1"/>
              <w:numPr>
                <w:ilvl w:val="0"/>
                <w:numId w:val="15"/>
              </w:numPr>
              <w:spacing w:after="0"/>
            </w:pPr>
            <w:r>
              <w:t>Infrastructure: I</w:t>
            </w:r>
            <w:r w:rsidR="007B366A">
              <w:t>mplement</w:t>
            </w:r>
            <w:r>
              <w:t>ation of</w:t>
            </w:r>
            <w:r w:rsidR="007B366A">
              <w:t xml:space="preserve"> IT and </w:t>
            </w:r>
            <w:r w:rsidR="009810C5">
              <w:t xml:space="preserve">accounting structure </w:t>
            </w:r>
            <w:r>
              <w:t xml:space="preserve">to establish collaborative </w:t>
            </w:r>
            <w:r w:rsidR="009810C5">
              <w:t>relationships with all departments within the organization.</w:t>
            </w:r>
          </w:p>
          <w:p w:rsidR="00E926A0" w:rsidRDefault="00C82D5D" w:rsidP="00F65C5D">
            <w:pPr>
              <w:pStyle w:val="BodyText1"/>
              <w:numPr>
                <w:ilvl w:val="0"/>
                <w:numId w:val="15"/>
              </w:numPr>
              <w:spacing w:after="0"/>
            </w:pPr>
            <w:r>
              <w:t xml:space="preserve">Taxation: </w:t>
            </w:r>
            <w:r w:rsidR="00E926A0">
              <w:t xml:space="preserve">Develops solutions to minimize tax liabilities and ensure compliance to </w:t>
            </w:r>
            <w:r>
              <w:t xml:space="preserve">both </w:t>
            </w:r>
            <w:r w:rsidR="00E926A0">
              <w:t>regional and local governmental tax laws.</w:t>
            </w:r>
          </w:p>
          <w:p w:rsidR="00E926A0" w:rsidRDefault="00E926A0" w:rsidP="003B0B95">
            <w:pPr>
              <w:pStyle w:val="BodyText1"/>
              <w:numPr>
                <w:ilvl w:val="0"/>
                <w:numId w:val="15"/>
              </w:numPr>
              <w:spacing w:after="0"/>
            </w:pPr>
            <w:r>
              <w:t xml:space="preserve">Advanced </w:t>
            </w:r>
            <w:r w:rsidR="00C82D5D">
              <w:t>K</w:t>
            </w:r>
            <w:r>
              <w:t xml:space="preserve">nowledge </w:t>
            </w:r>
            <w:r w:rsidR="00C82D5D">
              <w:t xml:space="preserve">Areas: </w:t>
            </w:r>
            <w:r w:rsidRPr="000B7FDD">
              <w:t>Mergers</w:t>
            </w:r>
            <w:r w:rsidR="003B0B95">
              <w:t xml:space="preserve">, Capital Modelling, Financial Valuations, Deal Structuring, Strategic Roadmap Development, Prospectus Writing, Infrastructure Workflow Processes, IT Integration Projects and Company Restructuring. </w:t>
            </w:r>
          </w:p>
          <w:p w:rsidR="00694549" w:rsidRDefault="00694549" w:rsidP="00694549">
            <w:pPr>
              <w:pStyle w:val="BodyText1"/>
              <w:spacing w:after="0"/>
              <w:ind w:left="360"/>
            </w:pPr>
          </w:p>
          <w:p w:rsidR="00694549" w:rsidRPr="000B7FDD" w:rsidRDefault="00694549" w:rsidP="00694549">
            <w:pPr>
              <w:pStyle w:val="BodyText1"/>
              <w:spacing w:after="0"/>
              <w:ind w:left="360"/>
            </w:pPr>
          </w:p>
        </w:tc>
        <w:bookmarkStart w:id="0" w:name="_GoBack"/>
        <w:bookmarkEnd w:id="0"/>
      </w:tr>
      <w:tr w:rsidR="00E926A0" w:rsidRPr="000B7FDD" w:rsidTr="00C82D5D">
        <w:trPr>
          <w:gridAfter w:val="3"/>
          <w:wAfter w:w="416" w:type="dxa"/>
          <w:trHeight w:val="260"/>
        </w:trPr>
        <w:tc>
          <w:tcPr>
            <w:tcW w:w="9720" w:type="dxa"/>
            <w:gridSpan w:val="4"/>
            <w:tcBorders>
              <w:top w:val="single" w:sz="4" w:space="0" w:color="999999"/>
              <w:bottom w:val="single" w:sz="4" w:space="0" w:color="999999"/>
            </w:tcBorders>
          </w:tcPr>
          <w:p w:rsidR="00E926A0" w:rsidRPr="000B7FDD" w:rsidRDefault="00E926A0" w:rsidP="00F65C5D">
            <w:pPr>
              <w:pStyle w:val="Heading1"/>
              <w:rPr>
                <w:b/>
              </w:rPr>
            </w:pPr>
            <w:r w:rsidRPr="000B7FDD">
              <w:rPr>
                <w:b/>
                <w:sz w:val="18"/>
              </w:rPr>
              <w:t xml:space="preserve">education </w:t>
            </w:r>
          </w:p>
        </w:tc>
      </w:tr>
      <w:tr w:rsidR="00E926A0" w:rsidRPr="000B7FDD" w:rsidTr="00C82D5D">
        <w:trPr>
          <w:gridAfter w:val="4"/>
          <w:wAfter w:w="435" w:type="dxa"/>
          <w:trHeight w:val="1025"/>
        </w:trPr>
        <w:tc>
          <w:tcPr>
            <w:tcW w:w="236" w:type="dxa"/>
            <w:tcBorders>
              <w:top w:val="single" w:sz="4" w:space="0" w:color="999999"/>
            </w:tcBorders>
            <w:shd w:val="clear" w:color="auto" w:fill="auto"/>
          </w:tcPr>
          <w:p w:rsidR="00E926A0" w:rsidRPr="000B7FDD" w:rsidRDefault="00E926A0" w:rsidP="00F65C5D">
            <w:pPr>
              <w:rPr>
                <w:sz w:val="4"/>
                <w:szCs w:val="4"/>
              </w:rPr>
            </w:pPr>
            <w:r w:rsidRPr="000B7FDD">
              <w:rPr>
                <w:sz w:val="4"/>
                <w:szCs w:val="4"/>
              </w:rPr>
              <w:t xml:space="preserve"> </w:t>
            </w:r>
          </w:p>
          <w:p w:rsidR="00E926A0" w:rsidRPr="000B7FDD" w:rsidRDefault="00E926A0" w:rsidP="00F65C5D">
            <w:pPr>
              <w:rPr>
                <w:sz w:val="4"/>
                <w:szCs w:val="4"/>
              </w:rPr>
            </w:pPr>
          </w:p>
        </w:tc>
        <w:tc>
          <w:tcPr>
            <w:tcW w:w="9465" w:type="dxa"/>
            <w:gridSpan w:val="2"/>
            <w:tcBorders>
              <w:top w:val="single" w:sz="4" w:space="0" w:color="999999"/>
            </w:tcBorders>
          </w:tcPr>
          <w:p w:rsidR="00E926A0" w:rsidRDefault="00E926A0" w:rsidP="00F65C5D">
            <w:pPr>
              <w:pStyle w:val="Heading3"/>
              <w:rPr>
                <w:b w:val="0"/>
              </w:rPr>
            </w:pPr>
            <w:r w:rsidRPr="000B7FDD">
              <w:t>M.</w:t>
            </w:r>
            <w:r>
              <w:t>B.A.</w:t>
            </w:r>
            <w:r w:rsidRPr="000B7FDD">
              <w:t xml:space="preserve">  </w:t>
            </w:r>
            <w:r w:rsidR="00694549" w:rsidRPr="000B7FDD">
              <w:t>Master of Business Administration</w:t>
            </w:r>
            <w:r w:rsidRPr="000B7FDD">
              <w:t xml:space="preserve"> – </w:t>
            </w:r>
            <w:r w:rsidRPr="000B7FDD">
              <w:rPr>
                <w:b w:val="0"/>
              </w:rPr>
              <w:t xml:space="preserve">University of </w:t>
            </w:r>
            <w:r w:rsidR="003B0B95">
              <w:rPr>
                <w:b w:val="0"/>
              </w:rPr>
              <w:t>Connecticut</w:t>
            </w:r>
            <w:r w:rsidR="00F231F6">
              <w:rPr>
                <w:b w:val="0"/>
              </w:rPr>
              <w:t>, 2005</w:t>
            </w:r>
          </w:p>
          <w:p w:rsidR="00E926A0" w:rsidRPr="000B7FDD" w:rsidRDefault="00E926A0" w:rsidP="00F65C5D">
            <w:pPr>
              <w:rPr>
                <w:rStyle w:val="Heading3Char"/>
                <w:b w:val="0"/>
              </w:rPr>
            </w:pPr>
            <w:r>
              <w:rPr>
                <w:b/>
              </w:rPr>
              <w:t xml:space="preserve">M.M.    </w:t>
            </w:r>
            <w:r w:rsidR="00694549">
              <w:rPr>
                <w:b/>
              </w:rPr>
              <w:t xml:space="preserve"> Master of Financial Management</w:t>
            </w:r>
            <w:r w:rsidR="003B0B95">
              <w:rPr>
                <w:b/>
              </w:rPr>
              <w:t xml:space="preserve"> and Information Systems</w:t>
            </w:r>
            <w:r>
              <w:rPr>
                <w:b/>
              </w:rPr>
              <w:t xml:space="preserve"> - </w:t>
            </w:r>
            <w:r>
              <w:t xml:space="preserve">University of </w:t>
            </w:r>
            <w:r w:rsidR="003B0B95">
              <w:t>Dallas</w:t>
            </w:r>
            <w:r w:rsidR="00F231F6">
              <w:t>, 1991</w:t>
            </w:r>
          </w:p>
          <w:p w:rsidR="00E926A0" w:rsidRDefault="00E926A0" w:rsidP="00F65C5D">
            <w:pPr>
              <w:pStyle w:val="Locationwspace"/>
              <w:rPr>
                <w:rStyle w:val="Heading3Char"/>
                <w:b w:val="0"/>
              </w:rPr>
            </w:pPr>
            <w:r w:rsidRPr="000B7FDD">
              <w:rPr>
                <w:rStyle w:val="Heading3Char"/>
              </w:rPr>
              <w:t>B.S.      Bachelor of Science</w:t>
            </w:r>
            <w:r>
              <w:rPr>
                <w:rStyle w:val="Heading3Char"/>
              </w:rPr>
              <w:t xml:space="preserve"> </w:t>
            </w:r>
            <w:r w:rsidR="003B0B95" w:rsidRPr="003B0B95">
              <w:rPr>
                <w:rStyle w:val="Heading3Char"/>
              </w:rPr>
              <w:t>Business Accounting</w:t>
            </w:r>
            <w:r w:rsidRPr="000B7FDD">
              <w:rPr>
                <w:rStyle w:val="Heading3Char"/>
                <w:b w:val="0"/>
              </w:rPr>
              <w:t xml:space="preserve"> – Iowa State University</w:t>
            </w:r>
            <w:r w:rsidR="00F231F6">
              <w:rPr>
                <w:rStyle w:val="Heading3Char"/>
                <w:b w:val="0"/>
              </w:rPr>
              <w:t>, 1989</w:t>
            </w:r>
            <w:r w:rsidRPr="000B7FDD">
              <w:rPr>
                <w:rStyle w:val="Heading3Char"/>
                <w:b w:val="0"/>
              </w:rPr>
              <w:t xml:space="preserve"> </w:t>
            </w:r>
          </w:p>
          <w:p w:rsidR="00694549" w:rsidRPr="000B7FDD" w:rsidRDefault="00694549" w:rsidP="00F65C5D">
            <w:pPr>
              <w:pStyle w:val="Locationwspace"/>
            </w:pPr>
          </w:p>
        </w:tc>
      </w:tr>
      <w:tr w:rsidR="00E926A0" w:rsidRPr="000B7FDD" w:rsidTr="00C82D5D">
        <w:trPr>
          <w:gridAfter w:val="3"/>
          <w:wAfter w:w="416" w:type="dxa"/>
        </w:trPr>
        <w:tc>
          <w:tcPr>
            <w:tcW w:w="9720" w:type="dxa"/>
            <w:gridSpan w:val="4"/>
            <w:tcBorders>
              <w:top w:val="single" w:sz="4" w:space="0" w:color="999999"/>
              <w:bottom w:val="single" w:sz="4" w:space="0" w:color="999999"/>
            </w:tcBorders>
            <w:shd w:val="clear" w:color="auto" w:fill="auto"/>
          </w:tcPr>
          <w:p w:rsidR="00E926A0" w:rsidRPr="000B7FDD" w:rsidRDefault="00E926A0" w:rsidP="00F65C5D">
            <w:pPr>
              <w:pStyle w:val="Heading1"/>
              <w:rPr>
                <w:b/>
              </w:rPr>
            </w:pPr>
            <w:r w:rsidRPr="000B7FDD">
              <w:rPr>
                <w:b/>
                <w:sz w:val="18"/>
              </w:rPr>
              <w:t>PROFESSIONAL EXPERIENCE</w:t>
            </w:r>
          </w:p>
        </w:tc>
      </w:tr>
      <w:tr w:rsidR="00E926A0" w:rsidRPr="000B7FDD" w:rsidTr="00C82D5D">
        <w:trPr>
          <w:gridAfter w:val="4"/>
          <w:wAfter w:w="435" w:type="dxa"/>
          <w:trHeight w:val="251"/>
        </w:trPr>
        <w:tc>
          <w:tcPr>
            <w:tcW w:w="236" w:type="dxa"/>
            <w:vMerge w:val="restart"/>
            <w:tcBorders>
              <w:top w:val="single" w:sz="4" w:space="0" w:color="999999"/>
            </w:tcBorders>
            <w:shd w:val="clear" w:color="auto" w:fill="auto"/>
          </w:tcPr>
          <w:p w:rsidR="00E926A0" w:rsidRPr="000B7FDD" w:rsidRDefault="00E926A0" w:rsidP="00F65C5D">
            <w:pPr>
              <w:rPr>
                <w:sz w:val="8"/>
                <w:szCs w:val="8"/>
              </w:rPr>
            </w:pPr>
          </w:p>
        </w:tc>
        <w:tc>
          <w:tcPr>
            <w:tcW w:w="6416" w:type="dxa"/>
            <w:tcBorders>
              <w:top w:val="single" w:sz="4" w:space="0" w:color="999999"/>
            </w:tcBorders>
          </w:tcPr>
          <w:p w:rsidR="00E926A0" w:rsidRPr="003A016B" w:rsidRDefault="00E926A0" w:rsidP="00F65C5D">
            <w:pPr>
              <w:pStyle w:val="Heading3"/>
              <w:rPr>
                <w:b w:val="0"/>
                <w:bCs/>
              </w:rPr>
            </w:pPr>
          </w:p>
        </w:tc>
        <w:tc>
          <w:tcPr>
            <w:tcW w:w="3049" w:type="dxa"/>
            <w:tcBorders>
              <w:top w:val="single" w:sz="4" w:space="0" w:color="999999"/>
            </w:tcBorders>
          </w:tcPr>
          <w:p w:rsidR="00E926A0" w:rsidRPr="000B7FDD" w:rsidRDefault="00E926A0" w:rsidP="00F65C5D">
            <w:pPr>
              <w:pStyle w:val="Dates"/>
            </w:pPr>
          </w:p>
        </w:tc>
      </w:tr>
      <w:tr w:rsidR="00E926A0" w:rsidRPr="0093392D" w:rsidTr="00C82D5D">
        <w:trPr>
          <w:gridAfter w:val="2"/>
          <w:wAfter w:w="380" w:type="dxa"/>
          <w:trHeight w:val="3870"/>
        </w:trPr>
        <w:tc>
          <w:tcPr>
            <w:tcW w:w="236" w:type="dxa"/>
            <w:vMerge/>
            <w:shd w:val="clear" w:color="auto" w:fill="auto"/>
          </w:tcPr>
          <w:p w:rsidR="00E926A0" w:rsidRPr="000B7FDD" w:rsidRDefault="00E926A0" w:rsidP="00F65C5D"/>
        </w:tc>
        <w:tc>
          <w:tcPr>
            <w:tcW w:w="9520" w:type="dxa"/>
            <w:gridSpan w:val="4"/>
          </w:tcPr>
          <w:p w:rsidR="00E926A0" w:rsidRPr="008047FB" w:rsidRDefault="00E926A0" w:rsidP="00F65C5D">
            <w:pPr>
              <w:rPr>
                <w:rStyle w:val="LocationCharChar"/>
                <w:i w:val="0"/>
              </w:rPr>
            </w:pPr>
            <w:r>
              <w:rPr>
                <w:rStyle w:val="LocationCharChar"/>
                <w:b/>
                <w:i w:val="0"/>
                <w:sz w:val="18"/>
              </w:rPr>
              <w:t>C</w:t>
            </w:r>
            <w:r w:rsidR="003B0B95">
              <w:rPr>
                <w:rStyle w:val="LocationCharChar"/>
                <w:b/>
                <w:i w:val="0"/>
                <w:sz w:val="18"/>
              </w:rPr>
              <w:t>hief Financial Officer</w:t>
            </w:r>
          </w:p>
          <w:p w:rsidR="00E926A0" w:rsidRPr="000B7FDD" w:rsidRDefault="003B0B95" w:rsidP="00F65C5D">
            <w:pPr>
              <w:rPr>
                <w:sz w:val="18"/>
              </w:rPr>
            </w:pPr>
            <w:r>
              <w:rPr>
                <w:rStyle w:val="LocationCharChar"/>
                <w:b/>
                <w:i w:val="0"/>
                <w:sz w:val="18"/>
              </w:rPr>
              <w:t>ODI</w:t>
            </w:r>
            <w:r w:rsidR="00E926A0">
              <w:rPr>
                <w:rStyle w:val="LocationCharChar"/>
                <w:b/>
                <w:i w:val="0"/>
                <w:sz w:val="18"/>
              </w:rPr>
              <w:t>CHEM, Inc.</w:t>
            </w:r>
            <w:r w:rsidR="00E926A0" w:rsidRPr="000B7FDD">
              <w:rPr>
                <w:sz w:val="18"/>
              </w:rPr>
              <w:t xml:space="preserve"> Austin, Texas</w:t>
            </w:r>
          </w:p>
          <w:p w:rsidR="00E926A0" w:rsidRDefault="00857B7A" w:rsidP="00F65C5D">
            <w:pPr>
              <w:rPr>
                <w:b/>
                <w:sz w:val="18"/>
              </w:rPr>
            </w:pPr>
            <w:r>
              <w:rPr>
                <w:b/>
                <w:sz w:val="18"/>
              </w:rPr>
              <w:t xml:space="preserve">December 2014 – </w:t>
            </w:r>
            <w:r w:rsidR="003B0B95">
              <w:rPr>
                <w:b/>
                <w:sz w:val="18"/>
              </w:rPr>
              <w:t>Current</w:t>
            </w:r>
          </w:p>
          <w:p w:rsidR="00694549" w:rsidRDefault="00694549" w:rsidP="00F65C5D">
            <w:pPr>
              <w:rPr>
                <w:b/>
                <w:sz w:val="18"/>
              </w:rPr>
            </w:pPr>
          </w:p>
          <w:p w:rsidR="007258BF" w:rsidRDefault="00E926A0" w:rsidP="00F65C5D">
            <w:pPr>
              <w:pStyle w:val="bulletedlist"/>
              <w:numPr>
                <w:ilvl w:val="0"/>
                <w:numId w:val="26"/>
              </w:numPr>
            </w:pPr>
            <w:r>
              <w:t>An</w:t>
            </w:r>
            <w:r w:rsidRPr="007258BF">
              <w:rPr>
                <w:b/>
              </w:rPr>
              <w:t xml:space="preserve"> international chemical company</w:t>
            </w:r>
            <w:r>
              <w:t xml:space="preserve"> that develops and manufactures products for </w:t>
            </w:r>
            <w:r w:rsidR="007258BF">
              <w:t>various</w:t>
            </w:r>
            <w:r>
              <w:t xml:space="preserve"> industries</w:t>
            </w:r>
            <w:r w:rsidR="007258BF">
              <w:t xml:space="preserve"> across the globe</w:t>
            </w:r>
            <w:r>
              <w:t xml:space="preserve">.  </w:t>
            </w:r>
            <w:r w:rsidR="007258BF">
              <w:t>M</w:t>
            </w:r>
            <w:r>
              <w:t xml:space="preserve">anufacturing plants in: </w:t>
            </w:r>
            <w:r w:rsidR="007258BF">
              <w:t xml:space="preserve">the USA, Europe, Africa and South East Asia. </w:t>
            </w:r>
          </w:p>
          <w:p w:rsidR="00E926A0" w:rsidRDefault="007258BF" w:rsidP="00F65C5D">
            <w:pPr>
              <w:pStyle w:val="bulletedlist"/>
              <w:numPr>
                <w:ilvl w:val="0"/>
                <w:numId w:val="26"/>
              </w:numPr>
            </w:pPr>
            <w:r>
              <w:t xml:space="preserve">Adjusted debt leverage and fixed asset ratio’s by curating a </w:t>
            </w:r>
            <w:r w:rsidR="00E7461B" w:rsidRPr="007258BF">
              <w:rPr>
                <w:b/>
              </w:rPr>
              <w:t>b</w:t>
            </w:r>
            <w:r w:rsidR="00E926A0" w:rsidRPr="007258BF">
              <w:rPr>
                <w:b/>
              </w:rPr>
              <w:t>ank credit facility</w:t>
            </w:r>
            <w:r w:rsidR="00E926A0">
              <w:t xml:space="preserve"> to allow for significant increased borrowing capabilities to fund several short-ter</w:t>
            </w:r>
            <w:r w:rsidR="00777C34">
              <w:t xml:space="preserve">m investments. </w:t>
            </w:r>
            <w:r>
              <w:t>This decreased the external investment risk which enabled the company to meet required bank covenants.</w:t>
            </w:r>
            <w:r w:rsidR="00E926A0">
              <w:t xml:space="preserve">     </w:t>
            </w:r>
          </w:p>
          <w:p w:rsidR="00E926A0" w:rsidRDefault="00CE1797" w:rsidP="00F65C5D">
            <w:pPr>
              <w:pStyle w:val="bulletedlist"/>
              <w:numPr>
                <w:ilvl w:val="0"/>
                <w:numId w:val="26"/>
              </w:numPr>
            </w:pPr>
            <w:r>
              <w:t xml:space="preserve">Crafted </w:t>
            </w:r>
            <w:r w:rsidR="00E926A0">
              <w:t xml:space="preserve">and implemented a </w:t>
            </w:r>
            <w:r w:rsidR="00E926A0" w:rsidRPr="00CB7C1B">
              <w:rPr>
                <w:b/>
              </w:rPr>
              <w:t>capital investment and return process</w:t>
            </w:r>
            <w:r w:rsidR="00E926A0">
              <w:t xml:space="preserve">.  </w:t>
            </w:r>
            <w:r>
              <w:t>This greenfield process included modelling and illustrative displays of financial results from projected investment projects and their effects on the holding company cash flow and new product line launches.</w:t>
            </w:r>
            <w:r w:rsidR="00E926A0">
              <w:t xml:space="preserve"> The results </w:t>
            </w:r>
            <w:r>
              <w:t>depict</w:t>
            </w:r>
            <w:r w:rsidR="00E926A0">
              <w:t xml:space="preserve"> all financial </w:t>
            </w:r>
            <w:r>
              <w:t>metrics</w:t>
            </w:r>
            <w:r w:rsidR="00E926A0">
              <w:t xml:space="preserve"> a</w:t>
            </w:r>
            <w:r w:rsidR="00777C34">
              <w:t xml:space="preserve">nd returns (IRR).  The model </w:t>
            </w:r>
            <w:r>
              <w:t xml:space="preserve">assisted the </w:t>
            </w:r>
            <w:r w:rsidR="00E926A0">
              <w:t>Board gain approval for capital investments.</w:t>
            </w:r>
          </w:p>
          <w:p w:rsidR="00CE1797" w:rsidRDefault="00E926A0" w:rsidP="00F65C5D">
            <w:pPr>
              <w:pStyle w:val="bulletedlist"/>
              <w:numPr>
                <w:ilvl w:val="0"/>
                <w:numId w:val="26"/>
              </w:numPr>
            </w:pPr>
            <w:r>
              <w:t>Re</w:t>
            </w:r>
            <w:r w:rsidR="00CE1797">
              <w:t>vamped</w:t>
            </w:r>
            <w:r>
              <w:t xml:space="preserve"> and </w:t>
            </w:r>
            <w:r w:rsidRPr="00CE1797">
              <w:rPr>
                <w:b/>
              </w:rPr>
              <w:t>streamlined the forecast</w:t>
            </w:r>
            <w:r w:rsidR="00CE1797" w:rsidRPr="00CE1797">
              <w:rPr>
                <w:b/>
              </w:rPr>
              <w:t>ing</w:t>
            </w:r>
            <w:r w:rsidRPr="00CE1797">
              <w:rPr>
                <w:b/>
              </w:rPr>
              <w:t xml:space="preserve"> system</w:t>
            </w:r>
            <w:r>
              <w:t xml:space="preserve"> which automatically </w:t>
            </w:r>
            <w:r w:rsidR="00CE1797">
              <w:t>eliminated the need lengthy data consolidation exercises from</w:t>
            </w:r>
            <w:r>
              <w:t xml:space="preserve"> all inter-company transactions and produces key statistic pages</w:t>
            </w:r>
            <w:r w:rsidR="00CE1797">
              <w:t>.</w:t>
            </w:r>
          </w:p>
          <w:p w:rsidR="001C3536" w:rsidRDefault="00CE1797" w:rsidP="00F65C5D">
            <w:pPr>
              <w:pStyle w:val="bulletedlist"/>
              <w:numPr>
                <w:ilvl w:val="0"/>
                <w:numId w:val="26"/>
              </w:numPr>
            </w:pPr>
            <w:r>
              <w:t>Designed</w:t>
            </w:r>
            <w:r w:rsidR="00E926A0">
              <w:t xml:space="preserve"> a plan to </w:t>
            </w:r>
            <w:r w:rsidR="00E926A0" w:rsidRPr="001C3536">
              <w:rPr>
                <w:b/>
              </w:rPr>
              <w:t xml:space="preserve">repatriate cash build </w:t>
            </w:r>
            <w:r w:rsidR="00E926A0">
              <w:t xml:space="preserve">in a foreign entity. </w:t>
            </w:r>
            <w:r>
              <w:t>This entailed the restructuring and consolidation of certain key foreign entities to effect payables from the foreign country to the home country which</w:t>
            </w:r>
            <w:r w:rsidR="001C3536">
              <w:t xml:space="preserve"> in turn opened repatriation of profits of current and future cash flows. </w:t>
            </w:r>
          </w:p>
          <w:p w:rsidR="001C3536" w:rsidRDefault="00E926A0" w:rsidP="00EA12EB">
            <w:pPr>
              <w:pStyle w:val="bulletedlist"/>
              <w:numPr>
                <w:ilvl w:val="0"/>
                <w:numId w:val="26"/>
              </w:numPr>
            </w:pPr>
            <w:r w:rsidRPr="0086167E">
              <w:rPr>
                <w:b/>
              </w:rPr>
              <w:t xml:space="preserve">Implemented a </w:t>
            </w:r>
            <w:r w:rsidR="001C3536">
              <w:rPr>
                <w:b/>
              </w:rPr>
              <w:t>standar</w:t>
            </w:r>
            <w:r w:rsidR="00EA12EB">
              <w:rPr>
                <w:b/>
              </w:rPr>
              <w:t>d</w:t>
            </w:r>
            <w:r w:rsidR="001C3536">
              <w:rPr>
                <w:b/>
              </w:rPr>
              <w:t>ized comparative benchmark initiative</w:t>
            </w:r>
            <w:r w:rsidR="001C3536">
              <w:t>.</w:t>
            </w:r>
            <w:r>
              <w:t xml:space="preserve"> The benchmark compares all financial results of the company (Income Statement, Balance Sheet and Cash flows) to </w:t>
            </w:r>
            <w:r w:rsidR="001C3536">
              <w:t>relevant</w:t>
            </w:r>
            <w:r>
              <w:t xml:space="preserve"> industry and other </w:t>
            </w:r>
            <w:r w:rsidR="001C3536">
              <w:t>similar type</w:t>
            </w:r>
            <w:r>
              <w:t xml:space="preserve"> company results. This tool </w:t>
            </w:r>
            <w:r w:rsidR="001C3536">
              <w:t xml:space="preserve">added most </w:t>
            </w:r>
            <w:r>
              <w:t>valu</w:t>
            </w:r>
            <w:r w:rsidR="001C3536">
              <w:t>e</w:t>
            </w:r>
            <w:r>
              <w:t xml:space="preserve"> in developing strategy and </w:t>
            </w:r>
            <w:r w:rsidR="001C3536">
              <w:t xml:space="preserve">overall company </w:t>
            </w:r>
            <w:r>
              <w:t>direction</w:t>
            </w:r>
            <w:r w:rsidR="00694549">
              <w:t>.</w:t>
            </w:r>
          </w:p>
          <w:p w:rsidR="00E926A0" w:rsidRDefault="00E926A0" w:rsidP="00F65C5D">
            <w:pPr>
              <w:pStyle w:val="bulletedlist"/>
              <w:numPr>
                <w:ilvl w:val="0"/>
                <w:numId w:val="0"/>
              </w:numPr>
              <w:ind w:left="648"/>
            </w:pPr>
            <w:r>
              <w:lastRenderedPageBreak/>
              <w:t xml:space="preserve">      </w:t>
            </w:r>
            <w:r w:rsidR="00C11D5D">
              <w:t xml:space="preserve"> </w:t>
            </w:r>
            <w:r>
              <w:t xml:space="preserve">                                                                                                         </w:t>
            </w:r>
            <w:r w:rsidR="00C82D5D">
              <w:t>John Smith</w:t>
            </w:r>
            <w:r>
              <w:t xml:space="preserve"> page 2 of 4</w:t>
            </w:r>
          </w:p>
          <w:p w:rsidR="00E926A0" w:rsidRDefault="002221FE" w:rsidP="00F65C5D">
            <w:pPr>
              <w:rPr>
                <w:b/>
                <w:sz w:val="18"/>
              </w:rPr>
            </w:pPr>
            <w:r>
              <w:rPr>
                <w:sz w:val="8"/>
              </w:rPr>
              <w:pict>
                <v:rect id="_x0000_i1025" style="width:0;height:1.5pt" o:hralign="center" o:hrstd="t" o:hr="t" fillcolor="#a0a0a0" stroked="f"/>
              </w:pict>
            </w:r>
          </w:p>
          <w:p w:rsidR="00E926A0" w:rsidRPr="003A016B" w:rsidRDefault="00E926A0" w:rsidP="00F65C5D">
            <w:pPr>
              <w:rPr>
                <w:b/>
                <w:sz w:val="18"/>
              </w:rPr>
            </w:pPr>
            <w:r w:rsidRPr="003A016B">
              <w:rPr>
                <w:b/>
                <w:sz w:val="18"/>
              </w:rPr>
              <w:t>VP</w:t>
            </w:r>
            <w:r w:rsidR="00911EC0">
              <w:rPr>
                <w:b/>
                <w:sz w:val="18"/>
              </w:rPr>
              <w:t xml:space="preserve"> Finance</w:t>
            </w:r>
            <w:r w:rsidRPr="003A016B">
              <w:rPr>
                <w:b/>
                <w:sz w:val="18"/>
              </w:rPr>
              <w:t xml:space="preserve"> &amp; CFO      </w:t>
            </w:r>
          </w:p>
          <w:p w:rsidR="00E926A0" w:rsidRPr="003A016B" w:rsidRDefault="00E926A0" w:rsidP="00F65C5D">
            <w:pPr>
              <w:rPr>
                <w:b/>
                <w:sz w:val="18"/>
              </w:rPr>
            </w:pPr>
            <w:r w:rsidRPr="003A016B">
              <w:rPr>
                <w:b/>
                <w:sz w:val="18"/>
              </w:rPr>
              <w:t>T</w:t>
            </w:r>
            <w:r w:rsidR="00651159">
              <w:rPr>
                <w:b/>
                <w:sz w:val="18"/>
              </w:rPr>
              <w:t>anio</w:t>
            </w:r>
            <w:r w:rsidRPr="003A016B">
              <w:rPr>
                <w:b/>
                <w:sz w:val="18"/>
              </w:rPr>
              <w:t xml:space="preserve"> Electron US Holdings, Inc., Austin, Texas</w:t>
            </w:r>
          </w:p>
          <w:p w:rsidR="00E926A0" w:rsidRDefault="00E926A0" w:rsidP="00F65C5D">
            <w:r w:rsidRPr="003A016B">
              <w:rPr>
                <w:b/>
                <w:sz w:val="18"/>
              </w:rPr>
              <w:t>October 2000 – December 2014</w:t>
            </w:r>
            <w:r w:rsidRPr="003A016B">
              <w:t xml:space="preserve"> </w:t>
            </w:r>
          </w:p>
          <w:p w:rsidR="00E926A0" w:rsidRPr="003A016B" w:rsidRDefault="00E926A0" w:rsidP="00F65C5D">
            <w:pPr>
              <w:rPr>
                <w:b/>
                <w:sz w:val="18"/>
              </w:rPr>
            </w:pPr>
          </w:p>
          <w:p w:rsidR="00E926A0" w:rsidRDefault="00E926A0" w:rsidP="00F65C5D">
            <w:pPr>
              <w:pStyle w:val="bulletedlist"/>
              <w:numPr>
                <w:ilvl w:val="0"/>
                <w:numId w:val="26"/>
              </w:numPr>
            </w:pPr>
            <w:r>
              <w:t xml:space="preserve">A </w:t>
            </w:r>
            <w:r w:rsidRPr="0086167E">
              <w:rPr>
                <w:b/>
              </w:rPr>
              <w:t>$</w:t>
            </w:r>
            <w:r w:rsidR="00911EC0">
              <w:rPr>
                <w:b/>
              </w:rPr>
              <w:t>2.1</w:t>
            </w:r>
            <w:r w:rsidRPr="0086167E">
              <w:rPr>
                <w:b/>
              </w:rPr>
              <w:t xml:space="preserve"> billion US subsidiary</w:t>
            </w:r>
            <w:r>
              <w:t xml:space="preserve"> of a $</w:t>
            </w:r>
            <w:r w:rsidR="00911EC0">
              <w:t>8</w:t>
            </w:r>
            <w:r>
              <w:t xml:space="preserve"> billion international semiconductor equipment technology and manufacturing company. The US Holding company owns five </w:t>
            </w:r>
            <w:r w:rsidR="00911EC0">
              <w:t xml:space="preserve">independent </w:t>
            </w:r>
            <w:r>
              <w:t>entities which include manufacturing</w:t>
            </w:r>
            <w:r w:rsidR="00911EC0">
              <w:t xml:space="preserve"> plants</w:t>
            </w:r>
            <w:r>
              <w:t>, technology development</w:t>
            </w:r>
            <w:r w:rsidR="00911EC0">
              <w:t xml:space="preserve"> operations</w:t>
            </w:r>
            <w:r>
              <w:t>, and service</w:t>
            </w:r>
            <w:r w:rsidR="00911EC0">
              <w:t xml:space="preserve"> facilities</w:t>
            </w:r>
            <w:r>
              <w:t xml:space="preserve"> for</w:t>
            </w:r>
            <w:r w:rsidR="00911EC0">
              <w:t xml:space="preserve"> wholesale tooling products.</w:t>
            </w:r>
            <w:r>
              <w:t xml:space="preserve"> </w:t>
            </w:r>
          </w:p>
          <w:p w:rsidR="00E926A0" w:rsidRDefault="00E926A0" w:rsidP="00F65C5D">
            <w:pPr>
              <w:pStyle w:val="bulletedlist"/>
              <w:numPr>
                <w:ilvl w:val="0"/>
                <w:numId w:val="26"/>
              </w:numPr>
            </w:pPr>
            <w:r w:rsidRPr="0086167E">
              <w:rPr>
                <w:b/>
              </w:rPr>
              <w:t xml:space="preserve">Implemented </w:t>
            </w:r>
            <w:r w:rsidR="0058110A">
              <w:rPr>
                <w:b/>
              </w:rPr>
              <w:t xml:space="preserve">international GAAP (General Accepted Accounting Practices) </w:t>
            </w:r>
            <w:r>
              <w:t xml:space="preserve">and controls to ensure timely and accurate G/L closing and reporting for subsidiaries located in China, Japan; Taiwan; UK and </w:t>
            </w:r>
            <w:r w:rsidR="0058110A">
              <w:t>Australia</w:t>
            </w:r>
            <w:r>
              <w:t xml:space="preserve">.  </w:t>
            </w:r>
            <w:r w:rsidR="0058110A">
              <w:t>S</w:t>
            </w:r>
            <w:r>
              <w:t>treamline</w:t>
            </w:r>
            <w:r w:rsidR="0058110A">
              <w:t>d</w:t>
            </w:r>
            <w:r>
              <w:t xml:space="preserve"> these reporting entities through transfer of </w:t>
            </w:r>
            <w:r w:rsidR="0058110A">
              <w:t>accounting functions</w:t>
            </w:r>
            <w:r>
              <w:t xml:space="preserve"> to the </w:t>
            </w:r>
            <w:r w:rsidR="00C22256">
              <w:t>parents’</w:t>
            </w:r>
            <w:r w:rsidR="00370CF6">
              <w:t xml:space="preserve"> regional </w:t>
            </w:r>
            <w:r>
              <w:t>corporate office and closing of</w:t>
            </w:r>
            <w:r w:rsidR="00370CF6">
              <w:t xml:space="preserve"> the regional entity.</w:t>
            </w:r>
          </w:p>
          <w:p w:rsidR="0058110A" w:rsidRDefault="00E926A0" w:rsidP="00F65C5D">
            <w:pPr>
              <w:pStyle w:val="bulletedlist"/>
              <w:numPr>
                <w:ilvl w:val="0"/>
                <w:numId w:val="26"/>
              </w:numPr>
            </w:pPr>
            <w:r w:rsidRPr="0058110A">
              <w:rPr>
                <w:b/>
              </w:rPr>
              <w:t>Re</w:t>
            </w:r>
            <w:r w:rsidR="0058110A" w:rsidRPr="0058110A">
              <w:rPr>
                <w:b/>
              </w:rPr>
              <w:t>fined</w:t>
            </w:r>
            <w:r w:rsidRPr="0058110A">
              <w:rPr>
                <w:b/>
              </w:rPr>
              <w:t xml:space="preserve"> </w:t>
            </w:r>
            <w:r>
              <w:t xml:space="preserve">the accounting collection and reporting processes in the accounting </w:t>
            </w:r>
            <w:r w:rsidRPr="0058110A">
              <w:rPr>
                <w:b/>
              </w:rPr>
              <w:t>ERP system</w:t>
            </w:r>
            <w:r w:rsidR="0058110A" w:rsidRPr="0058110A">
              <w:rPr>
                <w:b/>
              </w:rPr>
              <w:t xml:space="preserve"> to allow for scalable reporting and analysis</w:t>
            </w:r>
            <w:r w:rsidRPr="0058110A">
              <w:rPr>
                <w:b/>
              </w:rPr>
              <w:t>.</w:t>
            </w:r>
            <w:r>
              <w:t xml:space="preserve">  As a result</w:t>
            </w:r>
            <w:r w:rsidR="0058110A">
              <w:t>,</w:t>
            </w:r>
            <w:r>
              <w:t xml:space="preserve"> the ERP system was reprogrammed from a single dimensional data collection system to a multi-dimensional database. </w:t>
            </w:r>
          </w:p>
          <w:p w:rsidR="0058110A" w:rsidRDefault="00E926A0" w:rsidP="00F65C5D">
            <w:pPr>
              <w:pStyle w:val="bulletedlist"/>
              <w:numPr>
                <w:ilvl w:val="0"/>
                <w:numId w:val="26"/>
              </w:numPr>
            </w:pPr>
            <w:r w:rsidRPr="0058110A">
              <w:rPr>
                <w:b/>
              </w:rPr>
              <w:t xml:space="preserve">Implemented </w:t>
            </w:r>
            <w:r w:rsidR="0058110A" w:rsidRPr="0058110A">
              <w:rPr>
                <w:b/>
              </w:rPr>
              <w:t>measurable scaling</w:t>
            </w:r>
            <w:r w:rsidRPr="0058110A">
              <w:rPr>
                <w:b/>
              </w:rPr>
              <w:t xml:space="preserve"> systems</w:t>
            </w:r>
            <w:r>
              <w:t xml:space="preserve"> which allowed smooth transitions and growth from a single sales and service organization, with annual sales in 200</w:t>
            </w:r>
            <w:r w:rsidR="0058110A">
              <w:t>2</w:t>
            </w:r>
            <w:r>
              <w:t xml:space="preserve"> of $</w:t>
            </w:r>
            <w:r w:rsidR="0058110A">
              <w:t>5</w:t>
            </w:r>
            <w:r>
              <w:t>00 million, to a multi-entity and multi-product environment with annual sales of over $</w:t>
            </w:r>
            <w:r w:rsidR="0058110A">
              <w:t>2</w:t>
            </w:r>
            <w:r>
              <w:t xml:space="preserve">.5billion </w:t>
            </w:r>
            <w:r w:rsidR="0058110A">
              <w:t>by the end of</w:t>
            </w:r>
            <w:r>
              <w:t xml:space="preserve"> 2014. The additions of three separate manufacturing entities added $</w:t>
            </w:r>
            <w:r w:rsidR="0058110A">
              <w:t>2</w:t>
            </w:r>
            <w:r>
              <w:t xml:space="preserve">00 million in annual revenues. These growth and business complexities </w:t>
            </w:r>
            <w:r w:rsidR="0058110A">
              <w:t xml:space="preserve">could be </w:t>
            </w:r>
            <w:r>
              <w:t xml:space="preserve">integrated with minimal disruptions </w:t>
            </w:r>
            <w:r w:rsidR="0058110A">
              <w:t>due to the flexible scaling systems implemented.</w:t>
            </w:r>
          </w:p>
          <w:p w:rsidR="00E926A0" w:rsidRDefault="009B73EC" w:rsidP="00F65C5D">
            <w:pPr>
              <w:pStyle w:val="bulletedlist"/>
              <w:numPr>
                <w:ilvl w:val="0"/>
                <w:numId w:val="26"/>
              </w:numPr>
            </w:pPr>
            <w:r w:rsidRPr="0058110A">
              <w:rPr>
                <w:b/>
              </w:rPr>
              <w:t>Developed acquisition</w:t>
            </w:r>
            <w:r w:rsidR="00E926A0" w:rsidRPr="0058110A">
              <w:rPr>
                <w:b/>
              </w:rPr>
              <w:t xml:space="preserve"> models</w:t>
            </w:r>
            <w:r w:rsidR="00E926A0" w:rsidRPr="00E926A0">
              <w:t xml:space="preserve"> used in the calculation of</w:t>
            </w:r>
            <w:r w:rsidR="00E926A0" w:rsidRPr="0058110A">
              <w:rPr>
                <w:b/>
              </w:rPr>
              <w:t xml:space="preserve"> </w:t>
            </w:r>
            <w:r w:rsidR="0058110A">
              <w:rPr>
                <w:b/>
              </w:rPr>
              <w:t>public entity valuations.</w:t>
            </w:r>
            <w:r w:rsidR="00E926A0">
              <w:t xml:space="preserve"> The models were used in parallel with financial models of </w:t>
            </w:r>
            <w:r w:rsidR="0058110A">
              <w:t>an international merchant bank</w:t>
            </w:r>
            <w:r w:rsidR="00E926A0">
              <w:t xml:space="preserve"> </w:t>
            </w:r>
            <w:proofErr w:type="gramStart"/>
            <w:r w:rsidR="00E926A0">
              <w:t>who</w:t>
            </w:r>
            <w:proofErr w:type="gramEnd"/>
            <w:r w:rsidR="00E926A0">
              <w:t xml:space="preserve"> helped with the acquisitions.   The investments in these manufacturing organizations have exceeded $</w:t>
            </w:r>
            <w:r w:rsidR="0058110A">
              <w:t>8</w:t>
            </w:r>
            <w:r w:rsidR="00E926A0">
              <w:t xml:space="preserve">00 million.  </w:t>
            </w:r>
          </w:p>
          <w:p w:rsidR="00E926A0" w:rsidRDefault="00E926A0" w:rsidP="00F65C5D">
            <w:pPr>
              <w:pStyle w:val="bulletedlist"/>
              <w:numPr>
                <w:ilvl w:val="0"/>
                <w:numId w:val="26"/>
              </w:numPr>
            </w:pPr>
            <w:r w:rsidRPr="0086167E">
              <w:rPr>
                <w:b/>
              </w:rPr>
              <w:t>Restructured</w:t>
            </w:r>
            <w:r w:rsidRPr="00E926A0">
              <w:t xml:space="preserve"> $</w:t>
            </w:r>
            <w:r w:rsidR="0058110A">
              <w:t>4</w:t>
            </w:r>
            <w:r w:rsidRPr="00E926A0">
              <w:t>0 million of</w:t>
            </w:r>
            <w:r w:rsidRPr="0086167E">
              <w:rPr>
                <w:b/>
              </w:rPr>
              <w:t xml:space="preserve"> leased equipment debt</w:t>
            </w:r>
            <w:r>
              <w:t xml:space="preserve"> to an intercompany arrangement </w:t>
            </w:r>
            <w:r w:rsidR="0058110A">
              <w:t xml:space="preserve">with a reduced interest rate from </w:t>
            </w:r>
            <w:r>
              <w:t xml:space="preserve">6% to 2% and reduced the consolidated parent </w:t>
            </w:r>
            <w:r w:rsidR="0058110A">
              <w:t xml:space="preserve">interest </w:t>
            </w:r>
            <w:r>
              <w:t>rate to .5%.  This equated to an annual saving of $</w:t>
            </w:r>
            <w:r w:rsidR="0058110A">
              <w:t>3</w:t>
            </w:r>
            <w:r>
              <w:t xml:space="preserve"> million for the region and </w:t>
            </w:r>
            <w:r w:rsidR="0058110A">
              <w:t>almost</w:t>
            </w:r>
            <w:r>
              <w:t xml:space="preserve"> $</w:t>
            </w:r>
            <w:r w:rsidR="0058110A">
              <w:t>2</w:t>
            </w:r>
            <w:r>
              <w:t xml:space="preserve"> million for the consolidated company.  </w:t>
            </w:r>
          </w:p>
          <w:p w:rsidR="0058110A" w:rsidRDefault="0058110A" w:rsidP="00F65C5D">
            <w:pPr>
              <w:pStyle w:val="bulletedlist"/>
              <w:numPr>
                <w:ilvl w:val="0"/>
                <w:numId w:val="26"/>
              </w:numPr>
            </w:pPr>
            <w:r>
              <w:t>Involved in</w:t>
            </w:r>
            <w:r w:rsidR="00E926A0" w:rsidRPr="0058110A">
              <w:rPr>
                <w:b/>
              </w:rPr>
              <w:t xml:space="preserve"> </w:t>
            </w:r>
            <w:r w:rsidR="00E926A0" w:rsidRPr="0058110A">
              <w:rPr>
                <w:b/>
                <w:noProof/>
              </w:rPr>
              <w:t>world-wide</w:t>
            </w:r>
            <w:r w:rsidR="00E926A0" w:rsidRPr="0058110A">
              <w:rPr>
                <w:b/>
              </w:rPr>
              <w:t xml:space="preserve"> treasury and debt structure processes </w:t>
            </w:r>
            <w:r w:rsidR="00E926A0" w:rsidRPr="00E926A0">
              <w:t xml:space="preserve">with </w:t>
            </w:r>
            <w:r>
              <w:t>Australian</w:t>
            </w:r>
            <w:r w:rsidR="00E926A0" w:rsidRPr="00E926A0">
              <w:t xml:space="preserve"> parent</w:t>
            </w:r>
            <w:r>
              <w:t xml:space="preserve"> company which reduced average debt ratios in each region significantly</w:t>
            </w:r>
            <w:r w:rsidR="00E926A0" w:rsidRPr="00E926A0">
              <w:t>.</w:t>
            </w:r>
            <w:r w:rsidR="00E926A0">
              <w:t xml:space="preserve">  These included processes to use intercompany zero-based debt arrangements and world-wide bank account sweeps.  </w:t>
            </w:r>
          </w:p>
          <w:p w:rsidR="00E926A0" w:rsidRDefault="00E926A0" w:rsidP="00F65C5D">
            <w:pPr>
              <w:pStyle w:val="bulletedlist"/>
              <w:numPr>
                <w:ilvl w:val="0"/>
                <w:numId w:val="26"/>
              </w:numPr>
            </w:pPr>
            <w:r>
              <w:t xml:space="preserve">Redesigned and </w:t>
            </w:r>
            <w:r w:rsidRPr="0058110A">
              <w:rPr>
                <w:b/>
              </w:rPr>
              <w:t>reorganized the IT department from a user dependent and reactionary culture to a customer engaged</w:t>
            </w:r>
            <w:r w:rsidR="008E5675" w:rsidRPr="0058110A">
              <w:rPr>
                <w:b/>
              </w:rPr>
              <w:t xml:space="preserve"> and proactive strategic one</w:t>
            </w:r>
            <w:r w:rsidRPr="0058110A">
              <w:rPr>
                <w:b/>
              </w:rPr>
              <w:t>.</w:t>
            </w:r>
            <w:r>
              <w:t xml:space="preserve">  The new structure requires the IT staff to engage with all functional areas of the company to ensure the technology roadmap aligns with their strategic initiatives.    This new design requires IT participation in strategic planning and senior management meetings. </w:t>
            </w:r>
          </w:p>
          <w:p w:rsidR="00E926A0" w:rsidRDefault="00E926A0" w:rsidP="00F65C5D">
            <w:pPr>
              <w:pStyle w:val="bulletedlist"/>
              <w:numPr>
                <w:ilvl w:val="0"/>
                <w:numId w:val="26"/>
              </w:numPr>
            </w:pPr>
            <w:r>
              <w:t xml:space="preserve">Key member in the </w:t>
            </w:r>
            <w:r w:rsidR="0058110A">
              <w:rPr>
                <w:b/>
                <w:noProof/>
              </w:rPr>
              <w:t>redesign</w:t>
            </w:r>
            <w:r w:rsidRPr="0086167E">
              <w:rPr>
                <w:b/>
              </w:rPr>
              <w:t xml:space="preserve"> of the company’s medical benefit plan</w:t>
            </w:r>
            <w:r>
              <w:t>.  Th</w:t>
            </w:r>
            <w:r w:rsidR="0058110A">
              <w:t xml:space="preserve">is </w:t>
            </w:r>
            <w:r>
              <w:t>changed the fully- insured plan to a self-funded plan with ceiling protection.  This new plan reduced the annual benefit expense by over $</w:t>
            </w:r>
            <w:r w:rsidR="0058110A">
              <w:t>4</w:t>
            </w:r>
            <w:r>
              <w:t xml:space="preserve"> million</w:t>
            </w:r>
            <w:r w:rsidR="0058110A">
              <w:t xml:space="preserve"> for the group</w:t>
            </w:r>
            <w:r>
              <w:t>.</w:t>
            </w:r>
          </w:p>
          <w:p w:rsidR="00E926A0" w:rsidRDefault="00E926A0" w:rsidP="00F65C5D">
            <w:pPr>
              <w:pStyle w:val="bulletedlist"/>
              <w:numPr>
                <w:ilvl w:val="0"/>
                <w:numId w:val="26"/>
              </w:numPr>
            </w:pPr>
            <w:r w:rsidRPr="0086167E">
              <w:rPr>
                <w:b/>
              </w:rPr>
              <w:t xml:space="preserve">Initiated leadership training programs for IT and Accounting </w:t>
            </w:r>
            <w:r w:rsidR="0058110A">
              <w:rPr>
                <w:b/>
              </w:rPr>
              <w:t>employees</w:t>
            </w:r>
            <w:r>
              <w:t xml:space="preserve">.  The two departments had several long-term employees </w:t>
            </w:r>
            <w:r w:rsidR="0058110A">
              <w:t xml:space="preserve">who very technically focused but </w:t>
            </w:r>
            <w:r>
              <w:t xml:space="preserve">were not engaged in change management.  The growth of the company into manufacturing and technology </w:t>
            </w:r>
            <w:r w:rsidR="0058110A">
              <w:t xml:space="preserve">depended on proactive </w:t>
            </w:r>
            <w:r>
              <w:t>leaders and innovators</w:t>
            </w:r>
            <w:r w:rsidR="0058110A">
              <w:t xml:space="preserve"> who perceived change as a strategic necessity</w:t>
            </w:r>
            <w:r>
              <w:t xml:space="preserve">.  The training classes </w:t>
            </w:r>
            <w:r w:rsidR="0058110A">
              <w:t xml:space="preserve">aimed to transition key </w:t>
            </w:r>
            <w:r>
              <w:t>managers from technical providers to</w:t>
            </w:r>
            <w:r w:rsidR="0058110A">
              <w:t xml:space="preserve"> proactive</w:t>
            </w:r>
            <w:r>
              <w:t xml:space="preserve"> leaders </w:t>
            </w:r>
            <w:r w:rsidR="0058110A">
              <w:t xml:space="preserve">instrumental to </w:t>
            </w:r>
            <w:r>
              <w:t xml:space="preserve">developing solutions to the company’s roadmap.   </w:t>
            </w:r>
          </w:p>
          <w:p w:rsidR="00C11D5D" w:rsidRDefault="00C11D5D" w:rsidP="00C11D5D">
            <w:pPr>
              <w:pStyle w:val="bulletedlist"/>
              <w:numPr>
                <w:ilvl w:val="0"/>
                <w:numId w:val="0"/>
              </w:numPr>
              <w:ind w:left="648"/>
            </w:pPr>
          </w:p>
          <w:p w:rsidR="003F15CF" w:rsidRPr="00146951" w:rsidRDefault="003F15CF" w:rsidP="003F15CF">
            <w:pPr>
              <w:jc w:val="center"/>
              <w:rPr>
                <w:rFonts w:ascii="Arial" w:hAnsi="Arial"/>
                <w:b/>
                <w:sz w:val="32"/>
                <w:szCs w:val="32"/>
              </w:rPr>
            </w:pPr>
            <w:r>
              <w:rPr>
                <w:rFonts w:ascii="Arial" w:hAnsi="Arial"/>
                <w:b/>
                <w:sz w:val="32"/>
                <w:szCs w:val="32"/>
              </w:rPr>
              <w:t xml:space="preserve">Try our Resume </w:t>
            </w:r>
            <w:proofErr w:type="gramStart"/>
            <w:r>
              <w:rPr>
                <w:rFonts w:ascii="Arial" w:hAnsi="Arial"/>
                <w:b/>
                <w:sz w:val="32"/>
                <w:szCs w:val="32"/>
              </w:rPr>
              <w:t>builder :</w:t>
            </w:r>
            <w:proofErr w:type="gramEnd"/>
            <w:r>
              <w:rPr>
                <w:rFonts w:ascii="Arial" w:hAnsi="Arial"/>
                <w:b/>
                <w:sz w:val="32"/>
                <w:szCs w:val="32"/>
              </w:rPr>
              <w:t xml:space="preserve"> </w:t>
            </w:r>
            <w:hyperlink r:id="rId10" w:history="1">
              <w:r w:rsidRPr="00146951">
                <w:rPr>
                  <w:rStyle w:val="Hyperlink"/>
                  <w:rFonts w:ascii="Arial" w:hAnsi="Arial"/>
                  <w:b/>
                  <w:sz w:val="32"/>
                  <w:szCs w:val="32"/>
                </w:rPr>
                <w:t>12 designs for $2,95</w:t>
              </w:r>
            </w:hyperlink>
          </w:p>
          <w:p w:rsidR="00E926A0" w:rsidRDefault="00E926A0" w:rsidP="00911EC0">
            <w:pPr>
              <w:pStyle w:val="bulletedlist"/>
              <w:numPr>
                <w:ilvl w:val="0"/>
                <w:numId w:val="0"/>
              </w:numPr>
              <w:ind w:left="648"/>
            </w:pPr>
          </w:p>
          <w:p w:rsidR="00911EC0" w:rsidRDefault="00911EC0" w:rsidP="003F15CF">
            <w:pPr>
              <w:pStyle w:val="bulletedlist"/>
              <w:numPr>
                <w:ilvl w:val="0"/>
                <w:numId w:val="0"/>
              </w:numPr>
            </w:pPr>
          </w:p>
          <w:p w:rsidR="00911EC0" w:rsidRDefault="00911EC0" w:rsidP="00911EC0">
            <w:pPr>
              <w:pStyle w:val="bulletedlist"/>
              <w:numPr>
                <w:ilvl w:val="0"/>
                <w:numId w:val="0"/>
              </w:numPr>
              <w:ind w:left="576" w:hanging="288"/>
            </w:pPr>
          </w:p>
          <w:p w:rsidR="00911EC0" w:rsidRPr="000B7FDD" w:rsidRDefault="00911EC0" w:rsidP="00911EC0">
            <w:pPr>
              <w:pStyle w:val="bulletedlist"/>
              <w:numPr>
                <w:ilvl w:val="0"/>
                <w:numId w:val="0"/>
              </w:numPr>
              <w:ind w:left="576" w:hanging="288"/>
            </w:pPr>
          </w:p>
        </w:tc>
      </w:tr>
      <w:tr w:rsidR="00E926A0" w:rsidRPr="000B7FDD" w:rsidTr="00C82D5D">
        <w:trPr>
          <w:trHeight w:val="162"/>
        </w:trPr>
        <w:tc>
          <w:tcPr>
            <w:tcW w:w="236" w:type="dxa"/>
            <w:vMerge/>
            <w:shd w:val="clear" w:color="auto" w:fill="auto"/>
          </w:tcPr>
          <w:p w:rsidR="00E926A0" w:rsidRPr="000B7FDD" w:rsidRDefault="00E926A0" w:rsidP="00F65C5D"/>
        </w:tc>
        <w:tc>
          <w:tcPr>
            <w:tcW w:w="9664" w:type="dxa"/>
            <w:gridSpan w:val="5"/>
            <w:shd w:val="clear" w:color="auto" w:fill="auto"/>
          </w:tcPr>
          <w:p w:rsidR="00C11D5D" w:rsidRDefault="00C11D5D" w:rsidP="00F65C5D"/>
          <w:p w:rsidR="00D6612D" w:rsidRDefault="00D6612D" w:rsidP="00F65C5D">
            <w:pPr>
              <w:rPr>
                <w:b/>
                <w:sz w:val="18"/>
                <w:szCs w:val="18"/>
              </w:rPr>
            </w:pPr>
          </w:p>
          <w:p w:rsidR="00D6612D" w:rsidRDefault="00D6612D" w:rsidP="00F65C5D">
            <w:pPr>
              <w:rPr>
                <w:b/>
                <w:sz w:val="18"/>
                <w:szCs w:val="18"/>
              </w:rPr>
            </w:pPr>
          </w:p>
          <w:p w:rsidR="00D6612D" w:rsidRDefault="00D6612D" w:rsidP="00F65C5D">
            <w:pPr>
              <w:rPr>
                <w:b/>
                <w:sz w:val="18"/>
                <w:szCs w:val="18"/>
              </w:rPr>
            </w:pPr>
          </w:p>
          <w:p w:rsidR="00D6612D" w:rsidRDefault="00D6612D" w:rsidP="00F65C5D">
            <w:pPr>
              <w:rPr>
                <w:b/>
                <w:sz w:val="18"/>
                <w:szCs w:val="18"/>
              </w:rPr>
            </w:pPr>
          </w:p>
          <w:p w:rsidR="00E926A0" w:rsidRPr="000B7FDD" w:rsidRDefault="00C11D5D" w:rsidP="00F65C5D">
            <w:pPr>
              <w:rPr>
                <w:b/>
                <w:sz w:val="19"/>
                <w:szCs w:val="19"/>
              </w:rPr>
            </w:pPr>
            <w:r>
              <w:rPr>
                <w:b/>
                <w:sz w:val="18"/>
                <w:szCs w:val="18"/>
              </w:rPr>
              <w:t xml:space="preserve">Previous Employee History                                                                    </w:t>
            </w:r>
            <w:r w:rsidR="00C82D5D">
              <w:t>John Smith</w:t>
            </w:r>
            <w:r>
              <w:t xml:space="preserve"> page 3 of 4</w:t>
            </w:r>
            <w:r w:rsidR="00E926A0" w:rsidRPr="00442847">
              <w:t xml:space="preserve"> </w:t>
            </w:r>
            <w:r w:rsidR="00E926A0" w:rsidRPr="000B7FDD">
              <w:rPr>
                <w:b/>
                <w:sz w:val="19"/>
                <w:szCs w:val="19"/>
              </w:rPr>
              <w:t xml:space="preserve">             </w:t>
            </w:r>
          </w:p>
          <w:p w:rsidR="00E926A0" w:rsidRDefault="002221FE" w:rsidP="00F65C5D">
            <w:pPr>
              <w:rPr>
                <w:sz w:val="8"/>
              </w:rPr>
            </w:pPr>
            <w:r>
              <w:rPr>
                <w:sz w:val="8"/>
              </w:rPr>
              <w:pict>
                <v:rect id="_x0000_i1026" style="width:0;height:1.5pt" o:hralign="center" o:hrstd="t" o:hr="t" fillcolor="#a0a0a0" stroked="f"/>
              </w:pict>
            </w:r>
          </w:p>
          <w:p w:rsidR="00E926A0" w:rsidRPr="000B7FDD" w:rsidRDefault="00E926A0" w:rsidP="00F65C5D">
            <w:pPr>
              <w:rPr>
                <w:b/>
              </w:rPr>
            </w:pPr>
          </w:p>
        </w:tc>
        <w:tc>
          <w:tcPr>
            <w:tcW w:w="236" w:type="dxa"/>
            <w:shd w:val="clear" w:color="auto" w:fill="auto"/>
            <w:vAlign w:val="bottom"/>
          </w:tcPr>
          <w:p w:rsidR="00E926A0" w:rsidRPr="000B7FDD" w:rsidRDefault="00E926A0" w:rsidP="00F65C5D">
            <w:pPr>
              <w:pStyle w:val="Dates"/>
            </w:pPr>
          </w:p>
        </w:tc>
      </w:tr>
      <w:tr w:rsidR="00E926A0" w:rsidRPr="000B7FDD" w:rsidTr="00C82D5D">
        <w:trPr>
          <w:gridAfter w:val="2"/>
          <w:wAfter w:w="380" w:type="dxa"/>
          <w:trHeight w:val="68"/>
        </w:trPr>
        <w:tc>
          <w:tcPr>
            <w:tcW w:w="236" w:type="dxa"/>
            <w:vMerge/>
            <w:shd w:val="clear" w:color="auto" w:fill="auto"/>
          </w:tcPr>
          <w:p w:rsidR="00E926A0" w:rsidRPr="000B7FDD" w:rsidRDefault="00E926A0" w:rsidP="00F65C5D"/>
        </w:tc>
        <w:tc>
          <w:tcPr>
            <w:tcW w:w="9520" w:type="dxa"/>
            <w:gridSpan w:val="4"/>
            <w:shd w:val="clear" w:color="auto" w:fill="auto"/>
          </w:tcPr>
          <w:p w:rsidR="00E926A0" w:rsidRPr="000B7FDD" w:rsidRDefault="00E926A0" w:rsidP="00F65C5D">
            <w:pPr>
              <w:rPr>
                <w:b/>
                <w:sz w:val="18"/>
              </w:rPr>
            </w:pPr>
            <w:r w:rsidRPr="000B7FDD">
              <w:rPr>
                <w:b/>
                <w:sz w:val="18"/>
              </w:rPr>
              <w:t>Director of Finance</w:t>
            </w:r>
          </w:p>
          <w:p w:rsidR="00E926A0" w:rsidRDefault="00D6612D" w:rsidP="00F65C5D">
            <w:pPr>
              <w:rPr>
                <w:b/>
                <w:sz w:val="18"/>
              </w:rPr>
            </w:pPr>
            <w:r>
              <w:rPr>
                <w:b/>
                <w:sz w:val="18"/>
              </w:rPr>
              <w:t xml:space="preserve">Unlimited </w:t>
            </w:r>
            <w:r w:rsidR="00E926A0" w:rsidRPr="000B7FDD">
              <w:rPr>
                <w:b/>
                <w:sz w:val="18"/>
              </w:rPr>
              <w:t>Network Communications, Inc</w:t>
            </w:r>
            <w:r w:rsidR="00E926A0" w:rsidRPr="00A635D8">
              <w:rPr>
                <w:sz w:val="18"/>
              </w:rPr>
              <w:t>, Richard</w:t>
            </w:r>
            <w:r w:rsidR="00E926A0">
              <w:rPr>
                <w:sz w:val="18"/>
              </w:rPr>
              <w:t>son</w:t>
            </w:r>
            <w:r w:rsidR="00E926A0" w:rsidRPr="00A635D8">
              <w:rPr>
                <w:sz w:val="18"/>
              </w:rPr>
              <w:t>, Texas</w:t>
            </w:r>
          </w:p>
          <w:p w:rsidR="00E926A0" w:rsidRDefault="00E926A0" w:rsidP="00F65C5D">
            <w:pPr>
              <w:rPr>
                <w:b/>
                <w:sz w:val="18"/>
              </w:rPr>
            </w:pPr>
            <w:r>
              <w:rPr>
                <w:b/>
                <w:sz w:val="18"/>
              </w:rPr>
              <w:t>April</w:t>
            </w:r>
            <w:r w:rsidRPr="000B7FDD">
              <w:rPr>
                <w:b/>
                <w:sz w:val="18"/>
              </w:rPr>
              <w:t xml:space="preserve"> 1999 – October 2000</w:t>
            </w:r>
          </w:p>
          <w:p w:rsidR="00694549" w:rsidRPr="000B7FDD" w:rsidRDefault="00694549" w:rsidP="00F65C5D">
            <w:pPr>
              <w:rPr>
                <w:sz w:val="20"/>
              </w:rPr>
            </w:pPr>
          </w:p>
          <w:p w:rsidR="00E926A0" w:rsidRPr="000B7FDD" w:rsidRDefault="00E926A0" w:rsidP="00F65C5D">
            <w:pPr>
              <w:pStyle w:val="bulletedlist"/>
              <w:numPr>
                <w:ilvl w:val="0"/>
                <w:numId w:val="26"/>
              </w:numPr>
            </w:pPr>
            <w:r w:rsidRPr="000B7FDD">
              <w:t xml:space="preserve">They design and manufacture </w:t>
            </w:r>
            <w:r w:rsidRPr="00C705FB">
              <w:rPr>
                <w:b/>
              </w:rPr>
              <w:t>fiber-optic transmission &amp; broadband switching equipment</w:t>
            </w:r>
            <w:r w:rsidRPr="000B7FDD">
              <w:t>.</w:t>
            </w:r>
            <w:r>
              <w:t xml:space="preserve"> </w:t>
            </w:r>
            <w:r w:rsidRPr="000B7FDD">
              <w:t>Their annual sales were $</w:t>
            </w:r>
            <w:r w:rsidR="00D6612D">
              <w:t>3</w:t>
            </w:r>
            <w:r w:rsidRPr="000B7FDD">
              <w:t xml:space="preserve"> Billion in 2000</w:t>
            </w:r>
            <w:r>
              <w:t xml:space="preserve">.  The service division </w:t>
            </w:r>
            <w:r w:rsidR="00D6612D">
              <w:t>accounted for</w:t>
            </w:r>
            <w:r>
              <w:t xml:space="preserve"> $350 million of the total annual </w:t>
            </w:r>
            <w:r w:rsidR="00D6612D">
              <w:t xml:space="preserve">company </w:t>
            </w:r>
            <w:r>
              <w:t>revenue</w:t>
            </w:r>
            <w:r w:rsidR="00D6612D">
              <w:t>.</w:t>
            </w:r>
          </w:p>
          <w:p w:rsidR="00D6612D" w:rsidRDefault="00D6612D" w:rsidP="00F65C5D">
            <w:pPr>
              <w:pStyle w:val="bulletedlist"/>
              <w:numPr>
                <w:ilvl w:val="0"/>
                <w:numId w:val="26"/>
              </w:numPr>
            </w:pPr>
            <w:r>
              <w:t xml:space="preserve">Responsible for </w:t>
            </w:r>
            <w:r w:rsidRPr="00C705FB">
              <w:rPr>
                <w:b/>
              </w:rPr>
              <w:t>entire financial management suite</w:t>
            </w:r>
            <w:r>
              <w:t xml:space="preserve"> of the services division. </w:t>
            </w:r>
            <w:r w:rsidR="00E926A0" w:rsidRPr="000B7FDD">
              <w:t xml:space="preserve">The service division ran as a separate company with their own administration, accounting, IT and HR staff. </w:t>
            </w:r>
            <w:r w:rsidR="00E926A0">
              <w:t xml:space="preserve"> </w:t>
            </w:r>
          </w:p>
          <w:p w:rsidR="00E926A0" w:rsidRDefault="00E926A0" w:rsidP="00F65C5D">
            <w:pPr>
              <w:pStyle w:val="bulletedlist"/>
              <w:numPr>
                <w:ilvl w:val="0"/>
                <w:numId w:val="26"/>
              </w:numPr>
            </w:pPr>
            <w:r w:rsidRPr="00C705FB">
              <w:rPr>
                <w:b/>
              </w:rPr>
              <w:t>Developed the accounting and IT functions</w:t>
            </w:r>
            <w:r w:rsidRPr="000B7FDD">
              <w:t xml:space="preserve"> </w:t>
            </w:r>
            <w:r>
              <w:t>and all the corresponding IT systems</w:t>
            </w:r>
            <w:r w:rsidR="00D6612D">
              <w:t xml:space="preserve"> and architecture</w:t>
            </w:r>
            <w:r>
              <w:t xml:space="preserve"> used in the reporting</w:t>
            </w:r>
            <w:r w:rsidR="00D6612D">
              <w:t xml:space="preserve"> function channels</w:t>
            </w:r>
            <w:r>
              <w:t xml:space="preserve"> to Japan and the parent company. </w:t>
            </w:r>
          </w:p>
          <w:p w:rsidR="00E926A0" w:rsidRDefault="00D6612D" w:rsidP="00F65C5D">
            <w:pPr>
              <w:pStyle w:val="bulletedlist"/>
              <w:numPr>
                <w:ilvl w:val="0"/>
                <w:numId w:val="26"/>
              </w:numPr>
            </w:pPr>
            <w:r w:rsidRPr="00C705FB">
              <w:rPr>
                <w:b/>
              </w:rPr>
              <w:t>Reduced unrecorded and unbilled hours</w:t>
            </w:r>
            <w:r>
              <w:t xml:space="preserve"> from $15 million to $2 million within 12 months. This was done by implementing </w:t>
            </w:r>
            <w:r w:rsidR="00E926A0" w:rsidRPr="000B7FDD">
              <w:t xml:space="preserve">service work controls and </w:t>
            </w:r>
            <w:proofErr w:type="gramStart"/>
            <w:r w:rsidR="00E926A0">
              <w:t>work-</w:t>
            </w:r>
            <w:r w:rsidR="00E926A0" w:rsidRPr="000B7FDD">
              <w:t>flow</w:t>
            </w:r>
            <w:proofErr w:type="gramEnd"/>
            <w:r w:rsidR="00E926A0" w:rsidRPr="000B7FDD">
              <w:t xml:space="preserve"> processes to ensure that accurate recording of service work performed was billed to </w:t>
            </w:r>
            <w:r w:rsidR="00E926A0">
              <w:t xml:space="preserve">the </w:t>
            </w:r>
            <w:r w:rsidR="00E926A0" w:rsidRPr="000B7FDD">
              <w:t>customer</w:t>
            </w:r>
            <w:r w:rsidR="00E926A0">
              <w:t xml:space="preserve">.  </w:t>
            </w:r>
          </w:p>
          <w:p w:rsidR="00694549" w:rsidRDefault="00694549" w:rsidP="00694549">
            <w:pPr>
              <w:pStyle w:val="bulletedlist"/>
              <w:numPr>
                <w:ilvl w:val="0"/>
                <w:numId w:val="0"/>
              </w:numPr>
              <w:ind w:left="648"/>
            </w:pPr>
          </w:p>
          <w:p w:rsidR="00E926A0" w:rsidRPr="000B7FDD" w:rsidRDefault="002221FE" w:rsidP="00F65C5D">
            <w:pPr>
              <w:rPr>
                <w:sz w:val="8"/>
              </w:rPr>
            </w:pPr>
            <w:r>
              <w:rPr>
                <w:sz w:val="8"/>
              </w:rPr>
              <w:pict>
                <v:rect id="_x0000_i1027" style="width:0;height:1.5pt" o:hralign="center" o:hrstd="t" o:hr="t" fillcolor="#a0a0a0" stroked="f"/>
              </w:pict>
            </w:r>
          </w:p>
          <w:p w:rsidR="00E926A0" w:rsidRPr="000B7FDD" w:rsidRDefault="00E926A0" w:rsidP="00F65C5D">
            <w:pPr>
              <w:rPr>
                <w:b/>
                <w:sz w:val="18"/>
              </w:rPr>
            </w:pPr>
            <w:r w:rsidRPr="000B7FDD">
              <w:rPr>
                <w:b/>
                <w:sz w:val="18"/>
              </w:rPr>
              <w:t>Director of Finance</w:t>
            </w:r>
          </w:p>
          <w:p w:rsidR="00E926A0" w:rsidRPr="000B7FDD" w:rsidRDefault="001F124A" w:rsidP="00F65C5D">
            <w:pPr>
              <w:rPr>
                <w:sz w:val="18"/>
              </w:rPr>
            </w:pPr>
            <w:r>
              <w:rPr>
                <w:b/>
                <w:sz w:val="18"/>
              </w:rPr>
              <w:t>Lion</w:t>
            </w:r>
            <w:r w:rsidR="00E926A0" w:rsidRPr="000B7FDD">
              <w:rPr>
                <w:b/>
                <w:sz w:val="18"/>
              </w:rPr>
              <w:t xml:space="preserve"> Brands, Inc., </w:t>
            </w:r>
            <w:r w:rsidR="00E926A0" w:rsidRPr="000B7FDD">
              <w:rPr>
                <w:sz w:val="18"/>
              </w:rPr>
              <w:t>Dallas, Texas</w:t>
            </w:r>
          </w:p>
          <w:p w:rsidR="00E926A0" w:rsidRDefault="00E926A0" w:rsidP="001F124A">
            <w:pPr>
              <w:rPr>
                <w:b/>
                <w:sz w:val="18"/>
              </w:rPr>
            </w:pPr>
            <w:r>
              <w:rPr>
                <w:b/>
                <w:sz w:val="18"/>
              </w:rPr>
              <w:t>December 1997 – April</w:t>
            </w:r>
            <w:r w:rsidRPr="000B7FDD">
              <w:rPr>
                <w:b/>
                <w:sz w:val="18"/>
              </w:rPr>
              <w:t xml:space="preserve"> 1999</w:t>
            </w:r>
          </w:p>
          <w:p w:rsidR="00694549" w:rsidRPr="001F124A" w:rsidRDefault="00694549" w:rsidP="001F124A">
            <w:pPr>
              <w:rPr>
                <w:b/>
                <w:sz w:val="18"/>
              </w:rPr>
            </w:pPr>
          </w:p>
          <w:p w:rsidR="00E926A0" w:rsidRDefault="00E926A0" w:rsidP="00F65C5D">
            <w:pPr>
              <w:pStyle w:val="bulletedlist"/>
              <w:numPr>
                <w:ilvl w:val="0"/>
                <w:numId w:val="26"/>
              </w:numPr>
            </w:pPr>
            <w:r>
              <w:t>A $1</w:t>
            </w:r>
            <w:r w:rsidR="001F124A">
              <w:t>8</w:t>
            </w:r>
            <w:r>
              <w:t xml:space="preserve">0 million </w:t>
            </w:r>
            <w:r w:rsidRPr="00C705FB">
              <w:rPr>
                <w:b/>
              </w:rPr>
              <w:t>manufacturer of sports trading cards</w:t>
            </w:r>
            <w:r>
              <w:t xml:space="preserve">.  </w:t>
            </w:r>
          </w:p>
          <w:p w:rsidR="00E926A0" w:rsidRDefault="001F124A" w:rsidP="00F65C5D">
            <w:pPr>
              <w:pStyle w:val="bulletedlist"/>
              <w:numPr>
                <w:ilvl w:val="0"/>
                <w:numId w:val="26"/>
              </w:numPr>
            </w:pPr>
            <w:r>
              <w:t xml:space="preserve">An interim Financial Director role was created to </w:t>
            </w:r>
            <w:r w:rsidRPr="00C705FB">
              <w:rPr>
                <w:b/>
              </w:rPr>
              <w:t>facilitate the sale of the company</w:t>
            </w:r>
            <w:r>
              <w:t xml:space="preserve"> to a competitor after it went bankrupt. </w:t>
            </w:r>
            <w:r w:rsidR="00E926A0">
              <w:t xml:space="preserve">Worked with the company’s bank group to determine cash requirements </w:t>
            </w:r>
            <w:r>
              <w:t xml:space="preserve">and </w:t>
            </w:r>
            <w:r w:rsidR="00E926A0">
              <w:t>helped secure a Debtor in Possession line of credit of $</w:t>
            </w:r>
            <w:r>
              <w:t>5</w:t>
            </w:r>
            <w:r w:rsidR="00E926A0">
              <w:t>0 million which supplied capital during the transition from bankruptcy through the sale of the company.</w:t>
            </w:r>
          </w:p>
          <w:p w:rsidR="00694549" w:rsidRDefault="00694549" w:rsidP="00694549">
            <w:pPr>
              <w:pStyle w:val="bulletedlist"/>
              <w:numPr>
                <w:ilvl w:val="0"/>
                <w:numId w:val="0"/>
              </w:numPr>
              <w:ind w:left="648"/>
            </w:pPr>
          </w:p>
          <w:p w:rsidR="00E926A0" w:rsidRPr="000B7FDD" w:rsidRDefault="002221FE" w:rsidP="00F65C5D">
            <w:r>
              <w:rPr>
                <w:sz w:val="8"/>
              </w:rPr>
              <w:pict>
                <v:rect id="_x0000_i1028" style="width:0;height:1.5pt" o:hralign="center" o:hrstd="t" o:hr="t" fillcolor="#a0a0a0" stroked="f"/>
              </w:pict>
            </w:r>
          </w:p>
          <w:p w:rsidR="00E926A0" w:rsidRPr="000B7FDD" w:rsidRDefault="00E926A0" w:rsidP="00F65C5D">
            <w:pPr>
              <w:rPr>
                <w:b/>
                <w:sz w:val="18"/>
              </w:rPr>
            </w:pPr>
            <w:r w:rsidRPr="000B7FDD">
              <w:rPr>
                <w:b/>
                <w:sz w:val="18"/>
              </w:rPr>
              <w:t>Financial Planning &amp; Analysis Manager</w:t>
            </w:r>
          </w:p>
          <w:p w:rsidR="00E926A0" w:rsidRPr="000B7FDD" w:rsidRDefault="00E926A0" w:rsidP="00F65C5D">
            <w:r w:rsidRPr="000B7FDD">
              <w:rPr>
                <w:b/>
                <w:sz w:val="18"/>
              </w:rPr>
              <w:t>Auto</w:t>
            </w:r>
            <w:r w:rsidR="001F124A">
              <w:rPr>
                <w:b/>
                <w:sz w:val="18"/>
              </w:rPr>
              <w:t>zone Components</w:t>
            </w:r>
            <w:r w:rsidRPr="000B7FDD">
              <w:rPr>
                <w:b/>
                <w:sz w:val="18"/>
              </w:rPr>
              <w:t xml:space="preserve">, Inc., </w:t>
            </w:r>
            <w:r w:rsidRPr="000B7FDD">
              <w:rPr>
                <w:sz w:val="18"/>
              </w:rPr>
              <w:t>Dallas, Texas</w:t>
            </w:r>
          </w:p>
          <w:p w:rsidR="00E926A0" w:rsidRDefault="00E926A0" w:rsidP="00F65C5D">
            <w:pPr>
              <w:rPr>
                <w:b/>
                <w:sz w:val="18"/>
              </w:rPr>
            </w:pPr>
            <w:r w:rsidRPr="000B7FDD">
              <w:rPr>
                <w:b/>
                <w:sz w:val="18"/>
              </w:rPr>
              <w:t>December 1988 – December 1997</w:t>
            </w:r>
          </w:p>
          <w:p w:rsidR="00E926A0" w:rsidRPr="000B7FDD" w:rsidRDefault="00E926A0" w:rsidP="00F65C5D">
            <w:pPr>
              <w:rPr>
                <w:b/>
                <w:sz w:val="18"/>
              </w:rPr>
            </w:pPr>
          </w:p>
          <w:p w:rsidR="00E926A0" w:rsidRDefault="001F124A" w:rsidP="00F65C5D">
            <w:pPr>
              <w:pStyle w:val="bulletedlist"/>
              <w:numPr>
                <w:ilvl w:val="0"/>
                <w:numId w:val="26"/>
              </w:numPr>
            </w:pPr>
            <w:r>
              <w:t xml:space="preserve">A </w:t>
            </w:r>
            <w:r w:rsidR="00E926A0">
              <w:t xml:space="preserve">chain of </w:t>
            </w:r>
            <w:r w:rsidR="00E926A0" w:rsidRPr="00C705FB">
              <w:rPr>
                <w:b/>
              </w:rPr>
              <w:t>3</w:t>
            </w:r>
            <w:r w:rsidRPr="00C705FB">
              <w:rPr>
                <w:b/>
              </w:rPr>
              <w:t>00</w:t>
            </w:r>
            <w:r w:rsidR="00E926A0" w:rsidRPr="00C705FB">
              <w:rPr>
                <w:b/>
              </w:rPr>
              <w:t xml:space="preserve"> retail auto parts stores </w:t>
            </w:r>
            <w:r w:rsidR="00E926A0">
              <w:t>with annual sales of $2</w:t>
            </w:r>
            <w:r>
              <w:t>50</w:t>
            </w:r>
            <w:r w:rsidR="00E926A0">
              <w:t xml:space="preserve"> million </w:t>
            </w:r>
            <w:r>
              <w:t xml:space="preserve">in 1988 </w:t>
            </w:r>
            <w:r w:rsidR="00E926A0">
              <w:t xml:space="preserve">and by 1997 they had </w:t>
            </w:r>
            <w:r w:rsidR="00E926A0" w:rsidRPr="000B7FDD">
              <w:t>550 auto parts stores with annual sales of over $500 million.</w:t>
            </w:r>
            <w:r w:rsidR="00E926A0">
              <w:t xml:space="preserve">  This growth consisted of building </w:t>
            </w:r>
            <w:r>
              <w:t>1</w:t>
            </w:r>
            <w:r w:rsidR="00E926A0">
              <w:t xml:space="preserve">50 new stores and closing 50 underperforming stores.  The company was sold to a competitor, </w:t>
            </w:r>
            <w:r>
              <w:t xml:space="preserve">Auto Parts International </w:t>
            </w:r>
            <w:r w:rsidR="00E926A0">
              <w:t xml:space="preserve">1998. </w:t>
            </w:r>
          </w:p>
          <w:p w:rsidR="00E926A0" w:rsidRDefault="001F124A" w:rsidP="00F65C5D">
            <w:pPr>
              <w:pStyle w:val="bulletedlist"/>
              <w:numPr>
                <w:ilvl w:val="0"/>
                <w:numId w:val="26"/>
              </w:numPr>
            </w:pPr>
            <w:r>
              <w:rPr>
                <w:b/>
              </w:rPr>
              <w:t xml:space="preserve">Commenced in the role of a </w:t>
            </w:r>
            <w:r w:rsidR="00E926A0" w:rsidRPr="0086167E">
              <w:rPr>
                <w:b/>
              </w:rPr>
              <w:t>Financial Analyst (after a leverage buyout</w:t>
            </w:r>
            <w:r w:rsidR="00E926A0">
              <w:t xml:space="preserve"> from South</w:t>
            </w:r>
            <w:r>
              <w:t>stage</w:t>
            </w:r>
            <w:r w:rsidR="00E926A0">
              <w:t xml:space="preserve"> Corporation)</w:t>
            </w:r>
            <w:r w:rsidR="00E926A0" w:rsidRPr="000B7FDD">
              <w:t xml:space="preserve"> </w:t>
            </w:r>
            <w:r>
              <w:t>with the purpose</w:t>
            </w:r>
            <w:r w:rsidR="00E926A0" w:rsidRPr="000B7FDD">
              <w:t xml:space="preserve"> to develop the </w:t>
            </w:r>
            <w:r w:rsidR="00E926A0">
              <w:t xml:space="preserve">Financial Planning </w:t>
            </w:r>
            <w:r w:rsidR="00E926A0" w:rsidRPr="000B7FDD">
              <w:t xml:space="preserve">department. </w:t>
            </w:r>
          </w:p>
          <w:p w:rsidR="00E926A0" w:rsidRDefault="001F124A" w:rsidP="00F65C5D">
            <w:pPr>
              <w:pStyle w:val="bulletedlist"/>
              <w:numPr>
                <w:ilvl w:val="0"/>
                <w:numId w:val="26"/>
              </w:numPr>
            </w:pPr>
            <w:r>
              <w:rPr>
                <w:b/>
              </w:rPr>
              <w:t xml:space="preserve">Spearheaded an </w:t>
            </w:r>
            <w:r w:rsidR="00E926A0" w:rsidRPr="0086167E">
              <w:rPr>
                <w:b/>
              </w:rPr>
              <w:t>application which modeled financial returns for proposed new store sites</w:t>
            </w:r>
            <w:r w:rsidR="00E926A0">
              <w:t xml:space="preserve">. This process was used as a decision tool in determining </w:t>
            </w:r>
            <w:r>
              <w:t>the viability of building new stores with proper SWOT analysis and substantiating metrics</w:t>
            </w:r>
            <w:r w:rsidR="00E926A0">
              <w:t xml:space="preserve">.  </w:t>
            </w:r>
            <w:r>
              <w:t>Previously</w:t>
            </w:r>
            <w:r w:rsidR="00E926A0">
              <w:t xml:space="preserve">, new sites were selected </w:t>
            </w:r>
            <w:r>
              <w:t>based</w:t>
            </w:r>
            <w:r w:rsidR="00E926A0">
              <w:t xml:space="preserve"> on demographics and traffic counts</w:t>
            </w:r>
            <w:r>
              <w:t xml:space="preserve"> as the main justification strategies</w:t>
            </w:r>
            <w:r w:rsidR="00E926A0">
              <w:t xml:space="preserve">.  As a result of the implementation of this process the percentage of first year failures </w:t>
            </w:r>
            <w:r>
              <w:t>decreased to zero percent.</w:t>
            </w:r>
          </w:p>
          <w:p w:rsidR="00E926A0" w:rsidRDefault="00E926A0" w:rsidP="00F65C5D">
            <w:pPr>
              <w:pStyle w:val="bulletedlist"/>
              <w:numPr>
                <w:ilvl w:val="0"/>
                <w:numId w:val="26"/>
              </w:numPr>
            </w:pPr>
            <w:r>
              <w:t xml:space="preserve">Designed and </w:t>
            </w:r>
            <w:r w:rsidRPr="0086167E">
              <w:rPr>
                <w:b/>
              </w:rPr>
              <w:t xml:space="preserve">wrote the acquisition models </w:t>
            </w:r>
            <w:r w:rsidRPr="00C11D5D">
              <w:t>which were</w:t>
            </w:r>
            <w:r w:rsidRPr="0086167E">
              <w:rPr>
                <w:b/>
              </w:rPr>
              <w:t xml:space="preserve"> </w:t>
            </w:r>
            <w:r w:rsidR="001F124A">
              <w:rPr>
                <w:b/>
              </w:rPr>
              <w:t xml:space="preserve">valuations, mergers </w:t>
            </w:r>
            <w:r w:rsidR="00C705FB">
              <w:rPr>
                <w:b/>
              </w:rPr>
              <w:t xml:space="preserve">and </w:t>
            </w:r>
            <w:r w:rsidR="001F124A">
              <w:rPr>
                <w:b/>
              </w:rPr>
              <w:t xml:space="preserve">acquisitions </w:t>
            </w:r>
            <w:r w:rsidR="00C705FB">
              <w:rPr>
                <w:b/>
              </w:rPr>
              <w:t xml:space="preserve">activities </w:t>
            </w:r>
            <w:r w:rsidR="00C705FB">
              <w:t xml:space="preserve">during the company expansion phase. </w:t>
            </w:r>
            <w:r>
              <w:t xml:space="preserve">These models included funding options and financial covenant generation.  </w:t>
            </w:r>
            <w:r w:rsidR="00C705FB">
              <w:t xml:space="preserve">Funding of </w:t>
            </w:r>
            <w:r>
              <w:t>$</w:t>
            </w:r>
            <w:r w:rsidR="00C705FB">
              <w:t>3</w:t>
            </w:r>
            <w:r>
              <w:t xml:space="preserve">50 million </w:t>
            </w:r>
            <w:r w:rsidR="00C705FB">
              <w:t xml:space="preserve">was secured due to these model applications for facilitating the </w:t>
            </w:r>
            <w:r>
              <w:t>purchase of a competitor.</w:t>
            </w:r>
          </w:p>
          <w:p w:rsidR="00C705FB" w:rsidRDefault="00C705FB" w:rsidP="00F65C5D">
            <w:pPr>
              <w:pStyle w:val="bulletedlist"/>
              <w:numPr>
                <w:ilvl w:val="0"/>
                <w:numId w:val="26"/>
              </w:numPr>
            </w:pPr>
            <w:r>
              <w:t>Designed</w:t>
            </w:r>
            <w:r w:rsidR="00E926A0" w:rsidRPr="00C705FB">
              <w:rPr>
                <w:b/>
              </w:rPr>
              <w:t xml:space="preserve"> </w:t>
            </w:r>
            <w:r w:rsidR="00E926A0" w:rsidRPr="00C11D5D">
              <w:t>long-term</w:t>
            </w:r>
            <w:r w:rsidR="00E926A0" w:rsidRPr="00C705FB">
              <w:rPr>
                <w:b/>
              </w:rPr>
              <w:t xml:space="preserve"> funding </w:t>
            </w:r>
            <w:proofErr w:type="gramStart"/>
            <w:r w:rsidR="00E926A0" w:rsidRPr="00C705FB">
              <w:rPr>
                <w:b/>
              </w:rPr>
              <w:t>models</w:t>
            </w:r>
            <w:r w:rsidR="00E926A0">
              <w:t xml:space="preserve"> which</w:t>
            </w:r>
            <w:proofErr w:type="gramEnd"/>
            <w:r w:rsidR="00E926A0">
              <w:t xml:space="preserve"> were used to obtain over $</w:t>
            </w:r>
            <w:r>
              <w:t>5</w:t>
            </w:r>
            <w:r w:rsidR="00E926A0">
              <w:t xml:space="preserve">00 million in bank financing. </w:t>
            </w:r>
          </w:p>
          <w:p w:rsidR="00C705FB" w:rsidRDefault="00E926A0" w:rsidP="00F65C5D">
            <w:pPr>
              <w:pStyle w:val="bulletedlist"/>
              <w:numPr>
                <w:ilvl w:val="0"/>
                <w:numId w:val="26"/>
              </w:numPr>
            </w:pPr>
            <w:r w:rsidRPr="00C11D5D">
              <w:t xml:space="preserve">Participated </w:t>
            </w:r>
            <w:r>
              <w:t xml:space="preserve">in a successful </w:t>
            </w:r>
            <w:r w:rsidRPr="00C705FB">
              <w:rPr>
                <w:b/>
              </w:rPr>
              <w:t>public debt offering</w:t>
            </w:r>
            <w:r>
              <w:t xml:space="preserve"> which raised $1</w:t>
            </w:r>
            <w:r w:rsidR="00C705FB">
              <w:t>6</w:t>
            </w:r>
            <w:r>
              <w:t xml:space="preserve">0 million in funds.   </w:t>
            </w:r>
          </w:p>
          <w:p w:rsidR="00E926A0" w:rsidRDefault="00C705FB" w:rsidP="00F65C5D">
            <w:pPr>
              <w:pStyle w:val="bulletedlist"/>
              <w:numPr>
                <w:ilvl w:val="0"/>
                <w:numId w:val="26"/>
              </w:numPr>
            </w:pPr>
            <w:r>
              <w:t xml:space="preserve">Instrumental in the quantification of ROI from advertising media expenditure by </w:t>
            </w:r>
            <w:r w:rsidR="00E926A0" w:rsidRPr="00C705FB">
              <w:rPr>
                <w:b/>
              </w:rPr>
              <w:t>develop</w:t>
            </w:r>
            <w:r>
              <w:rPr>
                <w:b/>
              </w:rPr>
              <w:t>ing</w:t>
            </w:r>
            <w:r w:rsidR="00E926A0" w:rsidRPr="00C705FB">
              <w:rPr>
                <w:b/>
              </w:rPr>
              <w:t xml:space="preserve"> a </w:t>
            </w:r>
            <w:r>
              <w:rPr>
                <w:b/>
              </w:rPr>
              <w:t xml:space="preserve">calculated ROI </w:t>
            </w:r>
            <w:r w:rsidR="00E926A0" w:rsidRPr="00C705FB">
              <w:rPr>
                <w:b/>
              </w:rPr>
              <w:t>system</w:t>
            </w:r>
            <w:r w:rsidR="00E926A0">
              <w:t>.  The information generated from this application was used in the decision to re</w:t>
            </w:r>
            <w:r>
              <w:t>distribute</w:t>
            </w:r>
            <w:r w:rsidR="00E926A0">
              <w:t xml:space="preserve"> the annual $</w:t>
            </w:r>
            <w:r>
              <w:t>3</w:t>
            </w:r>
            <w:r w:rsidR="00E926A0">
              <w:t xml:space="preserve">0 million advertising </w:t>
            </w:r>
            <w:r>
              <w:t>budget to only the top income generating media vehicles.</w:t>
            </w:r>
          </w:p>
          <w:p w:rsidR="00C705FB" w:rsidRDefault="00C705FB" w:rsidP="00694549">
            <w:pPr>
              <w:pStyle w:val="bulletedlist"/>
              <w:numPr>
                <w:ilvl w:val="0"/>
                <w:numId w:val="26"/>
              </w:numPr>
            </w:pPr>
            <w:r>
              <w:rPr>
                <w:b/>
              </w:rPr>
              <w:lastRenderedPageBreak/>
              <w:t>Implemented a</w:t>
            </w:r>
            <w:r w:rsidR="00694549">
              <w:rPr>
                <w:b/>
              </w:rPr>
              <w:t xml:space="preserve"> </w:t>
            </w:r>
            <w:r>
              <w:rPr>
                <w:b/>
              </w:rPr>
              <w:t xml:space="preserve">staffing schedule plan </w:t>
            </w:r>
            <w:r>
              <w:t xml:space="preserve">which increased efficiency by $6 million per annum. </w:t>
            </w:r>
          </w:p>
          <w:p w:rsidR="00C705FB" w:rsidRDefault="00C705FB" w:rsidP="00C705FB">
            <w:pPr>
              <w:pStyle w:val="bulletedlist"/>
              <w:numPr>
                <w:ilvl w:val="0"/>
                <w:numId w:val="0"/>
              </w:numPr>
              <w:ind w:left="576" w:hanging="288"/>
            </w:pPr>
          </w:p>
          <w:p w:rsidR="00E926A0" w:rsidRPr="00442847" w:rsidRDefault="00C705FB" w:rsidP="00F65C5D">
            <w:pPr>
              <w:pStyle w:val="bulletedlist"/>
              <w:numPr>
                <w:ilvl w:val="0"/>
                <w:numId w:val="0"/>
              </w:numPr>
            </w:pPr>
            <w:r>
              <w:rPr>
                <w:b/>
                <w:sz w:val="18"/>
              </w:rPr>
              <w:t>Additional Information</w:t>
            </w:r>
            <w:r w:rsidR="0065216B">
              <w:rPr>
                <w:b/>
                <w:sz w:val="18"/>
              </w:rPr>
              <w:t xml:space="preserve">                      </w:t>
            </w:r>
            <w:r w:rsidR="00E926A0">
              <w:t xml:space="preserve">                                                              </w:t>
            </w:r>
            <w:r w:rsidR="00C82D5D">
              <w:t>John Smith</w:t>
            </w:r>
            <w:r w:rsidR="00E926A0" w:rsidRPr="00442847">
              <w:t xml:space="preserve"> page 4 of 4</w:t>
            </w:r>
          </w:p>
          <w:p w:rsidR="00E926A0" w:rsidRDefault="002221FE" w:rsidP="00C705FB">
            <w:pPr>
              <w:pStyle w:val="bulletedlist"/>
              <w:numPr>
                <w:ilvl w:val="0"/>
                <w:numId w:val="0"/>
              </w:numPr>
            </w:pPr>
            <w:r>
              <w:pict>
                <v:rect id="_x0000_i1029" style="width:0;height:1.5pt" o:hralign="center" o:hrstd="t" o:hr="t" fillcolor="#a0a0a0" stroked="f"/>
              </w:pict>
            </w:r>
          </w:p>
          <w:p w:rsidR="00E926A0" w:rsidRDefault="00E926A0" w:rsidP="00F65C5D"/>
          <w:p w:rsidR="00E926A0" w:rsidRDefault="00E926A0" w:rsidP="00F65C5D">
            <w:pPr>
              <w:rPr>
                <w:b/>
              </w:rPr>
            </w:pPr>
            <w:r>
              <w:rPr>
                <w:b/>
              </w:rPr>
              <w:t>Other notable activities:</w:t>
            </w:r>
          </w:p>
          <w:p w:rsidR="00E926A0" w:rsidRPr="00200BF9" w:rsidRDefault="00E926A0" w:rsidP="00F65C5D">
            <w:pPr>
              <w:pStyle w:val="ListParagraph"/>
              <w:numPr>
                <w:ilvl w:val="0"/>
                <w:numId w:val="29"/>
              </w:numPr>
              <w:rPr>
                <w:b/>
              </w:rPr>
            </w:pPr>
            <w:r>
              <w:t>Traveled throughout China</w:t>
            </w:r>
            <w:r w:rsidR="00C705FB">
              <w:t xml:space="preserve"> and Japan</w:t>
            </w:r>
            <w:r>
              <w:t xml:space="preserve"> </w:t>
            </w:r>
            <w:r w:rsidR="00C705FB">
              <w:t>presenting</w:t>
            </w:r>
            <w:r>
              <w:t xml:space="preserve"> business leadership training classes to businessman and college students. The focuses of the training presentations were leadership, trust and integrity. </w:t>
            </w:r>
          </w:p>
          <w:p w:rsidR="00E926A0" w:rsidRPr="000A0C36" w:rsidRDefault="00E926A0" w:rsidP="00F65C5D">
            <w:pPr>
              <w:pStyle w:val="ListParagraph"/>
              <w:rPr>
                <w:b/>
              </w:rPr>
            </w:pPr>
          </w:p>
          <w:p w:rsidR="00E926A0" w:rsidRPr="00C705FB" w:rsidRDefault="00E926A0" w:rsidP="00F65C5D">
            <w:pPr>
              <w:pStyle w:val="ListParagraph"/>
              <w:numPr>
                <w:ilvl w:val="0"/>
                <w:numId w:val="29"/>
              </w:numPr>
              <w:rPr>
                <w:b/>
              </w:rPr>
            </w:pPr>
            <w:r>
              <w:t xml:space="preserve">Authored and lectured </w:t>
            </w:r>
            <w:r w:rsidR="00C705FB">
              <w:t>a variety of seminars to Certified Public Accountants relating to strategic business direction and planning tools</w:t>
            </w:r>
          </w:p>
          <w:p w:rsidR="00C705FB" w:rsidRPr="00C705FB" w:rsidRDefault="00C705FB" w:rsidP="00C705FB">
            <w:pPr>
              <w:rPr>
                <w:b/>
              </w:rPr>
            </w:pPr>
          </w:p>
          <w:p w:rsidR="00E926A0" w:rsidRPr="00A55B25" w:rsidRDefault="00E926A0" w:rsidP="00F65C5D">
            <w:pPr>
              <w:pStyle w:val="ListParagraph"/>
              <w:numPr>
                <w:ilvl w:val="0"/>
                <w:numId w:val="29"/>
              </w:numPr>
            </w:pPr>
            <w:r>
              <w:t xml:space="preserve">Served ten years as Board member and Treasury for </w:t>
            </w:r>
            <w:r w:rsidR="00C705FB">
              <w:t>the</w:t>
            </w:r>
            <w:r>
              <w:t xml:space="preserve"> </w:t>
            </w:r>
            <w:r w:rsidR="00C705FB">
              <w:t xml:space="preserve">“Continued Leadership Education Mentoring Society”. </w:t>
            </w:r>
            <w:r>
              <w:t>A non-profit volunteer organization of the City of Austin, Texas and Oita, Japan.</w:t>
            </w:r>
          </w:p>
          <w:p w:rsidR="00E926A0" w:rsidRDefault="00E926A0" w:rsidP="00F65C5D">
            <w:pPr>
              <w:pStyle w:val="ListParagraph"/>
              <w:rPr>
                <w:b/>
              </w:rPr>
            </w:pPr>
          </w:p>
          <w:p w:rsidR="00E926A0" w:rsidRDefault="00E926A0" w:rsidP="00F65C5D">
            <w:pPr>
              <w:pStyle w:val="ListParagraph"/>
              <w:rPr>
                <w:b/>
              </w:rPr>
            </w:pPr>
          </w:p>
          <w:p w:rsidR="00E926A0" w:rsidRPr="00A55B25" w:rsidRDefault="00E926A0" w:rsidP="00F65C5D">
            <w:pPr>
              <w:pStyle w:val="ListParagraph"/>
              <w:ind w:left="0"/>
              <w:rPr>
                <w:b/>
              </w:rPr>
            </w:pPr>
            <w:r>
              <w:rPr>
                <w:b/>
              </w:rPr>
              <w:t xml:space="preserve">Board and Officer position summary: </w:t>
            </w:r>
          </w:p>
          <w:p w:rsidR="00E926A0" w:rsidRPr="000D1602" w:rsidRDefault="00E926A0" w:rsidP="00F65C5D">
            <w:pPr>
              <w:pStyle w:val="ListParagraph"/>
              <w:numPr>
                <w:ilvl w:val="0"/>
                <w:numId w:val="29"/>
              </w:numPr>
              <w:rPr>
                <w:b/>
              </w:rPr>
            </w:pPr>
            <w:r w:rsidRPr="002075F5">
              <w:rPr>
                <w:b/>
              </w:rPr>
              <w:t>Company officer:</w:t>
            </w:r>
            <w:r>
              <w:t xml:space="preserve">  </w:t>
            </w:r>
            <w:r w:rsidR="00C705FB">
              <w:t>ODI</w:t>
            </w:r>
            <w:r>
              <w:t>CHEM, Inc. as CFO; T</w:t>
            </w:r>
            <w:r w:rsidR="00C705FB">
              <w:t>anio</w:t>
            </w:r>
            <w:r>
              <w:t xml:space="preserve"> Electron U.S. Holdings, Inc. as CFO; T</w:t>
            </w:r>
            <w:r w:rsidR="00C705FB">
              <w:t>anio</w:t>
            </w:r>
            <w:r>
              <w:t xml:space="preserve"> Electron America, Inc. as CFO; TEL Venture Capital</w:t>
            </w:r>
            <w:r w:rsidR="00E730C5">
              <w:t xml:space="preserve"> Inc.</w:t>
            </w:r>
            <w:r>
              <w:t xml:space="preserve"> as Treasury, </w:t>
            </w:r>
            <w:r w:rsidR="00C705FB">
              <w:t>SEL</w:t>
            </w:r>
            <w:r>
              <w:t xml:space="preserve"> Epion Inc. as Treasury; </w:t>
            </w:r>
            <w:r w:rsidR="00C705FB">
              <w:t>Neon</w:t>
            </w:r>
            <w:r>
              <w:t xml:space="preserve">TEL NEXX Inc. as Treasury; Various international officer positions for subsidiaries of </w:t>
            </w:r>
            <w:r w:rsidR="00C705FB">
              <w:t>ODI</w:t>
            </w:r>
            <w:r>
              <w:t>CHEM, Inc.</w:t>
            </w:r>
          </w:p>
          <w:p w:rsidR="00E926A0" w:rsidRPr="000D1602" w:rsidRDefault="00E926A0" w:rsidP="00F65C5D">
            <w:pPr>
              <w:pStyle w:val="ListParagraph"/>
              <w:rPr>
                <w:b/>
              </w:rPr>
            </w:pPr>
          </w:p>
          <w:p w:rsidR="00E926A0" w:rsidRDefault="00E926A0" w:rsidP="00F65C5D">
            <w:pPr>
              <w:pStyle w:val="ListParagraph"/>
              <w:numPr>
                <w:ilvl w:val="0"/>
                <w:numId w:val="29"/>
              </w:numPr>
              <w:rPr>
                <w:b/>
              </w:rPr>
            </w:pPr>
            <w:r w:rsidRPr="002075F5">
              <w:rPr>
                <w:b/>
              </w:rPr>
              <w:t xml:space="preserve">Board of Director </w:t>
            </w:r>
            <w:r>
              <w:t xml:space="preserve">Member: </w:t>
            </w:r>
            <w:r w:rsidR="00C705FB">
              <w:t>Neon</w:t>
            </w:r>
            <w:r>
              <w:t xml:space="preserve">TEL NEXX Taiwan Limited as auditor; </w:t>
            </w:r>
            <w:r w:rsidR="00C705FB">
              <w:t>Neon</w:t>
            </w:r>
            <w:r>
              <w:t xml:space="preserve">TEL NEXX Singapore PTE Limited as auditor; </w:t>
            </w:r>
            <w:r w:rsidR="00C705FB">
              <w:t>Neon</w:t>
            </w:r>
            <w:r>
              <w:t>TEL Nexx Korea Limited as auditor</w:t>
            </w:r>
            <w:r w:rsidR="006A4C5A">
              <w:t xml:space="preserve">, </w:t>
            </w:r>
            <w:r w:rsidR="00C705FB">
              <w:t>ODI</w:t>
            </w:r>
            <w:r w:rsidR="006A4C5A">
              <w:t>CHEM Mauritius Holdings LTD board.</w:t>
            </w:r>
          </w:p>
          <w:p w:rsidR="00E926A0" w:rsidRDefault="00E926A0" w:rsidP="00F65C5D">
            <w:pPr>
              <w:pStyle w:val="ListParagraph"/>
              <w:rPr>
                <w:b/>
              </w:rPr>
            </w:pPr>
          </w:p>
          <w:p w:rsidR="00E926A0" w:rsidRDefault="00E926A0" w:rsidP="00F65C5D">
            <w:pPr>
              <w:pStyle w:val="ListParagraph"/>
              <w:rPr>
                <w:b/>
              </w:rPr>
            </w:pPr>
          </w:p>
          <w:p w:rsidR="00E926A0" w:rsidRDefault="00E926A0" w:rsidP="00F65C5D">
            <w:pPr>
              <w:pStyle w:val="ListParagraph"/>
              <w:ind w:left="0"/>
              <w:rPr>
                <w:b/>
              </w:rPr>
            </w:pPr>
            <w:r>
              <w:rPr>
                <w:b/>
              </w:rPr>
              <w:t>International / Culture summary:</w:t>
            </w:r>
          </w:p>
          <w:p w:rsidR="00E926A0" w:rsidRPr="00C705FB" w:rsidRDefault="00C705FB" w:rsidP="00F65C5D">
            <w:pPr>
              <w:pStyle w:val="ListParagraph"/>
              <w:numPr>
                <w:ilvl w:val="0"/>
                <w:numId w:val="34"/>
              </w:numPr>
              <w:rPr>
                <w:b/>
              </w:rPr>
            </w:pPr>
            <w:r>
              <w:t>Seasoned</w:t>
            </w:r>
            <w:r w:rsidR="00E926A0">
              <w:t xml:space="preserve"> international business travel (more than </w:t>
            </w:r>
            <w:r>
              <w:t>1.8</w:t>
            </w:r>
            <w:r w:rsidR="00E926A0">
              <w:t xml:space="preserve"> million miles) </w:t>
            </w:r>
            <w:r w:rsidR="000A03B2">
              <w:t xml:space="preserve">with several trips </w:t>
            </w:r>
            <w:r w:rsidR="00E926A0">
              <w:t xml:space="preserve">to Japan (several cities), China (several cities), The Netherlands, South Korea, Taiwan and </w:t>
            </w:r>
            <w:r>
              <w:t>Mauritius</w:t>
            </w:r>
          </w:p>
          <w:p w:rsidR="00E926A0" w:rsidRPr="000D1602" w:rsidRDefault="00E926A0" w:rsidP="00F65C5D">
            <w:pPr>
              <w:pStyle w:val="ListParagraph"/>
              <w:numPr>
                <w:ilvl w:val="0"/>
                <w:numId w:val="34"/>
              </w:numPr>
              <w:rPr>
                <w:b/>
              </w:rPr>
            </w:pPr>
            <w:r>
              <w:t>Successful in international business through embracing local customs and building and maintaining r</w:t>
            </w:r>
            <w:r w:rsidR="000A03B2">
              <w:t>elationships with foreign staff, customers and vendors</w:t>
            </w:r>
            <w:r w:rsidR="00C705FB">
              <w:t xml:space="preserve"> and governmental stakeholders.</w:t>
            </w:r>
          </w:p>
          <w:p w:rsidR="00E926A0" w:rsidRPr="00E407B1" w:rsidRDefault="00E926A0" w:rsidP="00F65C5D">
            <w:pPr>
              <w:rPr>
                <w:b/>
              </w:rPr>
            </w:pPr>
          </w:p>
          <w:p w:rsidR="00E926A0" w:rsidRDefault="00E926A0" w:rsidP="003F15CF">
            <w:pPr>
              <w:rPr>
                <w:b/>
              </w:rPr>
            </w:pPr>
          </w:p>
          <w:p w:rsidR="003F15CF" w:rsidRDefault="003F15CF" w:rsidP="003F15CF">
            <w:pPr>
              <w:jc w:val="center"/>
              <w:rPr>
                <w:rFonts w:ascii="Arial" w:hAnsi="Arial"/>
                <w:b/>
                <w:sz w:val="32"/>
                <w:szCs w:val="32"/>
              </w:rPr>
            </w:pPr>
            <w:r>
              <w:rPr>
                <w:rFonts w:ascii="Arial" w:hAnsi="Arial"/>
                <w:b/>
                <w:sz w:val="32"/>
                <w:szCs w:val="32"/>
              </w:rPr>
              <w:br/>
            </w:r>
            <w:r>
              <w:rPr>
                <w:rFonts w:ascii="Arial" w:hAnsi="Arial"/>
                <w:b/>
                <w:sz w:val="32"/>
                <w:szCs w:val="32"/>
              </w:rPr>
              <w:br/>
            </w:r>
            <w:r>
              <w:rPr>
                <w:rFonts w:ascii="Arial" w:hAnsi="Arial"/>
                <w:b/>
                <w:sz w:val="32"/>
                <w:szCs w:val="32"/>
              </w:rPr>
              <w:br/>
            </w:r>
            <w:r>
              <w:rPr>
                <w:rFonts w:ascii="Arial" w:hAnsi="Arial"/>
                <w:b/>
                <w:sz w:val="32"/>
                <w:szCs w:val="32"/>
              </w:rPr>
              <w:br/>
            </w:r>
            <w:r>
              <w:rPr>
                <w:rFonts w:ascii="Arial" w:hAnsi="Arial"/>
                <w:b/>
                <w:sz w:val="32"/>
                <w:szCs w:val="32"/>
              </w:rPr>
              <w:br/>
            </w:r>
          </w:p>
          <w:p w:rsidR="003F15CF" w:rsidRDefault="003F15CF" w:rsidP="003F15CF">
            <w:pPr>
              <w:jc w:val="center"/>
              <w:rPr>
                <w:rFonts w:ascii="Arial" w:hAnsi="Arial"/>
                <w:b/>
                <w:sz w:val="32"/>
                <w:szCs w:val="32"/>
              </w:rPr>
            </w:pPr>
          </w:p>
          <w:p w:rsidR="003F15CF" w:rsidRDefault="003F15CF" w:rsidP="003F15CF">
            <w:pPr>
              <w:jc w:val="center"/>
              <w:rPr>
                <w:rFonts w:ascii="Arial" w:hAnsi="Arial"/>
                <w:b/>
                <w:sz w:val="32"/>
                <w:szCs w:val="32"/>
              </w:rPr>
            </w:pPr>
          </w:p>
          <w:p w:rsidR="003F15CF" w:rsidRPr="00146951" w:rsidRDefault="003F15CF" w:rsidP="003F15CF">
            <w:pPr>
              <w:jc w:val="center"/>
              <w:rPr>
                <w:rFonts w:ascii="Arial" w:hAnsi="Arial"/>
                <w:b/>
                <w:sz w:val="32"/>
                <w:szCs w:val="32"/>
              </w:rPr>
            </w:pPr>
            <w:r>
              <w:rPr>
                <w:rFonts w:ascii="Arial" w:hAnsi="Arial"/>
                <w:b/>
                <w:sz w:val="32"/>
                <w:szCs w:val="32"/>
              </w:rPr>
              <w:br/>
            </w:r>
            <w:r>
              <w:rPr>
                <w:rFonts w:ascii="Arial" w:hAnsi="Arial"/>
                <w:b/>
                <w:sz w:val="32"/>
                <w:szCs w:val="32"/>
              </w:rPr>
              <w:br/>
              <w:t xml:space="preserve">Try our Resume </w:t>
            </w:r>
            <w:proofErr w:type="gramStart"/>
            <w:r>
              <w:rPr>
                <w:rFonts w:ascii="Arial" w:hAnsi="Arial"/>
                <w:b/>
                <w:sz w:val="32"/>
                <w:szCs w:val="32"/>
              </w:rPr>
              <w:t>builder :</w:t>
            </w:r>
            <w:proofErr w:type="gramEnd"/>
            <w:r>
              <w:rPr>
                <w:rFonts w:ascii="Arial" w:hAnsi="Arial"/>
                <w:b/>
                <w:sz w:val="32"/>
                <w:szCs w:val="32"/>
              </w:rPr>
              <w:t xml:space="preserve"> </w:t>
            </w:r>
            <w:hyperlink r:id="rId11" w:history="1">
              <w:r w:rsidRPr="00146951">
                <w:rPr>
                  <w:rStyle w:val="Hyperlink"/>
                  <w:rFonts w:ascii="Arial" w:hAnsi="Arial"/>
                  <w:b/>
                  <w:sz w:val="32"/>
                  <w:szCs w:val="32"/>
                </w:rPr>
                <w:t>12 designs for $2,95</w:t>
              </w:r>
            </w:hyperlink>
          </w:p>
          <w:p w:rsidR="003F15CF" w:rsidRDefault="003F15CF" w:rsidP="003F15CF">
            <w:pPr>
              <w:rPr>
                <w:b/>
              </w:rPr>
            </w:pPr>
          </w:p>
          <w:p w:rsidR="003F15CF" w:rsidRPr="003F15CF" w:rsidRDefault="003F15CF" w:rsidP="003F15CF">
            <w:pPr>
              <w:rPr>
                <w:b/>
              </w:rPr>
            </w:pPr>
          </w:p>
          <w:p w:rsidR="00E926A0" w:rsidRPr="00881889" w:rsidRDefault="00E926A0" w:rsidP="003F15CF">
            <w:pPr>
              <w:jc w:val="center"/>
              <w:rPr>
                <w:b/>
              </w:rPr>
            </w:pPr>
          </w:p>
        </w:tc>
      </w:tr>
    </w:tbl>
    <w:p w:rsidR="00E926A0" w:rsidRPr="000B7FDD" w:rsidRDefault="00E926A0" w:rsidP="00E926A0">
      <w:pPr>
        <w:pStyle w:val="copyright"/>
        <w:spacing w:before="0"/>
        <w:ind w:left="0"/>
        <w:rPr>
          <w:b/>
        </w:rPr>
      </w:pPr>
    </w:p>
    <w:p w:rsidR="000D1602" w:rsidRPr="000B7FDD" w:rsidRDefault="00BF402D" w:rsidP="00992E89">
      <w:pPr>
        <w:pStyle w:val="copyright"/>
        <w:spacing w:before="0"/>
        <w:ind w:left="0"/>
        <w:rPr>
          <w:b/>
        </w:rPr>
      </w:pPr>
      <w:r>
        <w:rPr>
          <w:b/>
        </w:rPr>
        <w:t xml:space="preserve">           </w:t>
      </w:r>
    </w:p>
    <w:sectPr w:rsidR="000D1602" w:rsidRPr="000B7FDD" w:rsidSect="00012078">
      <w:pgSz w:w="12240" w:h="15840" w:code="1"/>
      <w:pgMar w:top="1296" w:right="720" w:bottom="1008" w:left="720" w:header="576"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7EE" w:rsidRDefault="00E127EE" w:rsidP="006E147A">
      <w:pPr>
        <w:spacing w:line="240" w:lineRule="auto"/>
      </w:pPr>
      <w:r>
        <w:separator/>
      </w:r>
    </w:p>
  </w:endnote>
  <w:endnote w:type="continuationSeparator" w:id="0">
    <w:p w:rsidR="00E127EE" w:rsidRDefault="00E127EE" w:rsidP="006E1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7EE" w:rsidRDefault="00E127EE" w:rsidP="006E147A">
      <w:pPr>
        <w:spacing w:line="240" w:lineRule="auto"/>
      </w:pPr>
      <w:r>
        <w:separator/>
      </w:r>
    </w:p>
  </w:footnote>
  <w:footnote w:type="continuationSeparator" w:id="0">
    <w:p w:rsidR="00E127EE" w:rsidRDefault="00E127EE" w:rsidP="006E147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B2D"/>
    <w:multiLevelType w:val="hybridMultilevel"/>
    <w:tmpl w:val="E960CB2E"/>
    <w:lvl w:ilvl="0" w:tplc="21123170">
      <w:numFmt w:val="bullet"/>
      <w:lvlText w:val="-"/>
      <w:lvlJc w:val="left"/>
      <w:pPr>
        <w:ind w:left="420" w:hanging="360"/>
      </w:pPr>
      <w:rPr>
        <w:rFonts w:ascii="Tahoma" w:eastAsia="Times New Roman" w:hAnsi="Tahoma" w:cs="Tahoma"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1FA5B28"/>
    <w:multiLevelType w:val="hybridMultilevel"/>
    <w:tmpl w:val="2E3AD952"/>
    <w:lvl w:ilvl="0" w:tplc="E3805180">
      <w:start w:val="2"/>
      <w:numFmt w:val="bullet"/>
      <w:lvlText w:val="-"/>
      <w:lvlJc w:val="left"/>
      <w:pPr>
        <w:ind w:left="648" w:hanging="360"/>
      </w:pPr>
      <w:rPr>
        <w:rFonts w:ascii="Tahoma" w:eastAsia="Times New Roman" w:hAnsi="Tahoma" w:cs="Tahoma"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159C2A4D"/>
    <w:multiLevelType w:val="hybridMultilevel"/>
    <w:tmpl w:val="F6A258C6"/>
    <w:lvl w:ilvl="0" w:tplc="337EB638">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
    <w:nsid w:val="19D10EC7"/>
    <w:multiLevelType w:val="hybridMultilevel"/>
    <w:tmpl w:val="56BA81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9F62483"/>
    <w:multiLevelType w:val="hybridMultilevel"/>
    <w:tmpl w:val="EDD0E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C6E95"/>
    <w:multiLevelType w:val="hybridMultilevel"/>
    <w:tmpl w:val="33B039EE"/>
    <w:lvl w:ilvl="0" w:tplc="337EB638">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6">
    <w:nsid w:val="25AB5267"/>
    <w:multiLevelType w:val="hybridMultilevel"/>
    <w:tmpl w:val="E210F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5910C2"/>
    <w:multiLevelType w:val="hybridMultilevel"/>
    <w:tmpl w:val="0EE0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75B41"/>
    <w:multiLevelType w:val="hybridMultilevel"/>
    <w:tmpl w:val="34D2D26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23E39BC"/>
    <w:multiLevelType w:val="hybridMultilevel"/>
    <w:tmpl w:val="5154829C"/>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3B1311B3"/>
    <w:multiLevelType w:val="hybridMultilevel"/>
    <w:tmpl w:val="4E08E2A8"/>
    <w:lvl w:ilvl="0" w:tplc="6E0E7CAC">
      <w:start w:val="2000"/>
      <w:numFmt w:val="bullet"/>
      <w:lvlText w:val="-"/>
      <w:lvlJc w:val="left"/>
      <w:pPr>
        <w:tabs>
          <w:tab w:val="num" w:pos="576"/>
        </w:tabs>
        <w:ind w:left="576" w:hanging="288"/>
      </w:pPr>
      <w:rPr>
        <w:rFonts w:ascii="Tahoma" w:eastAsia="Times New Roman" w:hAnsi="Tahoma" w:cs="Tahoma" w:hint="default"/>
        <w:b/>
        <w:i w:val="0"/>
        <w:color w:val="80808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F10481"/>
    <w:multiLevelType w:val="hybridMultilevel"/>
    <w:tmpl w:val="FBA4498C"/>
    <w:lvl w:ilvl="0" w:tplc="B6FC8D54">
      <w:start w:val="1"/>
      <w:numFmt w:val="bullet"/>
      <w:lvlText w:val=""/>
      <w:lvlJc w:val="left"/>
      <w:pPr>
        <w:tabs>
          <w:tab w:val="num" w:pos="576"/>
        </w:tabs>
        <w:ind w:left="576" w:hanging="288"/>
      </w:pPr>
      <w:rPr>
        <w:rFonts w:ascii="Symbol" w:hAnsi="Symbol" w:hint="default"/>
        <w:b/>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1965C93"/>
    <w:multiLevelType w:val="hybridMultilevel"/>
    <w:tmpl w:val="59F0B48E"/>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4238201C"/>
    <w:multiLevelType w:val="hybridMultilevel"/>
    <w:tmpl w:val="2B804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1793B"/>
    <w:multiLevelType w:val="hybridMultilevel"/>
    <w:tmpl w:val="1862EFBC"/>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nsid w:val="44CB665D"/>
    <w:multiLevelType w:val="hybridMultilevel"/>
    <w:tmpl w:val="7A1C0D52"/>
    <w:lvl w:ilvl="0" w:tplc="337EB6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C43E16"/>
    <w:multiLevelType w:val="hybridMultilevel"/>
    <w:tmpl w:val="49A230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207080"/>
    <w:multiLevelType w:val="hybridMultilevel"/>
    <w:tmpl w:val="9D38E3B8"/>
    <w:lvl w:ilvl="0" w:tplc="C67E70B0">
      <w:start w:val="1"/>
      <w:numFmt w:val="bullet"/>
      <w:pStyle w:val="bulletedlist2"/>
      <w:lvlText w:val=""/>
      <w:lvlJc w:val="left"/>
      <w:pPr>
        <w:tabs>
          <w:tab w:val="num" w:pos="576"/>
        </w:tabs>
        <w:ind w:left="576" w:hanging="288"/>
      </w:pPr>
      <w:rPr>
        <w:rFonts w:ascii="Symbol" w:hAnsi="Symbol" w:hint="default"/>
        <w:b/>
        <w:i w:val="0"/>
        <w:color w:val="80808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513FAB"/>
    <w:multiLevelType w:val="hybridMultilevel"/>
    <w:tmpl w:val="7FF6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6F7A5C"/>
    <w:multiLevelType w:val="hybridMultilevel"/>
    <w:tmpl w:val="CCC0850C"/>
    <w:lvl w:ilvl="0" w:tplc="04090001">
      <w:start w:val="1"/>
      <w:numFmt w:val="bullet"/>
      <w:lvlText w:val=""/>
      <w:lvlJc w:val="left"/>
      <w:pPr>
        <w:tabs>
          <w:tab w:val="num" w:pos="576"/>
        </w:tabs>
        <w:ind w:left="576" w:hanging="288"/>
      </w:pPr>
      <w:rPr>
        <w:rFonts w:ascii="Symbol" w:hAnsi="Symbol" w:hint="default"/>
        <w:b w:val="0"/>
        <w:i w:val="0"/>
        <w:color w:val="808080"/>
        <w:sz w:val="12"/>
        <w:szCs w:val="12"/>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0">
    <w:nsid w:val="58440417"/>
    <w:multiLevelType w:val="hybridMultilevel"/>
    <w:tmpl w:val="702012C4"/>
    <w:lvl w:ilvl="0" w:tplc="6E0E7CAC">
      <w:start w:val="2000"/>
      <w:numFmt w:val="bullet"/>
      <w:lvlText w:val="-"/>
      <w:lvlJc w:val="left"/>
      <w:pPr>
        <w:ind w:left="648" w:hanging="360"/>
      </w:pPr>
      <w:rPr>
        <w:rFonts w:ascii="Tahoma" w:eastAsia="Times New Roman" w:hAnsi="Tahoma" w:cs="Tahoma"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nsid w:val="5E466DDA"/>
    <w:multiLevelType w:val="hybridMultilevel"/>
    <w:tmpl w:val="443A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B063E"/>
    <w:multiLevelType w:val="hybridMultilevel"/>
    <w:tmpl w:val="6260536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3">
    <w:nsid w:val="67A573CB"/>
    <w:multiLevelType w:val="hybridMultilevel"/>
    <w:tmpl w:val="0218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7C5B26"/>
    <w:multiLevelType w:val="hybridMultilevel"/>
    <w:tmpl w:val="06C4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D44C4"/>
    <w:multiLevelType w:val="hybridMultilevel"/>
    <w:tmpl w:val="1BD89DB0"/>
    <w:lvl w:ilvl="0" w:tplc="0D168498">
      <w:start w:val="1"/>
      <w:numFmt w:val="bullet"/>
      <w:pStyle w:val="bulletedlist"/>
      <w:lvlText w:val=""/>
      <w:lvlJc w:val="left"/>
      <w:pPr>
        <w:tabs>
          <w:tab w:val="num" w:pos="576"/>
        </w:tabs>
        <w:ind w:left="576" w:hanging="288"/>
      </w:pPr>
      <w:rPr>
        <w:rFonts w:ascii="Symbol" w:hAnsi="Symbol" w:hint="default"/>
        <w:b w:val="0"/>
        <w:i w:val="0"/>
        <w:color w:val="808080"/>
        <w:sz w:val="12"/>
        <w:szCs w:val="12"/>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6">
    <w:nsid w:val="71D83B75"/>
    <w:multiLevelType w:val="hybridMultilevel"/>
    <w:tmpl w:val="4D2A98E8"/>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7">
    <w:nsid w:val="755631F6"/>
    <w:multiLevelType w:val="hybridMultilevel"/>
    <w:tmpl w:val="DEC84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E44178"/>
    <w:multiLevelType w:val="hybridMultilevel"/>
    <w:tmpl w:val="A14EB0F6"/>
    <w:lvl w:ilvl="0" w:tplc="337EB638">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9">
    <w:nsid w:val="7B814863"/>
    <w:multiLevelType w:val="hybridMultilevel"/>
    <w:tmpl w:val="EA72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B864DA"/>
    <w:multiLevelType w:val="hybridMultilevel"/>
    <w:tmpl w:val="7DC6B03E"/>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2"/>
  </w:num>
  <w:num w:numId="2">
    <w:abstractNumId w:val="5"/>
  </w:num>
  <w:num w:numId="3">
    <w:abstractNumId w:val="15"/>
  </w:num>
  <w:num w:numId="4">
    <w:abstractNumId w:val="25"/>
  </w:num>
  <w:num w:numId="5">
    <w:abstractNumId w:val="11"/>
  </w:num>
  <w:num w:numId="6">
    <w:abstractNumId w:val="9"/>
  </w:num>
  <w:num w:numId="7">
    <w:abstractNumId w:val="13"/>
  </w:num>
  <w:num w:numId="8">
    <w:abstractNumId w:val="28"/>
  </w:num>
  <w:num w:numId="9">
    <w:abstractNumId w:val="2"/>
  </w:num>
  <w:num w:numId="10">
    <w:abstractNumId w:val="3"/>
  </w:num>
  <w:num w:numId="11">
    <w:abstractNumId w:val="30"/>
  </w:num>
  <w:num w:numId="12">
    <w:abstractNumId w:val="26"/>
  </w:num>
  <w:num w:numId="13">
    <w:abstractNumId w:val="14"/>
  </w:num>
  <w:num w:numId="14">
    <w:abstractNumId w:val="17"/>
  </w:num>
  <w:num w:numId="15">
    <w:abstractNumId w:val="16"/>
  </w:num>
  <w:num w:numId="16">
    <w:abstractNumId w:val="27"/>
  </w:num>
  <w:num w:numId="17">
    <w:abstractNumId w:val="1"/>
  </w:num>
  <w:num w:numId="18">
    <w:abstractNumId w:val="20"/>
  </w:num>
  <w:num w:numId="19">
    <w:abstractNumId w:val="8"/>
  </w:num>
  <w:num w:numId="20">
    <w:abstractNumId w:val="6"/>
  </w:num>
  <w:num w:numId="21">
    <w:abstractNumId w:val="23"/>
  </w:num>
  <w:num w:numId="22">
    <w:abstractNumId w:val="4"/>
  </w:num>
  <w:num w:numId="23">
    <w:abstractNumId w:val="18"/>
  </w:num>
  <w:num w:numId="24">
    <w:abstractNumId w:val="7"/>
  </w:num>
  <w:num w:numId="25">
    <w:abstractNumId w:val="29"/>
  </w:num>
  <w:num w:numId="26">
    <w:abstractNumId w:val="22"/>
  </w:num>
  <w:num w:numId="27">
    <w:abstractNumId w:val="19"/>
  </w:num>
  <w:num w:numId="28">
    <w:abstractNumId w:val="10"/>
  </w:num>
  <w:num w:numId="29">
    <w:abstractNumId w:val="21"/>
  </w:num>
  <w:num w:numId="30">
    <w:abstractNumId w:val="25"/>
  </w:num>
  <w:num w:numId="31">
    <w:abstractNumId w:val="25"/>
  </w:num>
  <w:num w:numId="32">
    <w:abstractNumId w:val="25"/>
  </w:num>
  <w:num w:numId="33">
    <w:abstractNumId w:val="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c0tzA0tbQ0tzSwMLRQ0lEKTi0uzszPAykwrgUA6kCopiwAAAA="/>
  </w:docVars>
  <w:rsids>
    <w:rsidRoot w:val="008A6DA3"/>
    <w:rsid w:val="00006674"/>
    <w:rsid w:val="0001061B"/>
    <w:rsid w:val="00012078"/>
    <w:rsid w:val="00017567"/>
    <w:rsid w:val="000178B3"/>
    <w:rsid w:val="0002080E"/>
    <w:rsid w:val="00020F03"/>
    <w:rsid w:val="000217FC"/>
    <w:rsid w:val="00030F6D"/>
    <w:rsid w:val="00033915"/>
    <w:rsid w:val="00035CD5"/>
    <w:rsid w:val="00037382"/>
    <w:rsid w:val="00045B26"/>
    <w:rsid w:val="00047E08"/>
    <w:rsid w:val="000504B6"/>
    <w:rsid w:val="000512E5"/>
    <w:rsid w:val="000536BA"/>
    <w:rsid w:val="00053E1F"/>
    <w:rsid w:val="00055F71"/>
    <w:rsid w:val="0006261E"/>
    <w:rsid w:val="00065D99"/>
    <w:rsid w:val="000700B0"/>
    <w:rsid w:val="00072E09"/>
    <w:rsid w:val="00074A5F"/>
    <w:rsid w:val="00074DAB"/>
    <w:rsid w:val="000767FE"/>
    <w:rsid w:val="00076D81"/>
    <w:rsid w:val="00082B42"/>
    <w:rsid w:val="000A03B2"/>
    <w:rsid w:val="000A0C36"/>
    <w:rsid w:val="000A13AB"/>
    <w:rsid w:val="000A49E2"/>
    <w:rsid w:val="000A50F3"/>
    <w:rsid w:val="000B04BA"/>
    <w:rsid w:val="000B292A"/>
    <w:rsid w:val="000B7433"/>
    <w:rsid w:val="000B7FDD"/>
    <w:rsid w:val="000C3D4E"/>
    <w:rsid w:val="000C40DA"/>
    <w:rsid w:val="000C7157"/>
    <w:rsid w:val="000D1602"/>
    <w:rsid w:val="000D506C"/>
    <w:rsid w:val="000E1805"/>
    <w:rsid w:val="000E3610"/>
    <w:rsid w:val="000E3E7D"/>
    <w:rsid w:val="000E76DD"/>
    <w:rsid w:val="000E79DC"/>
    <w:rsid w:val="000F37A0"/>
    <w:rsid w:val="000F5E78"/>
    <w:rsid w:val="000F65C6"/>
    <w:rsid w:val="0010082C"/>
    <w:rsid w:val="001039F1"/>
    <w:rsid w:val="001145B3"/>
    <w:rsid w:val="00117916"/>
    <w:rsid w:val="00123D77"/>
    <w:rsid w:val="00125155"/>
    <w:rsid w:val="00126226"/>
    <w:rsid w:val="00126A31"/>
    <w:rsid w:val="00126D41"/>
    <w:rsid w:val="00136B7E"/>
    <w:rsid w:val="00160DF2"/>
    <w:rsid w:val="00166495"/>
    <w:rsid w:val="0017446F"/>
    <w:rsid w:val="00183E64"/>
    <w:rsid w:val="00193D91"/>
    <w:rsid w:val="00195D4E"/>
    <w:rsid w:val="001A04D1"/>
    <w:rsid w:val="001A45AB"/>
    <w:rsid w:val="001A46A9"/>
    <w:rsid w:val="001A4EFE"/>
    <w:rsid w:val="001A5185"/>
    <w:rsid w:val="001B3669"/>
    <w:rsid w:val="001B3D3C"/>
    <w:rsid w:val="001C3536"/>
    <w:rsid w:val="001D1C1A"/>
    <w:rsid w:val="001D57FC"/>
    <w:rsid w:val="001D5958"/>
    <w:rsid w:val="001E2861"/>
    <w:rsid w:val="001E607A"/>
    <w:rsid w:val="001F124A"/>
    <w:rsid w:val="001F4963"/>
    <w:rsid w:val="00200BF9"/>
    <w:rsid w:val="00203FC6"/>
    <w:rsid w:val="002050C6"/>
    <w:rsid w:val="002066C1"/>
    <w:rsid w:val="002075F5"/>
    <w:rsid w:val="00211D35"/>
    <w:rsid w:val="00213B8F"/>
    <w:rsid w:val="002161EF"/>
    <w:rsid w:val="002221FE"/>
    <w:rsid w:val="00225C0D"/>
    <w:rsid w:val="00230A30"/>
    <w:rsid w:val="002329AD"/>
    <w:rsid w:val="002345AB"/>
    <w:rsid w:val="0023551F"/>
    <w:rsid w:val="002379B2"/>
    <w:rsid w:val="00243C6F"/>
    <w:rsid w:val="002452B4"/>
    <w:rsid w:val="00250948"/>
    <w:rsid w:val="00251F4B"/>
    <w:rsid w:val="002571D9"/>
    <w:rsid w:val="0026071C"/>
    <w:rsid w:val="00266EC7"/>
    <w:rsid w:val="00280B50"/>
    <w:rsid w:val="002817CA"/>
    <w:rsid w:val="002A2EBA"/>
    <w:rsid w:val="002A6913"/>
    <w:rsid w:val="002A70B5"/>
    <w:rsid w:val="002B079D"/>
    <w:rsid w:val="002B20C3"/>
    <w:rsid w:val="002B4C97"/>
    <w:rsid w:val="002B6471"/>
    <w:rsid w:val="002B79ED"/>
    <w:rsid w:val="002C5656"/>
    <w:rsid w:val="002C68AE"/>
    <w:rsid w:val="002C6DA6"/>
    <w:rsid w:val="002D0193"/>
    <w:rsid w:val="002D26F1"/>
    <w:rsid w:val="002E062B"/>
    <w:rsid w:val="002E7A0F"/>
    <w:rsid w:val="002F12DE"/>
    <w:rsid w:val="002F4590"/>
    <w:rsid w:val="002F692B"/>
    <w:rsid w:val="002F76C3"/>
    <w:rsid w:val="002F7C8D"/>
    <w:rsid w:val="00300667"/>
    <w:rsid w:val="00303196"/>
    <w:rsid w:val="00304347"/>
    <w:rsid w:val="003055A8"/>
    <w:rsid w:val="00306355"/>
    <w:rsid w:val="00306ADE"/>
    <w:rsid w:val="003104B9"/>
    <w:rsid w:val="00313922"/>
    <w:rsid w:val="00315BEB"/>
    <w:rsid w:val="00316BCB"/>
    <w:rsid w:val="00333DB7"/>
    <w:rsid w:val="0034295C"/>
    <w:rsid w:val="00344D85"/>
    <w:rsid w:val="00350BC7"/>
    <w:rsid w:val="0035403D"/>
    <w:rsid w:val="00355587"/>
    <w:rsid w:val="003569CC"/>
    <w:rsid w:val="00356A45"/>
    <w:rsid w:val="00357129"/>
    <w:rsid w:val="003608D8"/>
    <w:rsid w:val="00363CC8"/>
    <w:rsid w:val="00370CF6"/>
    <w:rsid w:val="00373925"/>
    <w:rsid w:val="00380DE1"/>
    <w:rsid w:val="00382B0E"/>
    <w:rsid w:val="00387D39"/>
    <w:rsid w:val="003900B7"/>
    <w:rsid w:val="00393765"/>
    <w:rsid w:val="00394FD3"/>
    <w:rsid w:val="00395BA1"/>
    <w:rsid w:val="003A016B"/>
    <w:rsid w:val="003A02AA"/>
    <w:rsid w:val="003A4935"/>
    <w:rsid w:val="003B073C"/>
    <w:rsid w:val="003B0B95"/>
    <w:rsid w:val="003B527C"/>
    <w:rsid w:val="003C016D"/>
    <w:rsid w:val="003C5A33"/>
    <w:rsid w:val="003C7371"/>
    <w:rsid w:val="003D1D01"/>
    <w:rsid w:val="003D4D4F"/>
    <w:rsid w:val="003D7DA1"/>
    <w:rsid w:val="003E23AB"/>
    <w:rsid w:val="003E41C8"/>
    <w:rsid w:val="003F15CF"/>
    <w:rsid w:val="004050A4"/>
    <w:rsid w:val="00414616"/>
    <w:rsid w:val="00421C4F"/>
    <w:rsid w:val="00433979"/>
    <w:rsid w:val="00433C3A"/>
    <w:rsid w:val="0043543B"/>
    <w:rsid w:val="00435F6A"/>
    <w:rsid w:val="00442847"/>
    <w:rsid w:val="004463E3"/>
    <w:rsid w:val="0045430F"/>
    <w:rsid w:val="004563A4"/>
    <w:rsid w:val="00456704"/>
    <w:rsid w:val="004606C1"/>
    <w:rsid w:val="00474EB9"/>
    <w:rsid w:val="004810BC"/>
    <w:rsid w:val="00481231"/>
    <w:rsid w:val="0048363D"/>
    <w:rsid w:val="004913F6"/>
    <w:rsid w:val="0049459B"/>
    <w:rsid w:val="004A2ECE"/>
    <w:rsid w:val="004A372E"/>
    <w:rsid w:val="004A4A6A"/>
    <w:rsid w:val="004A4D36"/>
    <w:rsid w:val="004C3F90"/>
    <w:rsid w:val="004C44A0"/>
    <w:rsid w:val="004C52A2"/>
    <w:rsid w:val="004E20E0"/>
    <w:rsid w:val="004E2F2B"/>
    <w:rsid w:val="004F06DC"/>
    <w:rsid w:val="004F43F3"/>
    <w:rsid w:val="004F5EB3"/>
    <w:rsid w:val="004F709C"/>
    <w:rsid w:val="00504D30"/>
    <w:rsid w:val="00505A82"/>
    <w:rsid w:val="005064FB"/>
    <w:rsid w:val="005073A8"/>
    <w:rsid w:val="00520B59"/>
    <w:rsid w:val="00521C31"/>
    <w:rsid w:val="005229EB"/>
    <w:rsid w:val="005273F7"/>
    <w:rsid w:val="005351F4"/>
    <w:rsid w:val="00535823"/>
    <w:rsid w:val="00535952"/>
    <w:rsid w:val="0054656F"/>
    <w:rsid w:val="00546AD0"/>
    <w:rsid w:val="00546DCF"/>
    <w:rsid w:val="0055674B"/>
    <w:rsid w:val="00563219"/>
    <w:rsid w:val="00564414"/>
    <w:rsid w:val="00565FB9"/>
    <w:rsid w:val="0058110A"/>
    <w:rsid w:val="00581EE6"/>
    <w:rsid w:val="00591319"/>
    <w:rsid w:val="00594C7F"/>
    <w:rsid w:val="00595195"/>
    <w:rsid w:val="005963D7"/>
    <w:rsid w:val="005A5B7B"/>
    <w:rsid w:val="005A5E99"/>
    <w:rsid w:val="005B5557"/>
    <w:rsid w:val="005C1FA4"/>
    <w:rsid w:val="005C4EEF"/>
    <w:rsid w:val="005C775B"/>
    <w:rsid w:val="005D08BB"/>
    <w:rsid w:val="005D0E5F"/>
    <w:rsid w:val="005D0FE3"/>
    <w:rsid w:val="005D143F"/>
    <w:rsid w:val="005D3D8F"/>
    <w:rsid w:val="005D563F"/>
    <w:rsid w:val="005E150C"/>
    <w:rsid w:val="005E6715"/>
    <w:rsid w:val="005E7392"/>
    <w:rsid w:val="005F5DD9"/>
    <w:rsid w:val="00602E9B"/>
    <w:rsid w:val="0060426F"/>
    <w:rsid w:val="00605C6A"/>
    <w:rsid w:val="00617908"/>
    <w:rsid w:val="00620B44"/>
    <w:rsid w:val="00630BA5"/>
    <w:rsid w:val="0064476A"/>
    <w:rsid w:val="006510F3"/>
    <w:rsid w:val="00651159"/>
    <w:rsid w:val="0065216B"/>
    <w:rsid w:val="00655C35"/>
    <w:rsid w:val="006614A9"/>
    <w:rsid w:val="00661C65"/>
    <w:rsid w:val="00661F92"/>
    <w:rsid w:val="00672E4D"/>
    <w:rsid w:val="00674787"/>
    <w:rsid w:val="00676B83"/>
    <w:rsid w:val="006856F5"/>
    <w:rsid w:val="00685A86"/>
    <w:rsid w:val="00693E0E"/>
    <w:rsid w:val="00694549"/>
    <w:rsid w:val="006A4C58"/>
    <w:rsid w:val="006A4C5A"/>
    <w:rsid w:val="006A5224"/>
    <w:rsid w:val="006A5F30"/>
    <w:rsid w:val="006B6478"/>
    <w:rsid w:val="006C0D02"/>
    <w:rsid w:val="006C7900"/>
    <w:rsid w:val="006D0510"/>
    <w:rsid w:val="006D2AB4"/>
    <w:rsid w:val="006E147A"/>
    <w:rsid w:val="006E4538"/>
    <w:rsid w:val="006E63CE"/>
    <w:rsid w:val="006E6F66"/>
    <w:rsid w:val="006F662C"/>
    <w:rsid w:val="007027B3"/>
    <w:rsid w:val="00706E5F"/>
    <w:rsid w:val="00707326"/>
    <w:rsid w:val="00711BB3"/>
    <w:rsid w:val="00713B56"/>
    <w:rsid w:val="00716927"/>
    <w:rsid w:val="00723D05"/>
    <w:rsid w:val="007258BF"/>
    <w:rsid w:val="00725C2D"/>
    <w:rsid w:val="00740F0A"/>
    <w:rsid w:val="007439EA"/>
    <w:rsid w:val="00752FB2"/>
    <w:rsid w:val="00754E87"/>
    <w:rsid w:val="00756C45"/>
    <w:rsid w:val="007628BE"/>
    <w:rsid w:val="00764513"/>
    <w:rsid w:val="00765785"/>
    <w:rsid w:val="00773E71"/>
    <w:rsid w:val="007740A5"/>
    <w:rsid w:val="00777C34"/>
    <w:rsid w:val="00780FFE"/>
    <w:rsid w:val="007900CA"/>
    <w:rsid w:val="00791DBE"/>
    <w:rsid w:val="007931D9"/>
    <w:rsid w:val="00796CD6"/>
    <w:rsid w:val="007A0C47"/>
    <w:rsid w:val="007A10D0"/>
    <w:rsid w:val="007A3052"/>
    <w:rsid w:val="007A369C"/>
    <w:rsid w:val="007B2E9B"/>
    <w:rsid w:val="007B3431"/>
    <w:rsid w:val="007B366A"/>
    <w:rsid w:val="007C3127"/>
    <w:rsid w:val="007C6643"/>
    <w:rsid w:val="007C6B61"/>
    <w:rsid w:val="007D437F"/>
    <w:rsid w:val="007D4B65"/>
    <w:rsid w:val="007E5B6B"/>
    <w:rsid w:val="007E7648"/>
    <w:rsid w:val="0080127E"/>
    <w:rsid w:val="008017B2"/>
    <w:rsid w:val="008021E4"/>
    <w:rsid w:val="008047FB"/>
    <w:rsid w:val="008062DE"/>
    <w:rsid w:val="008063C2"/>
    <w:rsid w:val="00814CC2"/>
    <w:rsid w:val="008157BC"/>
    <w:rsid w:val="00816E81"/>
    <w:rsid w:val="00817D62"/>
    <w:rsid w:val="00820F40"/>
    <w:rsid w:val="00821664"/>
    <w:rsid w:val="008232FD"/>
    <w:rsid w:val="00834860"/>
    <w:rsid w:val="008374CA"/>
    <w:rsid w:val="00840BC8"/>
    <w:rsid w:val="00841A8E"/>
    <w:rsid w:val="00850C28"/>
    <w:rsid w:val="008531CA"/>
    <w:rsid w:val="008563E0"/>
    <w:rsid w:val="00857B7A"/>
    <w:rsid w:val="0086167E"/>
    <w:rsid w:val="008624DB"/>
    <w:rsid w:val="00862914"/>
    <w:rsid w:val="00873874"/>
    <w:rsid w:val="00881889"/>
    <w:rsid w:val="008860A5"/>
    <w:rsid w:val="00886936"/>
    <w:rsid w:val="00886A30"/>
    <w:rsid w:val="00897CA3"/>
    <w:rsid w:val="008A6DA3"/>
    <w:rsid w:val="008B2051"/>
    <w:rsid w:val="008B55BD"/>
    <w:rsid w:val="008B5FDF"/>
    <w:rsid w:val="008C05E4"/>
    <w:rsid w:val="008D1D18"/>
    <w:rsid w:val="008D4BB1"/>
    <w:rsid w:val="008D4BC4"/>
    <w:rsid w:val="008E0C9F"/>
    <w:rsid w:val="008E102E"/>
    <w:rsid w:val="008E5675"/>
    <w:rsid w:val="008E5A41"/>
    <w:rsid w:val="008F259A"/>
    <w:rsid w:val="008F2F5D"/>
    <w:rsid w:val="008F4EFC"/>
    <w:rsid w:val="008F5173"/>
    <w:rsid w:val="00901981"/>
    <w:rsid w:val="00905F6F"/>
    <w:rsid w:val="009073D9"/>
    <w:rsid w:val="00907750"/>
    <w:rsid w:val="00910AA2"/>
    <w:rsid w:val="00911EC0"/>
    <w:rsid w:val="00913A93"/>
    <w:rsid w:val="00914612"/>
    <w:rsid w:val="00917145"/>
    <w:rsid w:val="00917917"/>
    <w:rsid w:val="0092239A"/>
    <w:rsid w:val="0093392D"/>
    <w:rsid w:val="00940D01"/>
    <w:rsid w:val="00943639"/>
    <w:rsid w:val="00943B74"/>
    <w:rsid w:val="00945576"/>
    <w:rsid w:val="00954B9B"/>
    <w:rsid w:val="00964CE7"/>
    <w:rsid w:val="00967588"/>
    <w:rsid w:val="009810C5"/>
    <w:rsid w:val="0099033D"/>
    <w:rsid w:val="00992E89"/>
    <w:rsid w:val="00993D91"/>
    <w:rsid w:val="0099404F"/>
    <w:rsid w:val="009A0E21"/>
    <w:rsid w:val="009B4C95"/>
    <w:rsid w:val="009B73EC"/>
    <w:rsid w:val="009D7742"/>
    <w:rsid w:val="009D7E1B"/>
    <w:rsid w:val="009E57B6"/>
    <w:rsid w:val="009E5828"/>
    <w:rsid w:val="009F0A4C"/>
    <w:rsid w:val="009F4237"/>
    <w:rsid w:val="009F5A8D"/>
    <w:rsid w:val="00A05A1B"/>
    <w:rsid w:val="00A10457"/>
    <w:rsid w:val="00A104F6"/>
    <w:rsid w:val="00A114C9"/>
    <w:rsid w:val="00A12354"/>
    <w:rsid w:val="00A142B0"/>
    <w:rsid w:val="00A222DA"/>
    <w:rsid w:val="00A23D1F"/>
    <w:rsid w:val="00A2577C"/>
    <w:rsid w:val="00A409C4"/>
    <w:rsid w:val="00A458DD"/>
    <w:rsid w:val="00A45C55"/>
    <w:rsid w:val="00A54051"/>
    <w:rsid w:val="00A55B25"/>
    <w:rsid w:val="00A57E7D"/>
    <w:rsid w:val="00A60A63"/>
    <w:rsid w:val="00A635D8"/>
    <w:rsid w:val="00A72CD1"/>
    <w:rsid w:val="00A74E62"/>
    <w:rsid w:val="00A76399"/>
    <w:rsid w:val="00A81E03"/>
    <w:rsid w:val="00A81E26"/>
    <w:rsid w:val="00A922F2"/>
    <w:rsid w:val="00A930DC"/>
    <w:rsid w:val="00A96D52"/>
    <w:rsid w:val="00AA2426"/>
    <w:rsid w:val="00AA278A"/>
    <w:rsid w:val="00AA3AD9"/>
    <w:rsid w:val="00AA451F"/>
    <w:rsid w:val="00AA4CC0"/>
    <w:rsid w:val="00AA6B2B"/>
    <w:rsid w:val="00AD0AC0"/>
    <w:rsid w:val="00AD5938"/>
    <w:rsid w:val="00AD6561"/>
    <w:rsid w:val="00AD7BBE"/>
    <w:rsid w:val="00AE002D"/>
    <w:rsid w:val="00AE6CE0"/>
    <w:rsid w:val="00B00CFE"/>
    <w:rsid w:val="00B01875"/>
    <w:rsid w:val="00B104B5"/>
    <w:rsid w:val="00B2362A"/>
    <w:rsid w:val="00B273AA"/>
    <w:rsid w:val="00B30065"/>
    <w:rsid w:val="00B32A76"/>
    <w:rsid w:val="00B32F26"/>
    <w:rsid w:val="00B34732"/>
    <w:rsid w:val="00B35324"/>
    <w:rsid w:val="00B36701"/>
    <w:rsid w:val="00B422A0"/>
    <w:rsid w:val="00B46DF8"/>
    <w:rsid w:val="00B53C09"/>
    <w:rsid w:val="00B562EF"/>
    <w:rsid w:val="00B608E7"/>
    <w:rsid w:val="00B61E09"/>
    <w:rsid w:val="00B631FF"/>
    <w:rsid w:val="00B63245"/>
    <w:rsid w:val="00B653D6"/>
    <w:rsid w:val="00B67187"/>
    <w:rsid w:val="00B71997"/>
    <w:rsid w:val="00B743C9"/>
    <w:rsid w:val="00B82B24"/>
    <w:rsid w:val="00B846A6"/>
    <w:rsid w:val="00B92741"/>
    <w:rsid w:val="00B94E62"/>
    <w:rsid w:val="00B96F5B"/>
    <w:rsid w:val="00B97A17"/>
    <w:rsid w:val="00BB72D2"/>
    <w:rsid w:val="00BB761F"/>
    <w:rsid w:val="00BC17EE"/>
    <w:rsid w:val="00BC1C21"/>
    <w:rsid w:val="00BC3F81"/>
    <w:rsid w:val="00BD3F39"/>
    <w:rsid w:val="00BD70BF"/>
    <w:rsid w:val="00BD7700"/>
    <w:rsid w:val="00BE5FB0"/>
    <w:rsid w:val="00BF2B09"/>
    <w:rsid w:val="00BF3857"/>
    <w:rsid w:val="00BF402D"/>
    <w:rsid w:val="00BF509E"/>
    <w:rsid w:val="00BF6EF6"/>
    <w:rsid w:val="00C01BB2"/>
    <w:rsid w:val="00C11D5D"/>
    <w:rsid w:val="00C13814"/>
    <w:rsid w:val="00C14CE8"/>
    <w:rsid w:val="00C15971"/>
    <w:rsid w:val="00C20AC9"/>
    <w:rsid w:val="00C21CCA"/>
    <w:rsid w:val="00C22256"/>
    <w:rsid w:val="00C23652"/>
    <w:rsid w:val="00C273AB"/>
    <w:rsid w:val="00C27FFB"/>
    <w:rsid w:val="00C34A2D"/>
    <w:rsid w:val="00C35F41"/>
    <w:rsid w:val="00C36786"/>
    <w:rsid w:val="00C4190E"/>
    <w:rsid w:val="00C41E36"/>
    <w:rsid w:val="00C56EE3"/>
    <w:rsid w:val="00C60B42"/>
    <w:rsid w:val="00C645A1"/>
    <w:rsid w:val="00C67721"/>
    <w:rsid w:val="00C705FB"/>
    <w:rsid w:val="00C711FB"/>
    <w:rsid w:val="00C724C5"/>
    <w:rsid w:val="00C73917"/>
    <w:rsid w:val="00C77B7F"/>
    <w:rsid w:val="00C82D5D"/>
    <w:rsid w:val="00C8570E"/>
    <w:rsid w:val="00C87B2C"/>
    <w:rsid w:val="00C91617"/>
    <w:rsid w:val="00C93CCF"/>
    <w:rsid w:val="00C968B1"/>
    <w:rsid w:val="00CA07EB"/>
    <w:rsid w:val="00CA2165"/>
    <w:rsid w:val="00CA2507"/>
    <w:rsid w:val="00CA36B2"/>
    <w:rsid w:val="00CB7C1B"/>
    <w:rsid w:val="00CC25BA"/>
    <w:rsid w:val="00CC2FC9"/>
    <w:rsid w:val="00CC55D9"/>
    <w:rsid w:val="00CD05FC"/>
    <w:rsid w:val="00CD55F0"/>
    <w:rsid w:val="00CE1797"/>
    <w:rsid w:val="00CE3859"/>
    <w:rsid w:val="00CE6F46"/>
    <w:rsid w:val="00CF01F0"/>
    <w:rsid w:val="00CF0873"/>
    <w:rsid w:val="00CF1D7F"/>
    <w:rsid w:val="00CF436B"/>
    <w:rsid w:val="00CF637C"/>
    <w:rsid w:val="00CF671B"/>
    <w:rsid w:val="00CF7C01"/>
    <w:rsid w:val="00D001EA"/>
    <w:rsid w:val="00D041D5"/>
    <w:rsid w:val="00D12254"/>
    <w:rsid w:val="00D12929"/>
    <w:rsid w:val="00D13F13"/>
    <w:rsid w:val="00D15FB5"/>
    <w:rsid w:val="00D166B8"/>
    <w:rsid w:val="00D21963"/>
    <w:rsid w:val="00D27834"/>
    <w:rsid w:val="00D64411"/>
    <w:rsid w:val="00D6612D"/>
    <w:rsid w:val="00D667DF"/>
    <w:rsid w:val="00D86F98"/>
    <w:rsid w:val="00DA01FE"/>
    <w:rsid w:val="00DA058B"/>
    <w:rsid w:val="00DA610E"/>
    <w:rsid w:val="00DC3750"/>
    <w:rsid w:val="00DC4F84"/>
    <w:rsid w:val="00DC5EFF"/>
    <w:rsid w:val="00DC6DD7"/>
    <w:rsid w:val="00DC7D0D"/>
    <w:rsid w:val="00DE33DF"/>
    <w:rsid w:val="00DE5636"/>
    <w:rsid w:val="00DE5719"/>
    <w:rsid w:val="00DE5C52"/>
    <w:rsid w:val="00DF5487"/>
    <w:rsid w:val="00DF59D6"/>
    <w:rsid w:val="00DF7628"/>
    <w:rsid w:val="00E03AF0"/>
    <w:rsid w:val="00E122FF"/>
    <w:rsid w:val="00E127EE"/>
    <w:rsid w:val="00E201D6"/>
    <w:rsid w:val="00E2082D"/>
    <w:rsid w:val="00E2182E"/>
    <w:rsid w:val="00E2482E"/>
    <w:rsid w:val="00E24D0D"/>
    <w:rsid w:val="00E31D83"/>
    <w:rsid w:val="00E403BD"/>
    <w:rsid w:val="00E407B1"/>
    <w:rsid w:val="00E43779"/>
    <w:rsid w:val="00E462B4"/>
    <w:rsid w:val="00E467A7"/>
    <w:rsid w:val="00E470EC"/>
    <w:rsid w:val="00E50777"/>
    <w:rsid w:val="00E5187E"/>
    <w:rsid w:val="00E62E66"/>
    <w:rsid w:val="00E666EC"/>
    <w:rsid w:val="00E67EEC"/>
    <w:rsid w:val="00E730C5"/>
    <w:rsid w:val="00E73328"/>
    <w:rsid w:val="00E7461B"/>
    <w:rsid w:val="00E82F71"/>
    <w:rsid w:val="00E90899"/>
    <w:rsid w:val="00E90CB6"/>
    <w:rsid w:val="00E90FEB"/>
    <w:rsid w:val="00E926A0"/>
    <w:rsid w:val="00E93757"/>
    <w:rsid w:val="00E96592"/>
    <w:rsid w:val="00E97310"/>
    <w:rsid w:val="00EA12EB"/>
    <w:rsid w:val="00EA232F"/>
    <w:rsid w:val="00EA38AB"/>
    <w:rsid w:val="00EA42D6"/>
    <w:rsid w:val="00EB6006"/>
    <w:rsid w:val="00EB654D"/>
    <w:rsid w:val="00EC1BEA"/>
    <w:rsid w:val="00EC1E52"/>
    <w:rsid w:val="00ED1954"/>
    <w:rsid w:val="00ED40B0"/>
    <w:rsid w:val="00ED73F0"/>
    <w:rsid w:val="00EE0C7A"/>
    <w:rsid w:val="00EE39DA"/>
    <w:rsid w:val="00EE6C46"/>
    <w:rsid w:val="00EF1BAA"/>
    <w:rsid w:val="00EF24F5"/>
    <w:rsid w:val="00EF2D79"/>
    <w:rsid w:val="00F018BA"/>
    <w:rsid w:val="00F02931"/>
    <w:rsid w:val="00F05C4F"/>
    <w:rsid w:val="00F06587"/>
    <w:rsid w:val="00F12060"/>
    <w:rsid w:val="00F127C6"/>
    <w:rsid w:val="00F13125"/>
    <w:rsid w:val="00F14858"/>
    <w:rsid w:val="00F231F6"/>
    <w:rsid w:val="00F23ABC"/>
    <w:rsid w:val="00F32CE5"/>
    <w:rsid w:val="00F359AD"/>
    <w:rsid w:val="00F37EFB"/>
    <w:rsid w:val="00F4741F"/>
    <w:rsid w:val="00F547E2"/>
    <w:rsid w:val="00F55D94"/>
    <w:rsid w:val="00F6042D"/>
    <w:rsid w:val="00F62CE4"/>
    <w:rsid w:val="00F62EB7"/>
    <w:rsid w:val="00F658CD"/>
    <w:rsid w:val="00F65B81"/>
    <w:rsid w:val="00F701A4"/>
    <w:rsid w:val="00F729AC"/>
    <w:rsid w:val="00F7375F"/>
    <w:rsid w:val="00F80032"/>
    <w:rsid w:val="00F81F98"/>
    <w:rsid w:val="00FA0664"/>
    <w:rsid w:val="00FA1937"/>
    <w:rsid w:val="00FA25EE"/>
    <w:rsid w:val="00FB0C4C"/>
    <w:rsid w:val="00FB1790"/>
    <w:rsid w:val="00FB2964"/>
    <w:rsid w:val="00FB568B"/>
    <w:rsid w:val="00FB5828"/>
    <w:rsid w:val="00FB58F4"/>
    <w:rsid w:val="00FC0FB1"/>
    <w:rsid w:val="00FC1E21"/>
    <w:rsid w:val="00FC3350"/>
    <w:rsid w:val="00FC49EF"/>
    <w:rsid w:val="00FC7085"/>
    <w:rsid w:val="00FC7FFA"/>
    <w:rsid w:val="00FD158E"/>
    <w:rsid w:val="00FD705E"/>
    <w:rsid w:val="00FE3BEE"/>
    <w:rsid w:val="00FF232D"/>
    <w:rsid w:val="00FF4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69"/>
    <w:pPr>
      <w:spacing w:line="220" w:lineRule="exact"/>
    </w:pPr>
    <w:rPr>
      <w:rFonts w:ascii="Tahoma" w:hAnsi="Tahoma" w:cs="Arial"/>
      <w:spacing w:val="10"/>
      <w:sz w:val="16"/>
      <w:szCs w:val="16"/>
      <w:lang w:eastAsia="en-US"/>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E2182E"/>
    <w:pPr>
      <w:spacing w:before="40"/>
      <w:outlineLvl w:val="1"/>
    </w:pPr>
    <w:rPr>
      <w:b/>
      <w:caps/>
    </w:rPr>
  </w:style>
  <w:style w:type="paragraph" w:styleId="Heading3">
    <w:name w:val="heading 3"/>
    <w:basedOn w:val="Normal"/>
    <w:next w:val="Normal"/>
    <w:link w:val="Heading3Char"/>
    <w:qFormat/>
    <w:rsid w:val="00E2182E"/>
    <w:pPr>
      <w:spacing w:before="40"/>
      <w:outlineLvl w:val="2"/>
    </w:pPr>
    <w:rPr>
      <w:b/>
    </w:rPr>
  </w:style>
  <w:style w:type="paragraph" w:styleId="Heading4">
    <w:name w:val="heading 4"/>
    <w:basedOn w:val="Heading3"/>
    <w:next w:val="Normal"/>
    <w:link w:val="Heading4Char"/>
    <w:qFormat/>
    <w:rsid w:val="00BF509E"/>
    <w:pPr>
      <w:spacing w:before="20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82E"/>
    <w:rPr>
      <w:rFonts w:ascii="Tahoma" w:hAnsi="Tahoma" w:cs="Arial"/>
      <w:b/>
      <w:spacing w:val="10"/>
      <w:sz w:val="16"/>
      <w:szCs w:val="16"/>
      <w:lang w:val="en-US" w:eastAsia="en-US" w:bidi="ar-SA"/>
    </w:rPr>
  </w:style>
  <w:style w:type="paragraph" w:styleId="BalloonText">
    <w:name w:val="Balloon Text"/>
    <w:basedOn w:val="Normal"/>
    <w:semiHidden/>
    <w:rsid w:val="001B3669"/>
    <w:rPr>
      <w:rFonts w:cs="Tahoma"/>
    </w:rPr>
  </w:style>
  <w:style w:type="paragraph" w:customStyle="1" w:styleId="Location">
    <w:name w:val="Location"/>
    <w:basedOn w:val="Normal"/>
    <w:link w:val="LocationCharChar"/>
    <w:rsid w:val="00B562EF"/>
    <w:rPr>
      <w:i/>
    </w:rPr>
  </w:style>
  <w:style w:type="character" w:customStyle="1" w:styleId="LocationCharChar">
    <w:name w:val="Location Char Char"/>
    <w:basedOn w:val="DefaultParagraphFont"/>
    <w:link w:val="Location"/>
    <w:rsid w:val="00DC3750"/>
    <w:rPr>
      <w:rFonts w:ascii="Tahoma" w:hAnsi="Tahoma" w:cs="Arial"/>
      <w:i/>
      <w:spacing w:val="10"/>
      <w:sz w:val="16"/>
      <w:szCs w:val="16"/>
      <w:lang w:val="en-US" w:eastAsia="en-US" w:bidi="ar-SA"/>
    </w:rPr>
  </w:style>
  <w:style w:type="paragraph" w:customStyle="1" w:styleId="bulletedlist">
    <w:name w:val="bulleted list"/>
    <w:basedOn w:val="Normal"/>
    <w:rsid w:val="00DF59D6"/>
    <w:pPr>
      <w:numPr>
        <w:numId w:val="4"/>
      </w:numPr>
      <w:spacing w:before="40" w:after="80"/>
    </w:pPr>
  </w:style>
  <w:style w:type="paragraph" w:customStyle="1" w:styleId="BodyText1">
    <w:name w:val="Body Text1"/>
    <w:basedOn w:val="Normal"/>
    <w:rsid w:val="00FB568B"/>
    <w:pPr>
      <w:spacing w:before="40" w:after="240"/>
    </w:pPr>
  </w:style>
  <w:style w:type="paragraph" w:customStyle="1" w:styleId="Dates">
    <w:name w:val="Dates"/>
    <w:basedOn w:val="Normal"/>
    <w:rsid w:val="006510F3"/>
    <w:pPr>
      <w:spacing w:before="40"/>
      <w:jc w:val="right"/>
    </w:pPr>
  </w:style>
  <w:style w:type="paragraph" w:customStyle="1" w:styleId="e-mail">
    <w:name w:val="e-mail"/>
    <w:basedOn w:val="Normal"/>
    <w:rsid w:val="000700B0"/>
    <w:pPr>
      <w:spacing w:after="200"/>
    </w:pPr>
  </w:style>
  <w:style w:type="paragraph" w:customStyle="1" w:styleId="copyright">
    <w:name w:val="copyright"/>
    <w:basedOn w:val="Normal"/>
    <w:rsid w:val="00E2182E"/>
    <w:pPr>
      <w:spacing w:before="360"/>
      <w:ind w:left="907"/>
    </w:pPr>
  </w:style>
  <w:style w:type="paragraph" w:customStyle="1" w:styleId="bulletedlist2">
    <w:name w:val="bulleted list 2"/>
    <w:rsid w:val="002A6913"/>
    <w:pPr>
      <w:numPr>
        <w:numId w:val="14"/>
      </w:numPr>
      <w:spacing w:before="40" w:after="80"/>
    </w:pPr>
    <w:rPr>
      <w:rFonts w:ascii="Tahoma" w:hAnsi="Tahoma" w:cs="Arial"/>
      <w:spacing w:val="10"/>
      <w:sz w:val="16"/>
      <w:szCs w:val="16"/>
      <w:lang w:eastAsia="en-US"/>
    </w:rPr>
  </w:style>
  <w:style w:type="character" w:customStyle="1" w:styleId="Heading4Char">
    <w:name w:val="Heading 4 Char"/>
    <w:basedOn w:val="Heading3Char"/>
    <w:link w:val="Heading4"/>
    <w:rsid w:val="00BF509E"/>
    <w:rPr>
      <w:rFonts w:ascii="Tahoma" w:hAnsi="Tahoma" w:cs="Arial"/>
      <w:b/>
      <w:spacing w:val="10"/>
      <w:sz w:val="16"/>
      <w:szCs w:val="16"/>
      <w:lang w:val="en-US" w:eastAsia="en-US" w:bidi="ar-SA"/>
    </w:rPr>
  </w:style>
  <w:style w:type="paragraph" w:customStyle="1" w:styleId="Locationwspace">
    <w:name w:val="Location w/space"/>
    <w:basedOn w:val="Normal"/>
    <w:rsid w:val="00BF509E"/>
    <w:pPr>
      <w:spacing w:after="160"/>
    </w:pPr>
    <w:rPr>
      <w:rFonts w:cs="Times New Roman"/>
      <w:szCs w:val="20"/>
    </w:rPr>
  </w:style>
  <w:style w:type="paragraph" w:styleId="Header">
    <w:name w:val="header"/>
    <w:basedOn w:val="Normal"/>
    <w:link w:val="HeaderChar"/>
    <w:rsid w:val="006E147A"/>
    <w:pPr>
      <w:tabs>
        <w:tab w:val="center" w:pos="4680"/>
        <w:tab w:val="right" w:pos="9360"/>
      </w:tabs>
      <w:spacing w:line="240" w:lineRule="auto"/>
    </w:pPr>
  </w:style>
  <w:style w:type="character" w:customStyle="1" w:styleId="HeaderChar">
    <w:name w:val="Header Char"/>
    <w:basedOn w:val="DefaultParagraphFont"/>
    <w:link w:val="Header"/>
    <w:rsid w:val="006E147A"/>
    <w:rPr>
      <w:rFonts w:ascii="Tahoma" w:hAnsi="Tahoma" w:cs="Arial"/>
      <w:spacing w:val="10"/>
      <w:sz w:val="16"/>
      <w:szCs w:val="16"/>
      <w:lang w:eastAsia="en-US"/>
    </w:rPr>
  </w:style>
  <w:style w:type="paragraph" w:styleId="Footer">
    <w:name w:val="footer"/>
    <w:basedOn w:val="Normal"/>
    <w:link w:val="FooterChar"/>
    <w:rsid w:val="006E147A"/>
    <w:pPr>
      <w:tabs>
        <w:tab w:val="center" w:pos="4680"/>
        <w:tab w:val="right" w:pos="9360"/>
      </w:tabs>
      <w:spacing w:line="240" w:lineRule="auto"/>
    </w:pPr>
  </w:style>
  <w:style w:type="character" w:customStyle="1" w:styleId="FooterChar">
    <w:name w:val="Footer Char"/>
    <w:basedOn w:val="DefaultParagraphFont"/>
    <w:link w:val="Footer"/>
    <w:rsid w:val="006E147A"/>
    <w:rPr>
      <w:rFonts w:ascii="Tahoma" w:hAnsi="Tahoma" w:cs="Arial"/>
      <w:spacing w:val="10"/>
      <w:sz w:val="16"/>
      <w:szCs w:val="16"/>
      <w:lang w:eastAsia="en-US"/>
    </w:rPr>
  </w:style>
  <w:style w:type="character" w:styleId="Hyperlink">
    <w:name w:val="Hyperlink"/>
    <w:basedOn w:val="DefaultParagraphFont"/>
    <w:rsid w:val="005C1FA4"/>
    <w:rPr>
      <w:color w:val="0000FF" w:themeColor="hyperlink"/>
      <w:u w:val="single"/>
    </w:rPr>
  </w:style>
  <w:style w:type="paragraph" w:styleId="ListParagraph">
    <w:name w:val="List Paragraph"/>
    <w:basedOn w:val="Normal"/>
    <w:uiPriority w:val="34"/>
    <w:qFormat/>
    <w:rsid w:val="0048363D"/>
    <w:pPr>
      <w:ind w:left="720"/>
      <w:contextualSpacing/>
    </w:pPr>
  </w:style>
  <w:style w:type="paragraph" w:styleId="NoSpacing">
    <w:name w:val="No Spacing"/>
    <w:uiPriority w:val="1"/>
    <w:qFormat/>
    <w:rsid w:val="00AA2426"/>
    <w:rPr>
      <w:rFonts w:ascii="Tahoma" w:hAnsi="Tahoma" w:cs="Arial"/>
      <w:spacing w:val="10"/>
      <w:sz w:val="16"/>
      <w:szCs w:val="16"/>
      <w:lang w:eastAsia="en-US"/>
    </w:rPr>
  </w:style>
  <w:style w:type="paragraph" w:styleId="Revision">
    <w:name w:val="Revision"/>
    <w:hidden/>
    <w:uiPriority w:val="99"/>
    <w:semiHidden/>
    <w:rsid w:val="008374CA"/>
    <w:rPr>
      <w:rFonts w:ascii="Tahoma" w:hAnsi="Tahoma" w:cs="Arial"/>
      <w:spacing w:val="10"/>
      <w:sz w:val="16"/>
      <w:szCs w:val="16"/>
      <w:lang w:eastAsia="en-US"/>
    </w:rPr>
  </w:style>
  <w:style w:type="character" w:customStyle="1" w:styleId="UnresolvedMention">
    <w:name w:val="Unresolved Mention"/>
    <w:basedOn w:val="DefaultParagraphFont"/>
    <w:uiPriority w:val="99"/>
    <w:semiHidden/>
    <w:unhideWhenUsed/>
    <w:rsid w:val="00C82D5D"/>
    <w:rPr>
      <w:color w:val="605E5C"/>
      <w:shd w:val="clear" w:color="auto" w:fill="E1DFDD"/>
    </w:rPr>
  </w:style>
  <w:style w:type="character" w:styleId="FollowedHyperlink">
    <w:name w:val="FollowedHyperlink"/>
    <w:basedOn w:val="DefaultParagraphFont"/>
    <w:semiHidden/>
    <w:unhideWhenUsed/>
    <w:rsid w:val="002221F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69"/>
    <w:pPr>
      <w:spacing w:line="220" w:lineRule="exact"/>
    </w:pPr>
    <w:rPr>
      <w:rFonts w:ascii="Tahoma" w:hAnsi="Tahoma" w:cs="Arial"/>
      <w:spacing w:val="10"/>
      <w:sz w:val="16"/>
      <w:szCs w:val="16"/>
      <w:lang w:eastAsia="en-US"/>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E2182E"/>
    <w:pPr>
      <w:spacing w:before="40"/>
      <w:outlineLvl w:val="1"/>
    </w:pPr>
    <w:rPr>
      <w:b/>
      <w:caps/>
    </w:rPr>
  </w:style>
  <w:style w:type="paragraph" w:styleId="Heading3">
    <w:name w:val="heading 3"/>
    <w:basedOn w:val="Normal"/>
    <w:next w:val="Normal"/>
    <w:link w:val="Heading3Char"/>
    <w:qFormat/>
    <w:rsid w:val="00E2182E"/>
    <w:pPr>
      <w:spacing w:before="40"/>
      <w:outlineLvl w:val="2"/>
    </w:pPr>
    <w:rPr>
      <w:b/>
    </w:rPr>
  </w:style>
  <w:style w:type="paragraph" w:styleId="Heading4">
    <w:name w:val="heading 4"/>
    <w:basedOn w:val="Heading3"/>
    <w:next w:val="Normal"/>
    <w:link w:val="Heading4Char"/>
    <w:qFormat/>
    <w:rsid w:val="00BF509E"/>
    <w:pPr>
      <w:spacing w:before="20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82E"/>
    <w:rPr>
      <w:rFonts w:ascii="Tahoma" w:hAnsi="Tahoma" w:cs="Arial"/>
      <w:b/>
      <w:spacing w:val="10"/>
      <w:sz w:val="16"/>
      <w:szCs w:val="16"/>
      <w:lang w:val="en-US" w:eastAsia="en-US" w:bidi="ar-SA"/>
    </w:rPr>
  </w:style>
  <w:style w:type="paragraph" w:styleId="BalloonText">
    <w:name w:val="Balloon Text"/>
    <w:basedOn w:val="Normal"/>
    <w:semiHidden/>
    <w:rsid w:val="001B3669"/>
    <w:rPr>
      <w:rFonts w:cs="Tahoma"/>
    </w:rPr>
  </w:style>
  <w:style w:type="paragraph" w:customStyle="1" w:styleId="Location">
    <w:name w:val="Location"/>
    <w:basedOn w:val="Normal"/>
    <w:link w:val="LocationCharChar"/>
    <w:rsid w:val="00B562EF"/>
    <w:rPr>
      <w:i/>
    </w:rPr>
  </w:style>
  <w:style w:type="character" w:customStyle="1" w:styleId="LocationCharChar">
    <w:name w:val="Location Char Char"/>
    <w:basedOn w:val="DefaultParagraphFont"/>
    <w:link w:val="Location"/>
    <w:rsid w:val="00DC3750"/>
    <w:rPr>
      <w:rFonts w:ascii="Tahoma" w:hAnsi="Tahoma" w:cs="Arial"/>
      <w:i/>
      <w:spacing w:val="10"/>
      <w:sz w:val="16"/>
      <w:szCs w:val="16"/>
      <w:lang w:val="en-US" w:eastAsia="en-US" w:bidi="ar-SA"/>
    </w:rPr>
  </w:style>
  <w:style w:type="paragraph" w:customStyle="1" w:styleId="bulletedlist">
    <w:name w:val="bulleted list"/>
    <w:basedOn w:val="Normal"/>
    <w:rsid w:val="00DF59D6"/>
    <w:pPr>
      <w:numPr>
        <w:numId w:val="4"/>
      </w:numPr>
      <w:spacing w:before="40" w:after="80"/>
    </w:pPr>
  </w:style>
  <w:style w:type="paragraph" w:customStyle="1" w:styleId="BodyText1">
    <w:name w:val="Body Text1"/>
    <w:basedOn w:val="Normal"/>
    <w:rsid w:val="00FB568B"/>
    <w:pPr>
      <w:spacing w:before="40" w:after="240"/>
    </w:pPr>
  </w:style>
  <w:style w:type="paragraph" w:customStyle="1" w:styleId="Dates">
    <w:name w:val="Dates"/>
    <w:basedOn w:val="Normal"/>
    <w:rsid w:val="006510F3"/>
    <w:pPr>
      <w:spacing w:before="40"/>
      <w:jc w:val="right"/>
    </w:pPr>
  </w:style>
  <w:style w:type="paragraph" w:customStyle="1" w:styleId="e-mail">
    <w:name w:val="e-mail"/>
    <w:basedOn w:val="Normal"/>
    <w:rsid w:val="000700B0"/>
    <w:pPr>
      <w:spacing w:after="200"/>
    </w:pPr>
  </w:style>
  <w:style w:type="paragraph" w:customStyle="1" w:styleId="copyright">
    <w:name w:val="copyright"/>
    <w:basedOn w:val="Normal"/>
    <w:rsid w:val="00E2182E"/>
    <w:pPr>
      <w:spacing w:before="360"/>
      <w:ind w:left="907"/>
    </w:pPr>
  </w:style>
  <w:style w:type="paragraph" w:customStyle="1" w:styleId="bulletedlist2">
    <w:name w:val="bulleted list 2"/>
    <w:rsid w:val="002A6913"/>
    <w:pPr>
      <w:numPr>
        <w:numId w:val="14"/>
      </w:numPr>
      <w:spacing w:before="40" w:after="80"/>
    </w:pPr>
    <w:rPr>
      <w:rFonts w:ascii="Tahoma" w:hAnsi="Tahoma" w:cs="Arial"/>
      <w:spacing w:val="10"/>
      <w:sz w:val="16"/>
      <w:szCs w:val="16"/>
      <w:lang w:eastAsia="en-US"/>
    </w:rPr>
  </w:style>
  <w:style w:type="character" w:customStyle="1" w:styleId="Heading4Char">
    <w:name w:val="Heading 4 Char"/>
    <w:basedOn w:val="Heading3Char"/>
    <w:link w:val="Heading4"/>
    <w:rsid w:val="00BF509E"/>
    <w:rPr>
      <w:rFonts w:ascii="Tahoma" w:hAnsi="Tahoma" w:cs="Arial"/>
      <w:b/>
      <w:spacing w:val="10"/>
      <w:sz w:val="16"/>
      <w:szCs w:val="16"/>
      <w:lang w:val="en-US" w:eastAsia="en-US" w:bidi="ar-SA"/>
    </w:rPr>
  </w:style>
  <w:style w:type="paragraph" w:customStyle="1" w:styleId="Locationwspace">
    <w:name w:val="Location w/space"/>
    <w:basedOn w:val="Normal"/>
    <w:rsid w:val="00BF509E"/>
    <w:pPr>
      <w:spacing w:after="160"/>
    </w:pPr>
    <w:rPr>
      <w:rFonts w:cs="Times New Roman"/>
      <w:szCs w:val="20"/>
    </w:rPr>
  </w:style>
  <w:style w:type="paragraph" w:styleId="Header">
    <w:name w:val="header"/>
    <w:basedOn w:val="Normal"/>
    <w:link w:val="HeaderChar"/>
    <w:rsid w:val="006E147A"/>
    <w:pPr>
      <w:tabs>
        <w:tab w:val="center" w:pos="4680"/>
        <w:tab w:val="right" w:pos="9360"/>
      </w:tabs>
      <w:spacing w:line="240" w:lineRule="auto"/>
    </w:pPr>
  </w:style>
  <w:style w:type="character" w:customStyle="1" w:styleId="HeaderChar">
    <w:name w:val="Header Char"/>
    <w:basedOn w:val="DefaultParagraphFont"/>
    <w:link w:val="Header"/>
    <w:rsid w:val="006E147A"/>
    <w:rPr>
      <w:rFonts w:ascii="Tahoma" w:hAnsi="Tahoma" w:cs="Arial"/>
      <w:spacing w:val="10"/>
      <w:sz w:val="16"/>
      <w:szCs w:val="16"/>
      <w:lang w:eastAsia="en-US"/>
    </w:rPr>
  </w:style>
  <w:style w:type="paragraph" w:styleId="Footer">
    <w:name w:val="footer"/>
    <w:basedOn w:val="Normal"/>
    <w:link w:val="FooterChar"/>
    <w:rsid w:val="006E147A"/>
    <w:pPr>
      <w:tabs>
        <w:tab w:val="center" w:pos="4680"/>
        <w:tab w:val="right" w:pos="9360"/>
      </w:tabs>
      <w:spacing w:line="240" w:lineRule="auto"/>
    </w:pPr>
  </w:style>
  <w:style w:type="character" w:customStyle="1" w:styleId="FooterChar">
    <w:name w:val="Footer Char"/>
    <w:basedOn w:val="DefaultParagraphFont"/>
    <w:link w:val="Footer"/>
    <w:rsid w:val="006E147A"/>
    <w:rPr>
      <w:rFonts w:ascii="Tahoma" w:hAnsi="Tahoma" w:cs="Arial"/>
      <w:spacing w:val="10"/>
      <w:sz w:val="16"/>
      <w:szCs w:val="16"/>
      <w:lang w:eastAsia="en-US"/>
    </w:rPr>
  </w:style>
  <w:style w:type="character" w:styleId="Hyperlink">
    <w:name w:val="Hyperlink"/>
    <w:basedOn w:val="DefaultParagraphFont"/>
    <w:rsid w:val="005C1FA4"/>
    <w:rPr>
      <w:color w:val="0000FF" w:themeColor="hyperlink"/>
      <w:u w:val="single"/>
    </w:rPr>
  </w:style>
  <w:style w:type="paragraph" w:styleId="ListParagraph">
    <w:name w:val="List Paragraph"/>
    <w:basedOn w:val="Normal"/>
    <w:uiPriority w:val="34"/>
    <w:qFormat/>
    <w:rsid w:val="0048363D"/>
    <w:pPr>
      <w:ind w:left="720"/>
      <w:contextualSpacing/>
    </w:pPr>
  </w:style>
  <w:style w:type="paragraph" w:styleId="NoSpacing">
    <w:name w:val="No Spacing"/>
    <w:uiPriority w:val="1"/>
    <w:qFormat/>
    <w:rsid w:val="00AA2426"/>
    <w:rPr>
      <w:rFonts w:ascii="Tahoma" w:hAnsi="Tahoma" w:cs="Arial"/>
      <w:spacing w:val="10"/>
      <w:sz w:val="16"/>
      <w:szCs w:val="16"/>
      <w:lang w:eastAsia="en-US"/>
    </w:rPr>
  </w:style>
  <w:style w:type="paragraph" w:styleId="Revision">
    <w:name w:val="Revision"/>
    <w:hidden/>
    <w:uiPriority w:val="99"/>
    <w:semiHidden/>
    <w:rsid w:val="008374CA"/>
    <w:rPr>
      <w:rFonts w:ascii="Tahoma" w:hAnsi="Tahoma" w:cs="Arial"/>
      <w:spacing w:val="10"/>
      <w:sz w:val="16"/>
      <w:szCs w:val="16"/>
      <w:lang w:eastAsia="en-US"/>
    </w:rPr>
  </w:style>
  <w:style w:type="character" w:customStyle="1" w:styleId="UnresolvedMention">
    <w:name w:val="Unresolved Mention"/>
    <w:basedOn w:val="DefaultParagraphFont"/>
    <w:uiPriority w:val="99"/>
    <w:semiHidden/>
    <w:unhideWhenUsed/>
    <w:rsid w:val="00C82D5D"/>
    <w:rPr>
      <w:color w:val="605E5C"/>
      <w:shd w:val="clear" w:color="auto" w:fill="E1DFDD"/>
    </w:rPr>
  </w:style>
  <w:style w:type="character" w:styleId="FollowedHyperlink">
    <w:name w:val="FollowedHyperlink"/>
    <w:basedOn w:val="DefaultParagraphFont"/>
    <w:semiHidden/>
    <w:unhideWhenUsed/>
    <w:rsid w:val="002221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esume.io/?id=cpdokyF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ame.surname@yahoo.com" TargetMode="External"/><Relationship Id="rId10" Type="http://schemas.openxmlformats.org/officeDocument/2006/relationships/hyperlink" Target="https://resume.io/?id=cpdokyF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7349\AppData\Roaming\Microsoft\Templates\Corporate%20controll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9B02-689A-FE4E-846D-593EAA0D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\Users\007349\AppData\Roaming\Microsoft\Templates\Corporate controller resume.dot</Template>
  <TotalTime>1</TotalTime>
  <Pages>4</Pages>
  <Words>1836</Words>
  <Characters>10466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12278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Waldo Yolo</cp:lastModifiedBy>
  <cp:revision>2</cp:revision>
  <cp:lastPrinted>2016-07-05T18:18:00Z</cp:lastPrinted>
  <dcterms:created xsi:type="dcterms:W3CDTF">2019-05-02T13:09:00Z</dcterms:created>
  <dcterms:modified xsi:type="dcterms:W3CDTF">2019-05-02T13:09:00Z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TC063694231033</vt:lpwstr>
  </property>
</Properties>
</file>