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0577E" w14:textId="77777777" w:rsidR="00B06E39" w:rsidRDefault="00000000">
      <w:pPr>
        <w:pStyle w:val="Title"/>
        <w:jc w:val="center"/>
      </w:pPr>
      <w:r>
        <w:t>Check-in 3: L2 &amp; L4 — Dhruv Sachin Jain</w:t>
      </w:r>
    </w:p>
    <w:p w14:paraId="55495E1B" w14:textId="77777777" w:rsidR="00B06E39" w:rsidRDefault="00000000">
      <w:pPr>
        <w:jc w:val="center"/>
      </w:pPr>
      <w:r>
        <w:t>Fake Review Detection on Yelp Using Multi-Signal Analysis</w:t>
      </w:r>
      <w:r>
        <w:br/>
        <w:t>CMPE 255 – Data Mining, Spring 2026 — Group 7</w:t>
      </w:r>
    </w:p>
    <w:p w14:paraId="7AAC09C5" w14:textId="77777777" w:rsidR="00B06E39" w:rsidRDefault="00B06E39"/>
    <w:p w14:paraId="34FFD436" w14:textId="77777777" w:rsidR="00B06E39" w:rsidRDefault="00000000">
      <w:pPr>
        <w:pStyle w:val="Heading1"/>
      </w:pPr>
      <w:r>
        <w:t>6.2 Layer 2: FP-Growth Association Rule Mining (Completed)</w:t>
      </w:r>
    </w:p>
    <w:p w14:paraId="557CE904" w14:textId="77777777" w:rsidR="00B06E39" w:rsidRDefault="00000000">
      <w:r>
        <w:t>For L2, we use reviewer_profiles.csv from the L1 pipeline because it already summarizes each reviewer's behavior into one row. Rather than directly inputting numbers into FP-Growth, we take a small number of key features and encode them into simple categories so that each reviewer is treated as a basket of traits. We use FP-Growth instead of Apriori because reviewer_profiles.csv is large (260,277 rows), and Apriori gets bogged down generating and testing millions of candidate itemsets. FP-Growth, developed by Han, Pei, and Yin [8], compresses the transaction database into a frequent-pattern tree and mines patterns through conditional pattern bases, eliminating the expensive candidate generation process altogether. We then examine support, confidence, and lift to ensure we are finding meaningful combinations of behaviors and check that the top results are associated with higher spam rates, since we are looking for combinations that are actually useful for detecting suspicious reviewers.</w:t>
      </w:r>
    </w:p>
    <w:p w14:paraId="340430A5" w14:textId="77777777" w:rsidR="00B06E39" w:rsidRDefault="00000000">
      <w:r>
        <w:t>The L2 pipeline consists of three sequential scripts. The first script (01_basket_encoding.py) discretizes four numeric reviewer features into categorical basket items:</w:t>
      </w:r>
    </w:p>
    <w:tbl>
      <w:tblPr>
        <w:tblStyle w:val="LightShading-Accent1"/>
        <w:tblW w:w="0" w:type="auto"/>
        <w:jc w:val="center"/>
        <w:tblLook w:val="04A0" w:firstRow="1" w:lastRow="0" w:firstColumn="1" w:lastColumn="0" w:noHBand="0" w:noVBand="1"/>
      </w:tblPr>
      <w:tblGrid>
        <w:gridCol w:w="4320"/>
        <w:gridCol w:w="4320"/>
      </w:tblGrid>
      <w:tr w:rsidR="00B06E39" w14:paraId="46EF1EF7" w14:textId="77777777" w:rsidTr="00B06E3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FCAFCE4" w14:textId="77777777" w:rsidR="00B06E39" w:rsidRDefault="00000000">
            <w:r>
              <w:rPr>
                <w:sz w:val="18"/>
              </w:rPr>
              <w:t>Feature</w:t>
            </w:r>
          </w:p>
        </w:tc>
        <w:tc>
          <w:tcPr>
            <w:tcW w:w="4320" w:type="dxa"/>
          </w:tcPr>
          <w:p w14:paraId="49546D3A" w14:textId="77777777" w:rsidR="00B06E39" w:rsidRDefault="00000000">
            <w:pPr>
              <w:cnfStyle w:val="100000000000" w:firstRow="1" w:lastRow="0" w:firstColumn="0" w:lastColumn="0" w:oddVBand="0" w:evenVBand="0" w:oddHBand="0" w:evenHBand="0" w:firstRowFirstColumn="0" w:firstRowLastColumn="0" w:lastRowFirstColumn="0" w:lastRowLastColumn="0"/>
            </w:pPr>
            <w:r>
              <w:rPr>
                <w:sz w:val="18"/>
              </w:rPr>
              <w:t>Bins</w:t>
            </w:r>
          </w:p>
        </w:tc>
      </w:tr>
      <w:tr w:rsidR="00B06E39" w14:paraId="384549C5" w14:textId="77777777" w:rsidTr="00B06E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E83BBDA" w14:textId="77777777" w:rsidR="00B06E39" w:rsidRDefault="00000000">
            <w:r>
              <w:rPr>
                <w:sz w:val="18"/>
              </w:rPr>
              <w:t>review_count</w:t>
            </w:r>
          </w:p>
        </w:tc>
        <w:tc>
          <w:tcPr>
            <w:tcW w:w="4320" w:type="dxa"/>
          </w:tcPr>
          <w:p w14:paraId="7ECA7707" w14:textId="77777777" w:rsidR="00B06E39" w:rsidRDefault="00000000">
            <w:pPr>
              <w:cnfStyle w:val="000000100000" w:firstRow="0" w:lastRow="0" w:firstColumn="0" w:lastColumn="0" w:oddVBand="0" w:evenVBand="0" w:oddHBand="1" w:evenHBand="0" w:firstRowFirstColumn="0" w:firstRowLastColumn="0" w:lastRowFirstColumn="0" w:lastRowLastColumn="0"/>
            </w:pPr>
            <w:r>
              <w:rPr>
                <w:sz w:val="18"/>
              </w:rPr>
              <w:t>Low (&lt;=2) / Medium (3-10) / High (&gt;10)</w:t>
            </w:r>
          </w:p>
        </w:tc>
      </w:tr>
      <w:tr w:rsidR="00B06E39" w14:paraId="5B9B2396" w14:textId="77777777" w:rsidTr="00B06E39">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552BD8B7" w14:textId="77777777" w:rsidR="00B06E39" w:rsidRDefault="00000000">
            <w:r>
              <w:rPr>
                <w:sz w:val="18"/>
              </w:rPr>
              <w:t>tenure_days</w:t>
            </w:r>
          </w:p>
        </w:tc>
        <w:tc>
          <w:tcPr>
            <w:tcW w:w="4320" w:type="dxa"/>
          </w:tcPr>
          <w:p w14:paraId="0E25CFA2" w14:textId="77777777" w:rsidR="00B06E39" w:rsidRDefault="00000000">
            <w:pPr>
              <w:cnfStyle w:val="000000000000" w:firstRow="0" w:lastRow="0" w:firstColumn="0" w:lastColumn="0" w:oddVBand="0" w:evenVBand="0" w:oddHBand="0" w:evenHBand="0" w:firstRowFirstColumn="0" w:firstRowLastColumn="0" w:lastRowFirstColumn="0" w:lastRowLastColumn="0"/>
            </w:pPr>
            <w:r>
              <w:rPr>
                <w:sz w:val="18"/>
              </w:rPr>
              <w:t>new (&lt;30d) / moderate (30-180d) / established (181-365d) / veteran (&gt;365d)</w:t>
            </w:r>
          </w:p>
        </w:tc>
      </w:tr>
      <w:tr w:rsidR="00B06E39" w14:paraId="7B1A03E1" w14:textId="77777777" w:rsidTr="00B06E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9B111FF" w14:textId="77777777" w:rsidR="00B06E39" w:rsidRDefault="00000000">
            <w:r>
              <w:rPr>
                <w:sz w:val="18"/>
              </w:rPr>
              <w:t>max_seller_fraction</w:t>
            </w:r>
          </w:p>
        </w:tc>
        <w:tc>
          <w:tcPr>
            <w:tcW w:w="4320" w:type="dxa"/>
          </w:tcPr>
          <w:p w14:paraId="490C620A" w14:textId="77777777" w:rsidR="00B06E39" w:rsidRDefault="00000000">
            <w:pPr>
              <w:cnfStyle w:val="000000100000" w:firstRow="0" w:lastRow="0" w:firstColumn="0" w:lastColumn="0" w:oddVBand="0" w:evenVBand="0" w:oddHBand="1" w:evenHBand="0" w:firstRowFirstColumn="0" w:firstRowLastColumn="0" w:lastRowFirstColumn="0" w:lastRowLastColumn="0"/>
            </w:pPr>
            <w:r>
              <w:rPr>
                <w:sz w:val="18"/>
              </w:rPr>
              <w:t>Low (&lt;0.50) / High (&gt;=0.50)</w:t>
            </w:r>
          </w:p>
        </w:tc>
      </w:tr>
      <w:tr w:rsidR="00B06E39" w14:paraId="2EEC013E" w14:textId="77777777" w:rsidTr="00B06E39">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3013BE4F" w14:textId="77777777" w:rsidR="00B06E39" w:rsidRDefault="00000000">
            <w:r>
              <w:rPr>
                <w:sz w:val="18"/>
              </w:rPr>
              <w:t>burst_score</w:t>
            </w:r>
          </w:p>
        </w:tc>
        <w:tc>
          <w:tcPr>
            <w:tcW w:w="4320" w:type="dxa"/>
          </w:tcPr>
          <w:p w14:paraId="0078A203" w14:textId="77777777" w:rsidR="00B06E39" w:rsidRDefault="00000000">
            <w:pPr>
              <w:cnfStyle w:val="000000000000" w:firstRow="0" w:lastRow="0" w:firstColumn="0" w:lastColumn="0" w:oddVBand="0" w:evenVBand="0" w:oddHBand="0" w:evenHBand="0" w:firstRowFirstColumn="0" w:firstRowLastColumn="0" w:lastRowFirstColumn="0" w:lastRowLastColumn="0"/>
            </w:pPr>
            <w:r>
              <w:rPr>
                <w:sz w:val="18"/>
              </w:rPr>
              <w:t>Normal (&lt;=2) / Bursty (&gt;2)</w:t>
            </w:r>
          </w:p>
        </w:tc>
      </w:tr>
    </w:tbl>
    <w:p w14:paraId="0B34D03E" w14:textId="77777777" w:rsidR="00B06E39" w:rsidRDefault="00000000">
      <w:pPr>
        <w:jc w:val="center"/>
      </w:pPr>
      <w:r>
        <w:rPr>
          <w:i/>
          <w:sz w:val="18"/>
        </w:rPr>
        <w:t>Table 3: Basket Encoding Discretization Scheme</w:t>
      </w:r>
    </w:p>
    <w:p w14:paraId="04259469" w14:textId="77777777" w:rsidR="00B06E39" w:rsidRDefault="00000000">
      <w:r>
        <w:t>Each reviewer's discretized features form a basket (e.g., "review_count=Low | tenure=new | seller_conc=High | burst=Normal"). All 260,277 reviewers were encoded. The overall dataset spam rate is 13.2%.</w:t>
      </w:r>
    </w:p>
    <w:p w14:paraId="30BB2C9E" w14:textId="77777777" w:rsidR="00B06E39" w:rsidRDefault="00000000">
      <w:r>
        <w:t>The second script (02_fpgrowth_mining.py) one-hot encodes the baskets with mlxtend's TransactionEncoder and runs FP-Growth with min_support = 0.05, meaning an itemset must appear in at least ~13,000 reviewers to be considered frequent. This produced 35 frequent itemsets. The third script (03_rule_analysis.py) extracts association rules with min_lift = 1.2 and correlates each rule's antecedent group with the mean spam rate of reviewers matching that pattern. Rules where the antecedent group's spam rate exceeds 20% (well above the 13.2% baseline) are flagged as spam-correlated.</w:t>
      </w:r>
    </w:p>
    <w:p w14:paraId="17AB6887" w14:textId="77777777" w:rsidR="00B06E39" w:rsidRDefault="00000000">
      <w:pPr>
        <w:pStyle w:val="Heading2"/>
      </w:pPr>
      <w:r>
        <w:lastRenderedPageBreak/>
        <w:t>6.2.1 Results</w:t>
      </w:r>
    </w:p>
    <w:p w14:paraId="25D5CAF0" w14:textId="77777777" w:rsidR="00B06E39" w:rsidRDefault="00000000">
      <w:r>
        <w:t>The dominant basket profile is {review_count=Low, tenure=new, seller_conc=High, burst=Normal}, appearing in 73% of all reviewers with a combined support of 0.73. This profile carries a spam rate of 29.1%, more than double the dataset average. In contrast, the medium-activity profile {review_count=Medium, seller_conc=Low} has 100% confidence association with burst=Normal behavior and carries a much lower spam rate (~8%). Veteran reviewers with diverse seller portfolios consistently appear in low-spam-rate groups (3.6% for tenure=veteran).</w:t>
      </w:r>
    </w:p>
    <w:p w14:paraId="15D72AC0" w14:textId="77777777" w:rsidR="00B06E39" w:rsidRDefault="00000000">
      <w:r>
        <w:t>24 rules exceeded the 20% spam-rate cutoff. The top rules all involve the combination {tenure=new, review_count=Low, seller_conc=High}, confirming that new, low-volume reviewers concentrated on a single seller form the highest-risk behavioral profile. This finding aligns with the L1 OLAP result that new accounts are 14x more likely to produce spam than veterans.</w:t>
      </w:r>
    </w:p>
    <w:tbl>
      <w:tblPr>
        <w:tblStyle w:val="LightShading-Accent1"/>
        <w:tblW w:w="0" w:type="auto"/>
        <w:jc w:val="center"/>
        <w:tblLook w:val="04A0" w:firstRow="1" w:lastRow="0" w:firstColumn="1" w:lastColumn="0" w:noHBand="0" w:noVBand="1"/>
      </w:tblPr>
      <w:tblGrid>
        <w:gridCol w:w="1763"/>
        <w:gridCol w:w="1722"/>
        <w:gridCol w:w="1362"/>
        <w:gridCol w:w="1337"/>
        <w:gridCol w:w="1328"/>
        <w:gridCol w:w="1344"/>
      </w:tblGrid>
      <w:tr w:rsidR="00B06E39" w14:paraId="16CFF550" w14:textId="77777777" w:rsidTr="00B06E3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A8FC381" w14:textId="77777777" w:rsidR="00B06E39" w:rsidRDefault="00000000">
            <w:r>
              <w:rPr>
                <w:sz w:val="18"/>
              </w:rPr>
              <w:t>Antecedent</w:t>
            </w:r>
          </w:p>
        </w:tc>
        <w:tc>
          <w:tcPr>
            <w:tcW w:w="1440" w:type="dxa"/>
          </w:tcPr>
          <w:p w14:paraId="784C1373" w14:textId="77777777" w:rsidR="00B06E39" w:rsidRDefault="00000000">
            <w:pPr>
              <w:cnfStyle w:val="100000000000" w:firstRow="1" w:lastRow="0" w:firstColumn="0" w:lastColumn="0" w:oddVBand="0" w:evenVBand="0" w:oddHBand="0" w:evenHBand="0" w:firstRowFirstColumn="0" w:firstRowLastColumn="0" w:lastRowFirstColumn="0" w:lastRowLastColumn="0"/>
            </w:pPr>
            <w:r>
              <w:rPr>
                <w:sz w:val="18"/>
              </w:rPr>
              <w:t>Consequent</w:t>
            </w:r>
          </w:p>
        </w:tc>
        <w:tc>
          <w:tcPr>
            <w:tcW w:w="1440" w:type="dxa"/>
          </w:tcPr>
          <w:p w14:paraId="19931472" w14:textId="77777777" w:rsidR="00B06E39" w:rsidRDefault="00000000">
            <w:pPr>
              <w:cnfStyle w:val="100000000000" w:firstRow="1" w:lastRow="0" w:firstColumn="0" w:lastColumn="0" w:oddVBand="0" w:evenVBand="0" w:oddHBand="0" w:evenHBand="0" w:firstRowFirstColumn="0" w:firstRowLastColumn="0" w:lastRowFirstColumn="0" w:lastRowLastColumn="0"/>
            </w:pPr>
            <w:r>
              <w:rPr>
                <w:sz w:val="18"/>
              </w:rPr>
              <w:t>Support</w:t>
            </w:r>
          </w:p>
        </w:tc>
        <w:tc>
          <w:tcPr>
            <w:tcW w:w="1440" w:type="dxa"/>
          </w:tcPr>
          <w:p w14:paraId="3A842205" w14:textId="77777777" w:rsidR="00B06E39" w:rsidRDefault="00000000">
            <w:pPr>
              <w:cnfStyle w:val="100000000000" w:firstRow="1" w:lastRow="0" w:firstColumn="0" w:lastColumn="0" w:oddVBand="0" w:evenVBand="0" w:oddHBand="0" w:evenHBand="0" w:firstRowFirstColumn="0" w:firstRowLastColumn="0" w:lastRowFirstColumn="0" w:lastRowLastColumn="0"/>
            </w:pPr>
            <w:r>
              <w:rPr>
                <w:sz w:val="18"/>
              </w:rPr>
              <w:t>Conf.</w:t>
            </w:r>
          </w:p>
        </w:tc>
        <w:tc>
          <w:tcPr>
            <w:tcW w:w="1440" w:type="dxa"/>
          </w:tcPr>
          <w:p w14:paraId="7A19F407" w14:textId="77777777" w:rsidR="00B06E39" w:rsidRDefault="00000000">
            <w:pPr>
              <w:cnfStyle w:val="100000000000" w:firstRow="1" w:lastRow="0" w:firstColumn="0" w:lastColumn="0" w:oddVBand="0" w:evenVBand="0" w:oddHBand="0" w:evenHBand="0" w:firstRowFirstColumn="0" w:firstRowLastColumn="0" w:lastRowFirstColumn="0" w:lastRowLastColumn="0"/>
            </w:pPr>
            <w:r>
              <w:rPr>
                <w:sz w:val="18"/>
              </w:rPr>
              <w:t>Lift</w:t>
            </w:r>
          </w:p>
        </w:tc>
        <w:tc>
          <w:tcPr>
            <w:tcW w:w="1440" w:type="dxa"/>
          </w:tcPr>
          <w:p w14:paraId="50B3A50E" w14:textId="77777777" w:rsidR="00B06E39" w:rsidRDefault="00000000">
            <w:pPr>
              <w:cnfStyle w:val="100000000000" w:firstRow="1" w:lastRow="0" w:firstColumn="0" w:lastColumn="0" w:oddVBand="0" w:evenVBand="0" w:oddHBand="0" w:evenHBand="0" w:firstRowFirstColumn="0" w:firstRowLastColumn="0" w:lastRowFirstColumn="0" w:lastRowLastColumn="0"/>
            </w:pPr>
            <w:r>
              <w:rPr>
                <w:sz w:val="18"/>
              </w:rPr>
              <w:t>Spam Rate</w:t>
            </w:r>
          </w:p>
        </w:tc>
      </w:tr>
      <w:tr w:rsidR="00B06E39" w14:paraId="5208B902" w14:textId="77777777" w:rsidTr="00B06E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302AEC4" w14:textId="77777777" w:rsidR="00B06E39" w:rsidRDefault="00000000">
            <w:r>
              <w:rPr>
                <w:sz w:val="18"/>
              </w:rPr>
              <w:t>{tenure=new, review_count=Low}</w:t>
            </w:r>
          </w:p>
        </w:tc>
        <w:tc>
          <w:tcPr>
            <w:tcW w:w="1440" w:type="dxa"/>
          </w:tcPr>
          <w:p w14:paraId="58F77197" w14:textId="77777777" w:rsidR="00B06E39" w:rsidRDefault="00000000">
            <w:pPr>
              <w:cnfStyle w:val="000000100000" w:firstRow="0" w:lastRow="0" w:firstColumn="0" w:lastColumn="0" w:oddVBand="0" w:evenVBand="0" w:oddHBand="1" w:evenHBand="0" w:firstRowFirstColumn="0" w:firstRowLastColumn="0" w:lastRowFirstColumn="0" w:lastRowLastColumn="0"/>
            </w:pPr>
            <w:r>
              <w:rPr>
                <w:sz w:val="18"/>
              </w:rPr>
              <w:t>{burst=Normal, seller_conc=High}</w:t>
            </w:r>
          </w:p>
        </w:tc>
        <w:tc>
          <w:tcPr>
            <w:tcW w:w="1440" w:type="dxa"/>
          </w:tcPr>
          <w:p w14:paraId="27CD8646" w14:textId="77777777" w:rsidR="00B06E39" w:rsidRDefault="00000000">
            <w:pPr>
              <w:cnfStyle w:val="000000100000" w:firstRow="0" w:lastRow="0" w:firstColumn="0" w:lastColumn="0" w:oddVBand="0" w:evenVBand="0" w:oddHBand="1" w:evenHBand="0" w:firstRowFirstColumn="0" w:firstRowLastColumn="0" w:lastRowFirstColumn="0" w:lastRowLastColumn="0"/>
            </w:pPr>
            <w:r>
              <w:rPr>
                <w:sz w:val="18"/>
              </w:rPr>
              <w:t>0.730</w:t>
            </w:r>
          </w:p>
        </w:tc>
        <w:tc>
          <w:tcPr>
            <w:tcW w:w="1440" w:type="dxa"/>
          </w:tcPr>
          <w:p w14:paraId="12A4EBCC" w14:textId="77777777" w:rsidR="00B06E39"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1440" w:type="dxa"/>
          </w:tcPr>
          <w:p w14:paraId="5BF6A5B5" w14:textId="77777777" w:rsidR="00B06E39" w:rsidRDefault="00000000">
            <w:pPr>
              <w:cnfStyle w:val="000000100000" w:firstRow="0" w:lastRow="0" w:firstColumn="0" w:lastColumn="0" w:oddVBand="0" w:evenVBand="0" w:oddHBand="1" w:evenHBand="0" w:firstRowFirstColumn="0" w:firstRowLastColumn="0" w:lastRowFirstColumn="0" w:lastRowLastColumn="0"/>
            </w:pPr>
            <w:r>
              <w:rPr>
                <w:sz w:val="18"/>
              </w:rPr>
              <w:t>1.24</w:t>
            </w:r>
          </w:p>
        </w:tc>
        <w:tc>
          <w:tcPr>
            <w:tcW w:w="1440" w:type="dxa"/>
          </w:tcPr>
          <w:p w14:paraId="203FFE3A" w14:textId="77777777" w:rsidR="00B06E39" w:rsidRDefault="00000000">
            <w:pPr>
              <w:cnfStyle w:val="000000100000" w:firstRow="0" w:lastRow="0" w:firstColumn="0" w:lastColumn="0" w:oddVBand="0" w:evenVBand="0" w:oddHBand="1" w:evenHBand="0" w:firstRowFirstColumn="0" w:firstRowLastColumn="0" w:lastRowFirstColumn="0" w:lastRowLastColumn="0"/>
            </w:pPr>
            <w:r>
              <w:rPr>
                <w:sz w:val="18"/>
              </w:rPr>
              <w:t>29.1%</w:t>
            </w:r>
          </w:p>
        </w:tc>
      </w:tr>
      <w:tr w:rsidR="00B06E39" w14:paraId="0A18BD0E" w14:textId="77777777" w:rsidTr="00B06E39">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33AE5593" w14:textId="77777777" w:rsidR="00B06E39" w:rsidRDefault="00000000">
            <w:r>
              <w:rPr>
                <w:sz w:val="18"/>
              </w:rPr>
              <w:t>{tenure=new, seller_conc=High}</w:t>
            </w:r>
          </w:p>
        </w:tc>
        <w:tc>
          <w:tcPr>
            <w:tcW w:w="1440" w:type="dxa"/>
          </w:tcPr>
          <w:p w14:paraId="4215A5B2" w14:textId="77777777" w:rsidR="00B06E39" w:rsidRDefault="00000000">
            <w:pPr>
              <w:cnfStyle w:val="000000000000" w:firstRow="0" w:lastRow="0" w:firstColumn="0" w:lastColumn="0" w:oddVBand="0" w:evenVBand="0" w:oddHBand="0" w:evenHBand="0" w:firstRowFirstColumn="0" w:firstRowLastColumn="0" w:lastRowFirstColumn="0" w:lastRowLastColumn="0"/>
            </w:pPr>
            <w:r>
              <w:rPr>
                <w:sz w:val="18"/>
              </w:rPr>
              <w:t>{burst=Normal, review_count=Low}</w:t>
            </w:r>
          </w:p>
        </w:tc>
        <w:tc>
          <w:tcPr>
            <w:tcW w:w="1440" w:type="dxa"/>
          </w:tcPr>
          <w:p w14:paraId="53826778" w14:textId="77777777" w:rsidR="00B06E39" w:rsidRDefault="00000000">
            <w:pPr>
              <w:cnfStyle w:val="000000000000" w:firstRow="0" w:lastRow="0" w:firstColumn="0" w:lastColumn="0" w:oddVBand="0" w:evenVBand="0" w:oddHBand="0" w:evenHBand="0" w:firstRowFirstColumn="0" w:firstRowLastColumn="0" w:lastRowFirstColumn="0" w:lastRowLastColumn="0"/>
            </w:pPr>
            <w:r>
              <w:rPr>
                <w:sz w:val="18"/>
              </w:rPr>
              <w:t>0.730</w:t>
            </w:r>
          </w:p>
        </w:tc>
        <w:tc>
          <w:tcPr>
            <w:tcW w:w="1440" w:type="dxa"/>
          </w:tcPr>
          <w:p w14:paraId="4CC83D36" w14:textId="77777777" w:rsidR="00B06E39" w:rsidRDefault="00000000">
            <w:pPr>
              <w:cnfStyle w:val="000000000000" w:firstRow="0" w:lastRow="0" w:firstColumn="0" w:lastColumn="0" w:oddVBand="0" w:evenVBand="0" w:oddHBand="0" w:evenHBand="0" w:firstRowFirstColumn="0" w:firstRowLastColumn="0" w:lastRowFirstColumn="0" w:lastRowLastColumn="0"/>
            </w:pPr>
            <w:r>
              <w:rPr>
                <w:sz w:val="18"/>
              </w:rPr>
              <w:t>1.00</w:t>
            </w:r>
          </w:p>
        </w:tc>
        <w:tc>
          <w:tcPr>
            <w:tcW w:w="1440" w:type="dxa"/>
          </w:tcPr>
          <w:p w14:paraId="38E1198F" w14:textId="77777777" w:rsidR="00B06E39" w:rsidRDefault="00000000">
            <w:pPr>
              <w:cnfStyle w:val="000000000000" w:firstRow="0" w:lastRow="0" w:firstColumn="0" w:lastColumn="0" w:oddVBand="0" w:evenVBand="0" w:oddHBand="0" w:evenHBand="0" w:firstRowFirstColumn="0" w:firstRowLastColumn="0" w:lastRowFirstColumn="0" w:lastRowLastColumn="0"/>
            </w:pPr>
            <w:r>
              <w:rPr>
                <w:sz w:val="18"/>
              </w:rPr>
              <w:t>1.24</w:t>
            </w:r>
          </w:p>
        </w:tc>
        <w:tc>
          <w:tcPr>
            <w:tcW w:w="1440" w:type="dxa"/>
          </w:tcPr>
          <w:p w14:paraId="2E9E4DBB" w14:textId="77777777" w:rsidR="00B06E39" w:rsidRDefault="00000000">
            <w:pPr>
              <w:cnfStyle w:val="000000000000" w:firstRow="0" w:lastRow="0" w:firstColumn="0" w:lastColumn="0" w:oddVBand="0" w:evenVBand="0" w:oddHBand="0" w:evenHBand="0" w:firstRowFirstColumn="0" w:firstRowLastColumn="0" w:lastRowFirstColumn="0" w:lastRowLastColumn="0"/>
            </w:pPr>
            <w:r>
              <w:rPr>
                <w:sz w:val="18"/>
              </w:rPr>
              <w:t>29.1%</w:t>
            </w:r>
          </w:p>
        </w:tc>
      </w:tr>
      <w:tr w:rsidR="00B06E39" w14:paraId="7BD7F977" w14:textId="77777777" w:rsidTr="00B06E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2196573" w14:textId="77777777" w:rsidR="00B06E39" w:rsidRDefault="00000000">
            <w:r>
              <w:rPr>
                <w:sz w:val="18"/>
              </w:rPr>
              <w:t>{tenure=new, burst=Normal}</w:t>
            </w:r>
          </w:p>
        </w:tc>
        <w:tc>
          <w:tcPr>
            <w:tcW w:w="1440" w:type="dxa"/>
          </w:tcPr>
          <w:p w14:paraId="5355E2CA" w14:textId="77777777" w:rsidR="00B06E39" w:rsidRDefault="00000000">
            <w:pPr>
              <w:cnfStyle w:val="000000100000" w:firstRow="0" w:lastRow="0" w:firstColumn="0" w:lastColumn="0" w:oddVBand="0" w:evenVBand="0" w:oddHBand="1" w:evenHBand="0" w:firstRowFirstColumn="0" w:firstRowLastColumn="0" w:lastRowFirstColumn="0" w:lastRowLastColumn="0"/>
            </w:pPr>
            <w:r>
              <w:rPr>
                <w:sz w:val="18"/>
              </w:rPr>
              <w:t>{review_count=Low, seller_conc=High}</w:t>
            </w:r>
          </w:p>
        </w:tc>
        <w:tc>
          <w:tcPr>
            <w:tcW w:w="1440" w:type="dxa"/>
          </w:tcPr>
          <w:p w14:paraId="20EA3C85" w14:textId="77777777" w:rsidR="00B06E39" w:rsidRDefault="00000000">
            <w:pPr>
              <w:cnfStyle w:val="000000100000" w:firstRow="0" w:lastRow="0" w:firstColumn="0" w:lastColumn="0" w:oddVBand="0" w:evenVBand="0" w:oddHBand="1" w:evenHBand="0" w:firstRowFirstColumn="0" w:firstRowLastColumn="0" w:lastRowFirstColumn="0" w:lastRowLastColumn="0"/>
            </w:pPr>
            <w:r>
              <w:rPr>
                <w:sz w:val="18"/>
              </w:rPr>
              <w:t>0.730</w:t>
            </w:r>
          </w:p>
        </w:tc>
        <w:tc>
          <w:tcPr>
            <w:tcW w:w="1440" w:type="dxa"/>
          </w:tcPr>
          <w:p w14:paraId="55208BB0" w14:textId="77777777" w:rsidR="00B06E39" w:rsidRDefault="00000000">
            <w:pPr>
              <w:cnfStyle w:val="000000100000" w:firstRow="0" w:lastRow="0" w:firstColumn="0" w:lastColumn="0" w:oddVBand="0" w:evenVBand="0" w:oddHBand="1" w:evenHBand="0" w:firstRowFirstColumn="0" w:firstRowLastColumn="0" w:lastRowFirstColumn="0" w:lastRowLastColumn="0"/>
            </w:pPr>
            <w:r>
              <w:rPr>
                <w:sz w:val="18"/>
              </w:rPr>
              <w:t>0.99</w:t>
            </w:r>
          </w:p>
        </w:tc>
        <w:tc>
          <w:tcPr>
            <w:tcW w:w="1440" w:type="dxa"/>
          </w:tcPr>
          <w:p w14:paraId="5C9BC2D1" w14:textId="77777777" w:rsidR="00B06E39" w:rsidRDefault="00000000">
            <w:pPr>
              <w:cnfStyle w:val="000000100000" w:firstRow="0" w:lastRow="0" w:firstColumn="0" w:lastColumn="0" w:oddVBand="0" w:evenVBand="0" w:oddHBand="1" w:evenHBand="0" w:firstRowFirstColumn="0" w:firstRowLastColumn="0" w:lastRowFirstColumn="0" w:lastRowLastColumn="0"/>
            </w:pPr>
            <w:r>
              <w:rPr>
                <w:sz w:val="18"/>
              </w:rPr>
              <w:t>1.23</w:t>
            </w:r>
          </w:p>
        </w:tc>
        <w:tc>
          <w:tcPr>
            <w:tcW w:w="1440" w:type="dxa"/>
          </w:tcPr>
          <w:p w14:paraId="5E8DAAA2" w14:textId="77777777" w:rsidR="00B06E39" w:rsidRDefault="00000000">
            <w:pPr>
              <w:cnfStyle w:val="000000100000" w:firstRow="0" w:lastRow="0" w:firstColumn="0" w:lastColumn="0" w:oddVBand="0" w:evenVBand="0" w:oddHBand="1" w:evenHBand="0" w:firstRowFirstColumn="0" w:firstRowLastColumn="0" w:lastRowFirstColumn="0" w:lastRowLastColumn="0"/>
            </w:pPr>
            <w:r>
              <w:rPr>
                <w:sz w:val="18"/>
              </w:rPr>
              <w:t>29.0%</w:t>
            </w:r>
          </w:p>
        </w:tc>
      </w:tr>
      <w:tr w:rsidR="00B06E39" w14:paraId="7B634DA8" w14:textId="77777777" w:rsidTr="00B06E39">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278A4AA9" w14:textId="77777777" w:rsidR="00B06E39" w:rsidRDefault="00000000">
            <w:r>
              <w:rPr>
                <w:sz w:val="18"/>
              </w:rPr>
              <w:t>{seller_conc=High}</w:t>
            </w:r>
          </w:p>
        </w:tc>
        <w:tc>
          <w:tcPr>
            <w:tcW w:w="1440" w:type="dxa"/>
          </w:tcPr>
          <w:p w14:paraId="7F5EF5C1" w14:textId="77777777" w:rsidR="00B06E39" w:rsidRDefault="00000000">
            <w:pPr>
              <w:cnfStyle w:val="000000000000" w:firstRow="0" w:lastRow="0" w:firstColumn="0" w:lastColumn="0" w:oddVBand="0" w:evenVBand="0" w:oddHBand="0" w:evenHBand="0" w:firstRowFirstColumn="0" w:firstRowLastColumn="0" w:lastRowFirstColumn="0" w:lastRowLastColumn="0"/>
            </w:pPr>
            <w:r>
              <w:rPr>
                <w:sz w:val="18"/>
              </w:rPr>
              <w:t>{review_count=Low}</w:t>
            </w:r>
          </w:p>
        </w:tc>
        <w:tc>
          <w:tcPr>
            <w:tcW w:w="1440" w:type="dxa"/>
          </w:tcPr>
          <w:p w14:paraId="7906EE70" w14:textId="77777777" w:rsidR="00B06E39" w:rsidRDefault="00000000">
            <w:pPr>
              <w:cnfStyle w:val="000000000000" w:firstRow="0" w:lastRow="0" w:firstColumn="0" w:lastColumn="0" w:oddVBand="0" w:evenVBand="0" w:oddHBand="0" w:evenHBand="0" w:firstRowFirstColumn="0" w:firstRowLastColumn="0" w:lastRowFirstColumn="0" w:lastRowLastColumn="0"/>
            </w:pPr>
            <w:r>
              <w:rPr>
                <w:sz w:val="18"/>
              </w:rPr>
              <w:t>0.808</w:t>
            </w:r>
          </w:p>
        </w:tc>
        <w:tc>
          <w:tcPr>
            <w:tcW w:w="1440" w:type="dxa"/>
          </w:tcPr>
          <w:p w14:paraId="19F62C4F" w14:textId="77777777" w:rsidR="00B06E39" w:rsidRDefault="00000000">
            <w:pPr>
              <w:cnfStyle w:val="000000000000" w:firstRow="0" w:lastRow="0" w:firstColumn="0" w:lastColumn="0" w:oddVBand="0" w:evenVBand="0" w:oddHBand="0" w:evenHBand="0" w:firstRowFirstColumn="0" w:firstRowLastColumn="0" w:lastRowFirstColumn="0" w:lastRowLastColumn="0"/>
            </w:pPr>
            <w:r>
              <w:rPr>
                <w:sz w:val="18"/>
              </w:rPr>
              <w:t>1.00</w:t>
            </w:r>
          </w:p>
        </w:tc>
        <w:tc>
          <w:tcPr>
            <w:tcW w:w="1440" w:type="dxa"/>
          </w:tcPr>
          <w:p w14:paraId="140EA2A7" w14:textId="77777777" w:rsidR="00B06E39" w:rsidRDefault="00000000">
            <w:pPr>
              <w:cnfStyle w:val="000000000000" w:firstRow="0" w:lastRow="0" w:firstColumn="0" w:lastColumn="0" w:oddVBand="0" w:evenVBand="0" w:oddHBand="0" w:evenHBand="0" w:firstRowFirstColumn="0" w:firstRowLastColumn="0" w:lastRowFirstColumn="0" w:lastRowLastColumn="0"/>
            </w:pPr>
            <w:r>
              <w:rPr>
                <w:sz w:val="18"/>
              </w:rPr>
              <w:t>1.24</w:t>
            </w:r>
          </w:p>
        </w:tc>
        <w:tc>
          <w:tcPr>
            <w:tcW w:w="1440" w:type="dxa"/>
          </w:tcPr>
          <w:p w14:paraId="10828CE1" w14:textId="77777777" w:rsidR="00B06E39" w:rsidRDefault="00000000">
            <w:pPr>
              <w:cnfStyle w:val="000000000000" w:firstRow="0" w:lastRow="0" w:firstColumn="0" w:lastColumn="0" w:oddVBand="0" w:evenVBand="0" w:oddHBand="0" w:evenHBand="0" w:firstRowFirstColumn="0" w:firstRowLastColumn="0" w:lastRowFirstColumn="0" w:lastRowLastColumn="0"/>
            </w:pPr>
            <w:r>
              <w:rPr>
                <w:sz w:val="18"/>
              </w:rPr>
              <w:t>27.2%</w:t>
            </w:r>
          </w:p>
        </w:tc>
      </w:tr>
      <w:tr w:rsidR="00B06E39" w14:paraId="3DD3154E" w14:textId="77777777" w:rsidTr="00B06E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BA70F88" w14:textId="77777777" w:rsidR="00B06E39" w:rsidRDefault="00000000">
            <w:r>
              <w:rPr>
                <w:sz w:val="18"/>
              </w:rPr>
              <w:t>{review_count=Low}</w:t>
            </w:r>
          </w:p>
        </w:tc>
        <w:tc>
          <w:tcPr>
            <w:tcW w:w="1440" w:type="dxa"/>
          </w:tcPr>
          <w:p w14:paraId="430BA4A8" w14:textId="77777777" w:rsidR="00B06E39" w:rsidRDefault="00000000">
            <w:pPr>
              <w:cnfStyle w:val="000000100000" w:firstRow="0" w:lastRow="0" w:firstColumn="0" w:lastColumn="0" w:oddVBand="0" w:evenVBand="0" w:oddHBand="1" w:evenHBand="0" w:firstRowFirstColumn="0" w:firstRowLastColumn="0" w:lastRowFirstColumn="0" w:lastRowLastColumn="0"/>
            </w:pPr>
            <w:r>
              <w:rPr>
                <w:sz w:val="18"/>
              </w:rPr>
              <w:t>{seller_conc=High}</w:t>
            </w:r>
          </w:p>
        </w:tc>
        <w:tc>
          <w:tcPr>
            <w:tcW w:w="1440" w:type="dxa"/>
          </w:tcPr>
          <w:p w14:paraId="30B8891D" w14:textId="77777777" w:rsidR="00B06E39" w:rsidRDefault="00000000">
            <w:pPr>
              <w:cnfStyle w:val="000000100000" w:firstRow="0" w:lastRow="0" w:firstColumn="0" w:lastColumn="0" w:oddVBand="0" w:evenVBand="0" w:oddHBand="1" w:evenHBand="0" w:firstRowFirstColumn="0" w:firstRowLastColumn="0" w:lastRowFirstColumn="0" w:lastRowLastColumn="0"/>
            </w:pPr>
            <w:r>
              <w:rPr>
                <w:sz w:val="18"/>
              </w:rPr>
              <w:t>0.808</w:t>
            </w:r>
          </w:p>
        </w:tc>
        <w:tc>
          <w:tcPr>
            <w:tcW w:w="1440" w:type="dxa"/>
          </w:tcPr>
          <w:p w14:paraId="3270ED56" w14:textId="77777777" w:rsidR="00B06E39"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1440" w:type="dxa"/>
          </w:tcPr>
          <w:p w14:paraId="314DC0E1" w14:textId="77777777" w:rsidR="00B06E39" w:rsidRDefault="00000000">
            <w:pPr>
              <w:cnfStyle w:val="000000100000" w:firstRow="0" w:lastRow="0" w:firstColumn="0" w:lastColumn="0" w:oddVBand="0" w:evenVBand="0" w:oddHBand="1" w:evenHBand="0" w:firstRowFirstColumn="0" w:firstRowLastColumn="0" w:lastRowFirstColumn="0" w:lastRowLastColumn="0"/>
            </w:pPr>
            <w:r>
              <w:rPr>
                <w:sz w:val="18"/>
              </w:rPr>
              <w:t>1.24</w:t>
            </w:r>
          </w:p>
        </w:tc>
        <w:tc>
          <w:tcPr>
            <w:tcW w:w="1440" w:type="dxa"/>
          </w:tcPr>
          <w:p w14:paraId="0EED39E7" w14:textId="77777777" w:rsidR="00B06E39" w:rsidRDefault="00000000">
            <w:pPr>
              <w:cnfStyle w:val="000000100000" w:firstRow="0" w:lastRow="0" w:firstColumn="0" w:lastColumn="0" w:oddVBand="0" w:evenVBand="0" w:oddHBand="1" w:evenHBand="0" w:firstRowFirstColumn="0" w:firstRowLastColumn="0" w:lastRowFirstColumn="0" w:lastRowLastColumn="0"/>
            </w:pPr>
            <w:r>
              <w:rPr>
                <w:sz w:val="18"/>
              </w:rPr>
              <w:t>27.2%</w:t>
            </w:r>
          </w:p>
        </w:tc>
      </w:tr>
    </w:tbl>
    <w:p w14:paraId="65E528A0" w14:textId="77777777" w:rsidR="00B06E39" w:rsidRDefault="00000000">
      <w:pPr>
        <w:jc w:val="center"/>
      </w:pPr>
      <w:r>
        <w:rPr>
          <w:i/>
          <w:sz w:val="18"/>
        </w:rPr>
        <w:t>Table 4: Top 5 Spam-Correlated Association Rules</w:t>
      </w:r>
    </w:p>
    <w:p w14:paraId="2354736B" w14:textId="77777777" w:rsidR="00B06E39" w:rsidRDefault="00B06E39"/>
    <w:p w14:paraId="79DC9BEC" w14:textId="77777777" w:rsidR="00B06E39" w:rsidRDefault="00000000">
      <w:pPr>
        <w:jc w:val="center"/>
      </w:pPr>
      <w:r>
        <w:rPr>
          <w:noProof/>
        </w:rPr>
        <w:drawing>
          <wp:inline distT="0" distB="0" distL="0" distR="0" wp14:anchorId="0AEB9045" wp14:editId="0A0A5693">
            <wp:extent cx="5029200" cy="21553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2_top_rules_spam_rate.png"/>
                    <pic:cNvPicPr/>
                  </pic:nvPicPr>
                  <pic:blipFill>
                    <a:blip r:embed="rId6"/>
                    <a:stretch>
                      <a:fillRect/>
                    </a:stretch>
                  </pic:blipFill>
                  <pic:spPr>
                    <a:xfrm>
                      <a:off x="0" y="0"/>
                      <a:ext cx="5029200" cy="2155371"/>
                    </a:xfrm>
                    <a:prstGeom prst="rect">
                      <a:avLst/>
                    </a:prstGeom>
                  </pic:spPr>
                </pic:pic>
              </a:graphicData>
            </a:graphic>
          </wp:inline>
        </w:drawing>
      </w:r>
    </w:p>
    <w:p w14:paraId="1F569496" w14:textId="77777777" w:rsidR="00B06E39" w:rsidRDefault="00000000">
      <w:pPr>
        <w:jc w:val="center"/>
      </w:pPr>
      <w:r>
        <w:rPr>
          <w:i/>
          <w:sz w:val="18"/>
        </w:rPr>
        <w:t>Figure 6: Top association rules by antecedent spam rate. The dashed line marks the 13.2% dataset average.</w:t>
      </w:r>
    </w:p>
    <w:p w14:paraId="578F0F0A" w14:textId="77777777" w:rsidR="00B06E39" w:rsidRDefault="00000000">
      <w:r>
        <w:t>These rule-based signals are passed to L5 as engineered features (antecedent match scores) to strengthen the final classification model. The key takeaway from L2 is that FP-Growth surfaces a clear spam fingerprint: new, low-volume reviewers concentrated on a single seller are consistently associated with the highest spam rates in the dataset.</w:t>
      </w:r>
    </w:p>
    <w:p w14:paraId="2640D697" w14:textId="77777777" w:rsidR="00B06E39" w:rsidRDefault="00000000">
      <w:r>
        <w:br w:type="page"/>
      </w:r>
    </w:p>
    <w:p w14:paraId="20751E2C" w14:textId="77777777" w:rsidR="00B06E39" w:rsidRDefault="00000000">
      <w:pPr>
        <w:pStyle w:val="Heading1"/>
      </w:pPr>
      <w:r>
        <w:lastRenderedPageBreak/>
        <w:t>6.4 Layer 4: K-Means and DBSCAN Clustering (Completed)</w:t>
      </w:r>
    </w:p>
    <w:p w14:paraId="4813441E" w14:textId="77777777" w:rsidR="00B06E39" w:rsidRDefault="00000000">
      <w:r>
        <w:t>For L4, the same reviewer_profiles.csv from L1 is used, but this time for clustering rather than pattern mining. We select 10 behavioral features and prepare them by first applying log1p transforms to review_count, reviews_per_week, tenure_days, burst_score, and unique_sellers since these tend to be heavily right-skewed, then scaling everything with StandardScaler so no single feature dominates the distance calculations. Importantly, spam_rate is excluded from the clustering inputs to avoid data leakage; it is used only for post-hoc evaluation.</w:t>
      </w:r>
    </w:p>
    <w:p w14:paraId="26290D57" w14:textId="77777777" w:rsidR="00B06E39" w:rsidRDefault="00000000">
      <w:r>
        <w:t>K-Means groups reviewers into broad behavioral clusters, with the value of K chosen using both the elbow method and silhouette analysis to ensure the clusters are not just mathematically compact but also reasonably well-separated. DBSCAN is included alongside K-Means because it catches things K-Means can miss. K-Means forces every reviewer into a cluster regardless of fit, whereas DBSCAN, introduced by Ester et al. [9], can label unusual low-density points as noise, which may correspond to potential spammer outliers. The clustering results are then evaluated by looking at spam rate per cluster and cluster size distribution.</w:t>
      </w:r>
    </w:p>
    <w:p w14:paraId="0FF17F4D" w14:textId="77777777" w:rsidR="00B06E39" w:rsidRDefault="00000000">
      <w:r>
        <w:t>The L4 pipeline consists of four sequential scripts operating on all 260,277 reviewers.</w:t>
      </w:r>
    </w:p>
    <w:p w14:paraId="3EAD6565" w14:textId="77777777" w:rsidR="00B06E39" w:rsidRDefault="00000000">
      <w:pPr>
        <w:pStyle w:val="Heading2"/>
      </w:pPr>
      <w:r>
        <w:t>6.4.1 Preprocessing</w:t>
      </w:r>
    </w:p>
    <w:p w14:paraId="1D17A4EB" w14:textId="77777777" w:rsidR="00B06E39" w:rsidRDefault="00000000">
      <w:r>
        <w:t>The first script (01_preprocessing.py) selects 10 behavioral features: review_count, reviews_per_week, tenure_days, avg_rating, rating_std, unique_sellers, max_seller_fraction, burst_score, rating_entropy, and avg_review_length. Five right-skewed features undergo log1p transformation, followed by StandardScaler normalization. A Pearson correlation heatmap is generated to check for redundancy.</w:t>
      </w:r>
    </w:p>
    <w:p w14:paraId="2F1E7AF4" w14:textId="77777777" w:rsidR="00B06E39" w:rsidRDefault="00000000">
      <w:pPr>
        <w:jc w:val="center"/>
      </w:pPr>
      <w:r>
        <w:rPr>
          <w:noProof/>
        </w:rPr>
        <w:drawing>
          <wp:inline distT="0" distB="0" distL="0" distR="0" wp14:anchorId="49A7FF06" wp14:editId="4CEF56CE">
            <wp:extent cx="4389120" cy="35112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4_feature_correlation.png"/>
                    <pic:cNvPicPr/>
                  </pic:nvPicPr>
                  <pic:blipFill>
                    <a:blip r:embed="rId7"/>
                    <a:stretch>
                      <a:fillRect/>
                    </a:stretch>
                  </pic:blipFill>
                  <pic:spPr>
                    <a:xfrm>
                      <a:off x="0" y="0"/>
                      <a:ext cx="4389120" cy="3511296"/>
                    </a:xfrm>
                    <a:prstGeom prst="rect">
                      <a:avLst/>
                    </a:prstGeom>
                  </pic:spPr>
                </pic:pic>
              </a:graphicData>
            </a:graphic>
          </wp:inline>
        </w:drawing>
      </w:r>
    </w:p>
    <w:p w14:paraId="3F5FA33B" w14:textId="77777777" w:rsidR="00B06E39" w:rsidRDefault="00000000">
      <w:pPr>
        <w:jc w:val="center"/>
      </w:pPr>
      <w:r>
        <w:rPr>
          <w:i/>
          <w:sz w:val="18"/>
        </w:rPr>
        <w:lastRenderedPageBreak/>
        <w:t>Figure 7: Pearson correlation heatmap of the 10 clustering features (log-transformed). No feature pairs exceed |r| &gt; 0.85.</w:t>
      </w:r>
    </w:p>
    <w:p w14:paraId="5305D7F0" w14:textId="77777777" w:rsidR="00B06E39" w:rsidRDefault="00000000">
      <w:r>
        <w:t>The heatmap confirms no feature pairs exceed |r| &gt; 0.85, so all 10 features are retained without dimensionality reduction.</w:t>
      </w:r>
    </w:p>
    <w:p w14:paraId="2239F34C" w14:textId="77777777" w:rsidR="00B06E39" w:rsidRDefault="00000000">
      <w:pPr>
        <w:pStyle w:val="Heading2"/>
      </w:pPr>
      <w:r>
        <w:t>6.4.2 K-Means Clustering</w:t>
      </w:r>
    </w:p>
    <w:p w14:paraId="24376DAC" w14:textId="77777777" w:rsidR="00B06E39" w:rsidRDefault="00000000">
      <w:r>
        <w:t>The second script (02_kmeans_clustering.py) runs K-Means for K = 2 through 12. Both the elbow method and silhouette analysis converge on K = 5 as the recommended number of clusters.</w:t>
      </w:r>
    </w:p>
    <w:p w14:paraId="7D7728C3" w14:textId="77777777" w:rsidR="00B06E39" w:rsidRDefault="00000000">
      <w:pPr>
        <w:jc w:val="center"/>
      </w:pPr>
      <w:r>
        <w:rPr>
          <w:noProof/>
        </w:rPr>
        <w:drawing>
          <wp:inline distT="0" distB="0" distL="0" distR="0" wp14:anchorId="14E1FD92" wp14:editId="3CC9909F">
            <wp:extent cx="4846320" cy="18639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4_kmeans_elbow_silhouette.png"/>
                    <pic:cNvPicPr/>
                  </pic:nvPicPr>
                  <pic:blipFill>
                    <a:blip r:embed="rId8"/>
                    <a:stretch>
                      <a:fillRect/>
                    </a:stretch>
                  </pic:blipFill>
                  <pic:spPr>
                    <a:xfrm>
                      <a:off x="0" y="0"/>
                      <a:ext cx="4846320" cy="1863969"/>
                    </a:xfrm>
                    <a:prstGeom prst="rect">
                      <a:avLst/>
                    </a:prstGeom>
                  </pic:spPr>
                </pic:pic>
              </a:graphicData>
            </a:graphic>
          </wp:inline>
        </w:drawing>
      </w:r>
    </w:p>
    <w:p w14:paraId="5F63B367" w14:textId="77777777" w:rsidR="00B06E39" w:rsidRDefault="00000000">
      <w:pPr>
        <w:jc w:val="center"/>
      </w:pPr>
      <w:r>
        <w:rPr>
          <w:i/>
          <w:sz w:val="18"/>
        </w:rPr>
        <w:t>Figure 8: Elbow method (left) and silhouette analysis (right) for K selection. Both point to K = 5.</w:t>
      </w:r>
    </w:p>
    <w:p w14:paraId="0EE66C49" w14:textId="77777777" w:rsidR="00B06E39" w:rsidRDefault="00B06E39"/>
    <w:tbl>
      <w:tblPr>
        <w:tblStyle w:val="LightShading-Accent1"/>
        <w:tblW w:w="0" w:type="auto"/>
        <w:jc w:val="center"/>
        <w:tblLook w:val="04A0" w:firstRow="1" w:lastRow="0" w:firstColumn="1" w:lastColumn="0" w:noHBand="0" w:noVBand="1"/>
      </w:tblPr>
      <w:tblGrid>
        <w:gridCol w:w="2160"/>
        <w:gridCol w:w="2160"/>
        <w:gridCol w:w="2160"/>
        <w:gridCol w:w="2160"/>
      </w:tblGrid>
      <w:tr w:rsidR="00B06E39" w14:paraId="5FC6791D" w14:textId="77777777" w:rsidTr="00B06E3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8D4D548" w14:textId="77777777" w:rsidR="00B06E39" w:rsidRDefault="00000000">
            <w:r>
              <w:rPr>
                <w:sz w:val="18"/>
              </w:rPr>
              <w:t>Cluster</w:t>
            </w:r>
          </w:p>
        </w:tc>
        <w:tc>
          <w:tcPr>
            <w:tcW w:w="2160" w:type="dxa"/>
          </w:tcPr>
          <w:p w14:paraId="5806FDCD" w14:textId="77777777" w:rsidR="00B06E39" w:rsidRDefault="00000000">
            <w:pPr>
              <w:cnfStyle w:val="100000000000" w:firstRow="1" w:lastRow="0" w:firstColumn="0" w:lastColumn="0" w:oddVBand="0" w:evenVBand="0" w:oddHBand="0" w:evenHBand="0" w:firstRowFirstColumn="0" w:firstRowLastColumn="0" w:lastRowFirstColumn="0" w:lastRowLastColumn="0"/>
            </w:pPr>
            <w:r>
              <w:rPr>
                <w:sz w:val="18"/>
              </w:rPr>
              <w:t>Size</w:t>
            </w:r>
          </w:p>
        </w:tc>
        <w:tc>
          <w:tcPr>
            <w:tcW w:w="2160" w:type="dxa"/>
          </w:tcPr>
          <w:p w14:paraId="1F4388BA" w14:textId="77777777" w:rsidR="00B06E39" w:rsidRDefault="00000000">
            <w:pPr>
              <w:cnfStyle w:val="100000000000" w:firstRow="1" w:lastRow="0" w:firstColumn="0" w:lastColumn="0" w:oddVBand="0" w:evenVBand="0" w:oddHBand="0" w:evenHBand="0" w:firstRowFirstColumn="0" w:firstRowLastColumn="0" w:lastRowFirstColumn="0" w:lastRowLastColumn="0"/>
            </w:pPr>
            <w:r>
              <w:rPr>
                <w:sz w:val="18"/>
              </w:rPr>
              <w:t>Spam Rate</w:t>
            </w:r>
          </w:p>
        </w:tc>
        <w:tc>
          <w:tcPr>
            <w:tcW w:w="2160" w:type="dxa"/>
          </w:tcPr>
          <w:p w14:paraId="7CE10695" w14:textId="77777777" w:rsidR="00B06E39" w:rsidRDefault="00000000">
            <w:pPr>
              <w:cnfStyle w:val="100000000000" w:firstRow="1" w:lastRow="0" w:firstColumn="0" w:lastColumn="0" w:oddVBand="0" w:evenVBand="0" w:oddHBand="0" w:evenHBand="0" w:firstRowFirstColumn="0" w:firstRowLastColumn="0" w:lastRowFirstColumn="0" w:lastRowLastColumn="0"/>
            </w:pPr>
            <w:r>
              <w:rPr>
                <w:sz w:val="18"/>
              </w:rPr>
              <w:t>Behavioral Profile</w:t>
            </w:r>
          </w:p>
        </w:tc>
      </w:tr>
      <w:tr w:rsidR="00B06E39" w14:paraId="317CEFB5" w14:textId="77777777" w:rsidTr="00B06E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C213875" w14:textId="77777777" w:rsidR="00B06E39" w:rsidRDefault="00000000">
            <w:r>
              <w:rPr>
                <w:sz w:val="18"/>
              </w:rPr>
              <w:t>0</w:t>
            </w:r>
          </w:p>
        </w:tc>
        <w:tc>
          <w:tcPr>
            <w:tcW w:w="2160" w:type="dxa"/>
          </w:tcPr>
          <w:p w14:paraId="017FC211" w14:textId="77777777" w:rsidR="00B06E39" w:rsidRDefault="00000000">
            <w:pPr>
              <w:cnfStyle w:val="000000100000" w:firstRow="0" w:lastRow="0" w:firstColumn="0" w:lastColumn="0" w:oddVBand="0" w:evenVBand="0" w:oddHBand="1" w:evenHBand="0" w:firstRowFirstColumn="0" w:firstRowLastColumn="0" w:lastRowFirstColumn="0" w:lastRowLastColumn="0"/>
            </w:pPr>
            <w:r>
              <w:rPr>
                <w:sz w:val="18"/>
              </w:rPr>
              <w:t>131,127 (50.4%)</w:t>
            </w:r>
          </w:p>
        </w:tc>
        <w:tc>
          <w:tcPr>
            <w:tcW w:w="2160" w:type="dxa"/>
          </w:tcPr>
          <w:p w14:paraId="1D44A653" w14:textId="77777777" w:rsidR="00B06E39" w:rsidRDefault="00000000">
            <w:pPr>
              <w:cnfStyle w:val="000000100000" w:firstRow="0" w:lastRow="0" w:firstColumn="0" w:lastColumn="0" w:oddVBand="0" w:evenVBand="0" w:oddHBand="1" w:evenHBand="0" w:firstRowFirstColumn="0" w:firstRowLastColumn="0" w:lastRowFirstColumn="0" w:lastRowLastColumn="0"/>
            </w:pPr>
            <w:r>
              <w:rPr>
                <w:sz w:val="18"/>
              </w:rPr>
              <w:t>27.6%</w:t>
            </w:r>
          </w:p>
        </w:tc>
        <w:tc>
          <w:tcPr>
            <w:tcW w:w="2160" w:type="dxa"/>
          </w:tcPr>
          <w:p w14:paraId="6DAD6EB4" w14:textId="77777777" w:rsidR="00B06E39" w:rsidRDefault="00000000">
            <w:pPr>
              <w:cnfStyle w:val="000000100000" w:firstRow="0" w:lastRow="0" w:firstColumn="0" w:lastColumn="0" w:oddVBand="0" w:evenVBand="0" w:oddHBand="1" w:evenHBand="0" w:firstRowFirstColumn="0" w:firstRowLastColumn="0" w:lastRowFirstColumn="0" w:lastRowLastColumn="0"/>
            </w:pPr>
            <w:r>
              <w:rPr>
                <w:sz w:val="18"/>
              </w:rPr>
              <w:t>New, single-review, one-seller, zero entropy</w:t>
            </w:r>
          </w:p>
        </w:tc>
      </w:tr>
      <w:tr w:rsidR="00B06E39" w14:paraId="55D40C23" w14:textId="77777777" w:rsidTr="00B06E39">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2104BBD0" w14:textId="77777777" w:rsidR="00B06E39" w:rsidRDefault="00000000">
            <w:r>
              <w:rPr>
                <w:sz w:val="18"/>
              </w:rPr>
              <w:t>1</w:t>
            </w:r>
          </w:p>
        </w:tc>
        <w:tc>
          <w:tcPr>
            <w:tcW w:w="2160" w:type="dxa"/>
          </w:tcPr>
          <w:p w14:paraId="4DA5D1DC" w14:textId="77777777" w:rsidR="00B06E39" w:rsidRDefault="00000000">
            <w:pPr>
              <w:cnfStyle w:val="000000000000" w:firstRow="0" w:lastRow="0" w:firstColumn="0" w:lastColumn="0" w:oddVBand="0" w:evenVBand="0" w:oddHBand="0" w:evenHBand="0" w:firstRowFirstColumn="0" w:firstRowLastColumn="0" w:lastRowFirstColumn="0" w:lastRowLastColumn="0"/>
            </w:pPr>
            <w:r>
              <w:rPr>
                <w:sz w:val="18"/>
              </w:rPr>
              <w:t>44,650 (17.2%)</w:t>
            </w:r>
          </w:p>
        </w:tc>
        <w:tc>
          <w:tcPr>
            <w:tcW w:w="2160" w:type="dxa"/>
          </w:tcPr>
          <w:p w14:paraId="6D70C0B5" w14:textId="77777777" w:rsidR="00B06E39" w:rsidRDefault="00000000">
            <w:pPr>
              <w:cnfStyle w:val="000000000000" w:firstRow="0" w:lastRow="0" w:firstColumn="0" w:lastColumn="0" w:oddVBand="0" w:evenVBand="0" w:oddHBand="0" w:evenHBand="0" w:firstRowFirstColumn="0" w:firstRowLastColumn="0" w:lastRowFirstColumn="0" w:lastRowLastColumn="0"/>
            </w:pPr>
            <w:r>
              <w:rPr>
                <w:sz w:val="18"/>
              </w:rPr>
              <w:t>7.6%</w:t>
            </w:r>
          </w:p>
        </w:tc>
        <w:tc>
          <w:tcPr>
            <w:tcW w:w="2160" w:type="dxa"/>
          </w:tcPr>
          <w:p w14:paraId="199DCD27" w14:textId="77777777" w:rsidR="00B06E39" w:rsidRDefault="00000000">
            <w:pPr>
              <w:cnfStyle w:val="000000000000" w:firstRow="0" w:lastRow="0" w:firstColumn="0" w:lastColumn="0" w:oddVBand="0" w:evenVBand="0" w:oddHBand="0" w:evenHBand="0" w:firstRowFirstColumn="0" w:firstRowLastColumn="0" w:lastRowFirstColumn="0" w:lastRowLastColumn="0"/>
            </w:pPr>
            <w:r>
              <w:rPr>
                <w:sz w:val="18"/>
              </w:rPr>
              <w:t>Veteran, diverse sellers, varied ratings</w:t>
            </w:r>
          </w:p>
        </w:tc>
      </w:tr>
      <w:tr w:rsidR="00B06E39" w14:paraId="5B259067" w14:textId="77777777" w:rsidTr="00B06E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2E272AE" w14:textId="77777777" w:rsidR="00B06E39" w:rsidRDefault="00000000">
            <w:r>
              <w:rPr>
                <w:sz w:val="18"/>
              </w:rPr>
              <w:t>2</w:t>
            </w:r>
          </w:p>
        </w:tc>
        <w:tc>
          <w:tcPr>
            <w:tcW w:w="2160" w:type="dxa"/>
          </w:tcPr>
          <w:p w14:paraId="0456607F" w14:textId="77777777" w:rsidR="00B06E39" w:rsidRDefault="00000000">
            <w:pPr>
              <w:cnfStyle w:val="000000100000" w:firstRow="0" w:lastRow="0" w:firstColumn="0" w:lastColumn="0" w:oddVBand="0" w:evenVBand="0" w:oddHBand="1" w:evenHBand="0" w:firstRowFirstColumn="0" w:firstRowLastColumn="0" w:lastRowFirstColumn="0" w:lastRowLastColumn="0"/>
            </w:pPr>
            <w:r>
              <w:rPr>
                <w:sz w:val="18"/>
              </w:rPr>
              <w:t>19,295 (7.4%)</w:t>
            </w:r>
          </w:p>
        </w:tc>
        <w:tc>
          <w:tcPr>
            <w:tcW w:w="2160" w:type="dxa"/>
          </w:tcPr>
          <w:p w14:paraId="00C08F1B" w14:textId="77777777" w:rsidR="00B06E39" w:rsidRDefault="00000000">
            <w:pPr>
              <w:cnfStyle w:val="000000100000" w:firstRow="0" w:lastRow="0" w:firstColumn="0" w:lastColumn="0" w:oddVBand="0" w:evenVBand="0" w:oddHBand="1" w:evenHBand="0" w:firstRowFirstColumn="0" w:firstRowLastColumn="0" w:lastRowFirstColumn="0" w:lastRowLastColumn="0"/>
            </w:pPr>
            <w:r>
              <w:rPr>
                <w:sz w:val="18"/>
              </w:rPr>
              <w:t>3.2%</w:t>
            </w:r>
          </w:p>
        </w:tc>
        <w:tc>
          <w:tcPr>
            <w:tcW w:w="2160" w:type="dxa"/>
          </w:tcPr>
          <w:p w14:paraId="763E9D4D" w14:textId="77777777" w:rsidR="00B06E39" w:rsidRDefault="00000000">
            <w:pPr>
              <w:cnfStyle w:val="000000100000" w:firstRow="0" w:lastRow="0" w:firstColumn="0" w:lastColumn="0" w:oddVBand="0" w:evenVBand="0" w:oddHBand="1" w:evenHBand="0" w:firstRowFirstColumn="0" w:firstRowLastColumn="0" w:lastRowFirstColumn="0" w:lastRowLastColumn="0"/>
            </w:pPr>
            <w:r>
              <w:rPr>
                <w:sz w:val="18"/>
              </w:rPr>
              <w:t>Power reviewers: high activity, multi-seller, bursty</w:t>
            </w:r>
          </w:p>
        </w:tc>
      </w:tr>
      <w:tr w:rsidR="00B06E39" w14:paraId="52CA24F3" w14:textId="77777777" w:rsidTr="00B06E39">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4B21A758" w14:textId="77777777" w:rsidR="00B06E39" w:rsidRDefault="00000000">
            <w:r>
              <w:rPr>
                <w:sz w:val="18"/>
              </w:rPr>
              <w:t>3</w:t>
            </w:r>
          </w:p>
        </w:tc>
        <w:tc>
          <w:tcPr>
            <w:tcW w:w="2160" w:type="dxa"/>
          </w:tcPr>
          <w:p w14:paraId="651DB255" w14:textId="77777777" w:rsidR="00B06E39" w:rsidRDefault="00000000">
            <w:pPr>
              <w:cnfStyle w:val="000000000000" w:firstRow="0" w:lastRow="0" w:firstColumn="0" w:lastColumn="0" w:oddVBand="0" w:evenVBand="0" w:oddHBand="0" w:evenHBand="0" w:firstRowFirstColumn="0" w:firstRowLastColumn="0" w:lastRowFirstColumn="0" w:lastRowLastColumn="0"/>
            </w:pPr>
            <w:r>
              <w:rPr>
                <w:sz w:val="18"/>
              </w:rPr>
              <w:t>40,914 (15.7%)</w:t>
            </w:r>
          </w:p>
        </w:tc>
        <w:tc>
          <w:tcPr>
            <w:tcW w:w="2160" w:type="dxa"/>
          </w:tcPr>
          <w:p w14:paraId="3F4F5F24" w14:textId="77777777" w:rsidR="00B06E39" w:rsidRDefault="00000000">
            <w:pPr>
              <w:cnfStyle w:val="000000000000" w:firstRow="0" w:lastRow="0" w:firstColumn="0" w:lastColumn="0" w:oddVBand="0" w:evenVBand="0" w:oddHBand="0" w:evenHBand="0" w:firstRowFirstColumn="0" w:firstRowLastColumn="0" w:lastRowFirstColumn="0" w:lastRowLastColumn="0"/>
            </w:pPr>
            <w:r>
              <w:rPr>
                <w:sz w:val="18"/>
              </w:rPr>
              <w:t>36.5%</w:t>
            </w:r>
          </w:p>
        </w:tc>
        <w:tc>
          <w:tcPr>
            <w:tcW w:w="2160" w:type="dxa"/>
          </w:tcPr>
          <w:p w14:paraId="6301B002" w14:textId="77777777" w:rsidR="00B06E39" w:rsidRDefault="00000000">
            <w:pPr>
              <w:cnfStyle w:val="000000000000" w:firstRow="0" w:lastRow="0" w:firstColumn="0" w:lastColumn="0" w:oddVBand="0" w:evenVBand="0" w:oddHBand="0" w:evenHBand="0" w:firstRowFirstColumn="0" w:firstRowLastColumn="0" w:lastRowFirstColumn="0" w:lastRowLastColumn="0"/>
            </w:pPr>
            <w:r>
              <w:rPr>
                <w:sz w:val="18"/>
              </w:rPr>
              <w:t>New, single-review, one-seller (highest spam)</w:t>
            </w:r>
          </w:p>
        </w:tc>
      </w:tr>
      <w:tr w:rsidR="00B06E39" w14:paraId="5F458347" w14:textId="77777777" w:rsidTr="00B06E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FF87185" w14:textId="77777777" w:rsidR="00B06E39" w:rsidRDefault="00000000">
            <w:r>
              <w:rPr>
                <w:sz w:val="18"/>
              </w:rPr>
              <w:t>4</w:t>
            </w:r>
          </w:p>
        </w:tc>
        <w:tc>
          <w:tcPr>
            <w:tcW w:w="2160" w:type="dxa"/>
          </w:tcPr>
          <w:p w14:paraId="6927BCBA" w14:textId="77777777" w:rsidR="00B06E39" w:rsidRDefault="00000000">
            <w:pPr>
              <w:cnfStyle w:val="000000100000" w:firstRow="0" w:lastRow="0" w:firstColumn="0" w:lastColumn="0" w:oddVBand="0" w:evenVBand="0" w:oddHBand="1" w:evenHBand="0" w:firstRowFirstColumn="0" w:firstRowLastColumn="0" w:lastRowFirstColumn="0" w:lastRowLastColumn="0"/>
            </w:pPr>
            <w:r>
              <w:rPr>
                <w:sz w:val="18"/>
              </w:rPr>
              <w:t>24,291 (9.3%)</w:t>
            </w:r>
          </w:p>
        </w:tc>
        <w:tc>
          <w:tcPr>
            <w:tcW w:w="2160" w:type="dxa"/>
          </w:tcPr>
          <w:p w14:paraId="34801B5D" w14:textId="77777777" w:rsidR="00B06E39" w:rsidRDefault="00000000">
            <w:pPr>
              <w:cnfStyle w:val="000000100000" w:firstRow="0" w:lastRow="0" w:firstColumn="0" w:lastColumn="0" w:oddVBand="0" w:evenVBand="0" w:oddHBand="1" w:evenHBand="0" w:firstRowFirstColumn="0" w:firstRowLastColumn="0" w:lastRowFirstColumn="0" w:lastRowLastColumn="0"/>
            </w:pPr>
            <w:r>
              <w:rPr>
                <w:sz w:val="18"/>
              </w:rPr>
              <w:t>24.0%</w:t>
            </w:r>
          </w:p>
        </w:tc>
        <w:tc>
          <w:tcPr>
            <w:tcW w:w="2160" w:type="dxa"/>
          </w:tcPr>
          <w:p w14:paraId="31A698ED" w14:textId="77777777" w:rsidR="00B06E39" w:rsidRDefault="00000000">
            <w:pPr>
              <w:cnfStyle w:val="000000100000" w:firstRow="0" w:lastRow="0" w:firstColumn="0" w:lastColumn="0" w:oddVBand="0" w:evenVBand="0" w:oddHBand="1" w:evenHBand="0" w:firstRowFirstColumn="0" w:firstRowLastColumn="0" w:lastRowFirstColumn="0" w:lastRowLastColumn="0"/>
            </w:pPr>
            <w:r>
              <w:rPr>
                <w:sz w:val="18"/>
              </w:rPr>
              <w:t>New-ish, moderate burst, diverse but short tenure</w:t>
            </w:r>
          </w:p>
        </w:tc>
      </w:tr>
    </w:tbl>
    <w:p w14:paraId="08CA2A11" w14:textId="77777777" w:rsidR="00B06E39" w:rsidRDefault="00000000">
      <w:pPr>
        <w:jc w:val="center"/>
      </w:pPr>
      <w:r>
        <w:rPr>
          <w:i/>
          <w:sz w:val="18"/>
        </w:rPr>
        <w:t>Table 5: K-Means Cluster Summary (K = 5)</w:t>
      </w:r>
    </w:p>
    <w:p w14:paraId="4EBC7789" w14:textId="77777777" w:rsidR="00B06E39" w:rsidRDefault="00000000">
      <w:r>
        <w:t>Clusters 0 and 3 together account for 66% of reviewers and carry the highest spam rates (27.6% and 36.5%). Both are characterized by new reviewers with a single review focused on one seller and zero rating entropy, the same profile flagged by L2 association rules. Cluster 2 (veteran power reviewers) has the lowest spam rate at 3.2%.</w:t>
      </w:r>
    </w:p>
    <w:p w14:paraId="2F42A6CD" w14:textId="77777777" w:rsidR="00B06E39" w:rsidRDefault="00000000">
      <w:pPr>
        <w:jc w:val="center"/>
      </w:pPr>
      <w:r>
        <w:rPr>
          <w:noProof/>
        </w:rPr>
        <w:lastRenderedPageBreak/>
        <w:drawing>
          <wp:inline distT="0" distB="0" distL="0" distR="0" wp14:anchorId="1BBE01A6" wp14:editId="635207A2">
            <wp:extent cx="3840480" cy="25603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4_kmeans_spam_rate_by_cluster.png"/>
                    <pic:cNvPicPr/>
                  </pic:nvPicPr>
                  <pic:blipFill>
                    <a:blip r:embed="rId9"/>
                    <a:stretch>
                      <a:fillRect/>
                    </a:stretch>
                  </pic:blipFill>
                  <pic:spPr>
                    <a:xfrm>
                      <a:off x="0" y="0"/>
                      <a:ext cx="3840480" cy="2560320"/>
                    </a:xfrm>
                    <a:prstGeom prst="rect">
                      <a:avLst/>
                    </a:prstGeom>
                  </pic:spPr>
                </pic:pic>
              </a:graphicData>
            </a:graphic>
          </wp:inline>
        </w:drawing>
      </w:r>
    </w:p>
    <w:p w14:paraId="2B05CCC2" w14:textId="77777777" w:rsidR="00B06E39" w:rsidRDefault="00000000">
      <w:pPr>
        <w:jc w:val="center"/>
      </w:pPr>
      <w:r>
        <w:rPr>
          <w:i/>
          <w:sz w:val="18"/>
        </w:rPr>
        <w:t>Figure 9: Spam rate by K-Means cluster. Clusters 0 and 3 are well above the dataset mean.</w:t>
      </w:r>
    </w:p>
    <w:p w14:paraId="188CF07E" w14:textId="77777777" w:rsidR="00B06E39" w:rsidRDefault="00000000">
      <w:pPr>
        <w:pStyle w:val="Heading2"/>
      </w:pPr>
      <w:r>
        <w:t>6.4.3 DBSCAN Clustering</w:t>
      </w:r>
    </w:p>
    <w:p w14:paraId="71F2C638" w14:textId="77777777" w:rsidR="00B06E39" w:rsidRDefault="00000000">
      <w:r>
        <w:t>The third script (03_dbscan_clustering.py) tunes eps via k-distance analysis (k = 5) and an epsilon sweep over [0.3, 0.4, 0.5, 0.6, 0.7] with min_samples = 10, targeting 1-5% noise. The selected eps yields 196 clusters and 9,021 noise points (3.5% of reviewers).</w:t>
      </w:r>
    </w:p>
    <w:p w14:paraId="09AB583F" w14:textId="77777777" w:rsidR="00B06E39" w:rsidRDefault="00000000">
      <w:pPr>
        <w:jc w:val="center"/>
      </w:pPr>
      <w:r>
        <w:rPr>
          <w:noProof/>
        </w:rPr>
        <w:drawing>
          <wp:inline distT="0" distB="0" distL="0" distR="0" wp14:anchorId="5CFBB2E2" wp14:editId="3F0A6A8F">
            <wp:extent cx="4389120" cy="21945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4_dbscan_kdistance.png"/>
                    <pic:cNvPicPr/>
                  </pic:nvPicPr>
                  <pic:blipFill>
                    <a:blip r:embed="rId10"/>
                    <a:stretch>
                      <a:fillRect/>
                    </a:stretch>
                  </pic:blipFill>
                  <pic:spPr>
                    <a:xfrm>
                      <a:off x="0" y="0"/>
                      <a:ext cx="4389120" cy="2194560"/>
                    </a:xfrm>
                    <a:prstGeom prst="rect">
                      <a:avLst/>
                    </a:prstGeom>
                  </pic:spPr>
                </pic:pic>
              </a:graphicData>
            </a:graphic>
          </wp:inline>
        </w:drawing>
      </w:r>
    </w:p>
    <w:p w14:paraId="0D650CC8" w14:textId="77777777" w:rsidR="00B06E39" w:rsidRDefault="00000000">
      <w:pPr>
        <w:jc w:val="center"/>
      </w:pPr>
      <w:r>
        <w:rPr>
          <w:i/>
          <w:sz w:val="18"/>
        </w:rPr>
        <w:t>Figure 10: k-distance graph (k = 5) for eps selection. The knee region guides the choice of eps.</w:t>
      </w:r>
    </w:p>
    <w:p w14:paraId="78A8085B" w14:textId="77777777" w:rsidR="00B06E39" w:rsidRDefault="00000000">
      <w:r>
        <w:t>The noise group (label = -1) has a spam rate of 11.0%, close to the dataset average, suggesting that DBSCAN noise reviewers are anomalous in behavior but not necessarily spammers. The largest DBSCAN cluster (cluster 0, 81K reviewers) mirrors K-Means cluster 0 with a 29.3% spam rate. Cluster 13 (19K reviewers) has the highest spam rate at 47.7%. This confirms that density-based grouping can surface concentrated pockets of suspicious accounts.</w:t>
      </w:r>
    </w:p>
    <w:p w14:paraId="615571A2" w14:textId="77777777" w:rsidR="00B06E39" w:rsidRDefault="00000000">
      <w:pPr>
        <w:jc w:val="center"/>
      </w:pPr>
      <w:r>
        <w:rPr>
          <w:noProof/>
        </w:rPr>
        <w:lastRenderedPageBreak/>
        <w:drawing>
          <wp:inline distT="0" distB="0" distL="0" distR="0" wp14:anchorId="0DA6BD5B" wp14:editId="50BAF186">
            <wp:extent cx="4846320" cy="16718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4_dbscan_noise_vs_cluster.png"/>
                    <pic:cNvPicPr/>
                  </pic:nvPicPr>
                  <pic:blipFill>
                    <a:blip r:embed="rId11"/>
                    <a:stretch>
                      <a:fillRect/>
                    </a:stretch>
                  </pic:blipFill>
                  <pic:spPr>
                    <a:xfrm>
                      <a:off x="0" y="0"/>
                      <a:ext cx="4846320" cy="1671818"/>
                    </a:xfrm>
                    <a:prstGeom prst="rect">
                      <a:avLst/>
                    </a:prstGeom>
                  </pic:spPr>
                </pic:pic>
              </a:graphicData>
            </a:graphic>
          </wp:inline>
        </w:drawing>
      </w:r>
    </w:p>
    <w:p w14:paraId="25F54751" w14:textId="77777777" w:rsidR="00B06E39" w:rsidRDefault="00000000">
      <w:pPr>
        <w:jc w:val="center"/>
      </w:pPr>
      <w:r>
        <w:rPr>
          <w:i/>
          <w:sz w:val="18"/>
        </w:rPr>
        <w:t>Figure 11: Feature comparison between DBSCAN noise and clustered reviewers.</w:t>
      </w:r>
    </w:p>
    <w:p w14:paraId="4DBDC4BE" w14:textId="77777777" w:rsidR="00B06E39" w:rsidRDefault="00000000">
      <w:pPr>
        <w:pStyle w:val="Heading2"/>
      </w:pPr>
      <w:r>
        <w:t>6.4.4 Cluster Characterization</w:t>
      </w:r>
    </w:p>
    <w:p w14:paraId="04319075" w14:textId="77777777" w:rsidR="00B06E39" w:rsidRDefault="00000000">
      <w:r>
        <w:t>The final script (04_cluster_analysis.py) merges K-Means and DBSCAN results with the raw feature values to produce a consolidated cluster-spam summary, a K-Means feature heatmap, and a side-by-side comparison chart.</w:t>
      </w:r>
    </w:p>
    <w:p w14:paraId="7C7F8D66" w14:textId="77777777" w:rsidR="00B06E39" w:rsidRDefault="00000000">
      <w:pPr>
        <w:jc w:val="center"/>
      </w:pPr>
      <w:r>
        <w:rPr>
          <w:noProof/>
        </w:rPr>
        <w:drawing>
          <wp:inline distT="0" distB="0" distL="0" distR="0" wp14:anchorId="2ED074A0" wp14:editId="0E16FAE4">
            <wp:extent cx="4846320" cy="2019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4_kmeans_cluster_heatmap.png"/>
                    <pic:cNvPicPr/>
                  </pic:nvPicPr>
                  <pic:blipFill>
                    <a:blip r:embed="rId12"/>
                    <a:stretch>
                      <a:fillRect/>
                    </a:stretch>
                  </pic:blipFill>
                  <pic:spPr>
                    <a:xfrm>
                      <a:off x="0" y="0"/>
                      <a:ext cx="4846320" cy="2019300"/>
                    </a:xfrm>
                    <a:prstGeom prst="rect">
                      <a:avLst/>
                    </a:prstGeom>
                  </pic:spPr>
                </pic:pic>
              </a:graphicData>
            </a:graphic>
          </wp:inline>
        </w:drawing>
      </w:r>
    </w:p>
    <w:p w14:paraId="44608B66" w14:textId="77777777" w:rsidR="00B06E39" w:rsidRDefault="00000000">
      <w:pPr>
        <w:jc w:val="center"/>
      </w:pPr>
      <w:r>
        <w:rPr>
          <w:i/>
          <w:sz w:val="18"/>
        </w:rPr>
        <w:t>Figure 12: K-Means cluster heatmap showing mean feature values per cluster.</w:t>
      </w:r>
    </w:p>
    <w:p w14:paraId="46D09FF2" w14:textId="77777777" w:rsidR="00B06E39" w:rsidRDefault="00000000">
      <w:pPr>
        <w:jc w:val="center"/>
      </w:pPr>
      <w:r>
        <w:rPr>
          <w:noProof/>
        </w:rPr>
        <w:drawing>
          <wp:inline distT="0" distB="0" distL="0" distR="0" wp14:anchorId="22A3AB5C" wp14:editId="7BF1BA8A">
            <wp:extent cx="4846320" cy="21464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4_cluster_comparison.png"/>
                    <pic:cNvPicPr/>
                  </pic:nvPicPr>
                  <pic:blipFill>
                    <a:blip r:embed="rId13"/>
                    <a:stretch>
                      <a:fillRect/>
                    </a:stretch>
                  </pic:blipFill>
                  <pic:spPr>
                    <a:xfrm>
                      <a:off x="0" y="0"/>
                      <a:ext cx="4846320" cy="2146427"/>
                    </a:xfrm>
                    <a:prstGeom prst="rect">
                      <a:avLst/>
                    </a:prstGeom>
                  </pic:spPr>
                </pic:pic>
              </a:graphicData>
            </a:graphic>
          </wp:inline>
        </w:drawing>
      </w:r>
    </w:p>
    <w:p w14:paraId="4C94E33A" w14:textId="77777777" w:rsidR="00B06E39" w:rsidRDefault="00000000">
      <w:pPr>
        <w:jc w:val="center"/>
      </w:pPr>
      <w:r>
        <w:rPr>
          <w:i/>
          <w:sz w:val="18"/>
        </w:rPr>
        <w:t>Figure 13: Spam rate comparison across K-Means clusters (left) and DBSCAN clusters (right).</w:t>
      </w:r>
    </w:p>
    <w:p w14:paraId="06DDF985" w14:textId="77777777" w:rsidR="00B06E39" w:rsidRDefault="00000000">
      <w:r>
        <w:lastRenderedPageBreak/>
        <w:t>Both clustering methods independently confirm that new, single-review, single-seller reviewers with zero rating diversity form the highest-risk segment. K-Means provides clean, interpretable segments for profiling, while DBSCAN captures finer-grained density structure and identifies outlier reviewers. Cluster IDs and DBSCAN noise flags from L4 are passed to L5 as structural features that complement L2's rule-based signals.</w:t>
      </w:r>
    </w:p>
    <w:p w14:paraId="0CBA27CE" w14:textId="77777777" w:rsidR="00B06E39" w:rsidRDefault="00B06E39"/>
    <w:p w14:paraId="5C95BE0F" w14:textId="77777777" w:rsidR="00B06E39" w:rsidRDefault="00000000">
      <w:pPr>
        <w:pStyle w:val="Heading2"/>
      </w:pPr>
      <w:r>
        <w:t>References for this section</w:t>
      </w:r>
    </w:p>
    <w:p w14:paraId="77A93670" w14:textId="77777777" w:rsidR="00B06E39" w:rsidRDefault="00000000">
      <w:pPr>
        <w:spacing w:after="40"/>
      </w:pPr>
      <w:r>
        <w:rPr>
          <w:sz w:val="20"/>
        </w:rPr>
        <w:t>[8] J. Han, J. Pei, and Y. Yin, "Mining frequent patterns without candidate generation," in Proceedings of the 2000 ACM SIGMOD International Conference on Management of Data, 2000, pp. 1-12. https://doi.org/10.1145/342009.335372</w:t>
      </w:r>
    </w:p>
    <w:p w14:paraId="319A6398" w14:textId="77777777" w:rsidR="00B06E39" w:rsidRDefault="00000000">
      <w:pPr>
        <w:spacing w:after="40"/>
      </w:pPr>
      <w:r>
        <w:rPr>
          <w:sz w:val="20"/>
        </w:rPr>
        <w:t>[9] M. Ester, H.-P. Kriegel, J. Sander, and X. Xu, "A density-based algorithm for discovering clusters in large spatial databases with noise," in Proceedings of the 2nd International Conference on Knowledge Discovery and Data Mining (KDD), 1996, pp. 226-231.</w:t>
      </w:r>
    </w:p>
    <w:sectPr w:rsidR="00B06E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2967096">
    <w:abstractNumId w:val="8"/>
  </w:num>
  <w:num w:numId="2" w16cid:durableId="1639457836">
    <w:abstractNumId w:val="6"/>
  </w:num>
  <w:num w:numId="3" w16cid:durableId="2082823073">
    <w:abstractNumId w:val="5"/>
  </w:num>
  <w:num w:numId="4" w16cid:durableId="603149821">
    <w:abstractNumId w:val="4"/>
  </w:num>
  <w:num w:numId="5" w16cid:durableId="1147891780">
    <w:abstractNumId w:val="7"/>
  </w:num>
  <w:num w:numId="6" w16cid:durableId="206724292">
    <w:abstractNumId w:val="3"/>
  </w:num>
  <w:num w:numId="7" w16cid:durableId="1646935926">
    <w:abstractNumId w:val="2"/>
  </w:num>
  <w:num w:numId="8" w16cid:durableId="1741751467">
    <w:abstractNumId w:val="1"/>
  </w:num>
  <w:num w:numId="9" w16cid:durableId="1605655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5F1C"/>
    <w:rsid w:val="007722B8"/>
    <w:rsid w:val="00AA1D8D"/>
    <w:rsid w:val="00B06E3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4C9F49"/>
  <w14:defaultImageDpi w14:val="300"/>
  <w15:docId w15:val="{66A3E842-2D80-4A87-BF4C-A60006BAC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1455</Words>
  <Characters>8294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Dhruv Jain</cp:lastModifiedBy>
  <cp:revision>2</cp:revision>
  <dcterms:created xsi:type="dcterms:W3CDTF">2013-12-23T23:15:00Z</dcterms:created>
  <dcterms:modified xsi:type="dcterms:W3CDTF">2026-04-07T00:04:00Z</dcterms:modified>
  <cp:category/>
</cp:coreProperties>
</file>