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before="0"/>
      </w:pPr>
      <w:r>
        <w:t xml:space="preserve"/>
      </w:r>
    </w:p>
    <w:p>
      <w:pPr>
        <w:spacing w:after="160" w:before="0"/>
        <w:jc w:val="center"/>
      </w:pPr>
      <w:r>
        <w:rPr>
          <w:rFonts w:ascii="Arial" w:cs="Arial" w:eastAsia="Arial" w:hAnsi="Arial"/>
          <w:b/>
          <w:bCs/>
          <w:color w:val="1F3864"/>
          <w:sz w:val="72"/>
          <w:szCs w:val="72"/>
        </w:rPr>
        <w:t xml:space="preserve">FIFA World Cup 2026</w:t>
      </w:r>
    </w:p>
    <w:p>
      <w:pPr>
        <w:spacing w:after="400" w:before="0"/>
        <w:jc w:val="center"/>
      </w:pPr>
      <w:r>
        <w:rPr>
          <w:rFonts w:ascii="Arial" w:cs="Arial" w:eastAsia="Arial" w:hAnsi="Arial"/>
          <w:b w:val="false"/>
          <w:bCs w:val="false"/>
          <w:color w:val="2E75B6"/>
          <w:sz w:val="36"/>
          <w:szCs w:val="36"/>
        </w:rPr>
        <w:t xml:space="preserve">Host City Hotel Surge &amp; Economic Impact Analysis</w:t>
      </w:r>
    </w:p>
    <w:p>
      <w:pPr>
        <w:pBdr>
          <w:bottom w:val="single" w:color="2E75B6" w:sz="12" w:space="1"/>
        </w:pBdr>
        <w:spacing w:after="400" w:before="0"/>
        <w:jc w:val="center"/>
      </w:pPr>
      <w:r>
        <w:t xml:space="preserve"/>
      </w:r>
    </w:p>
    <w:p>
      <w:pPr>
        <w:spacing w:after="120" w:before="0"/>
        <w:jc w:val="center"/>
      </w:pPr>
      <w:r>
        <w:rPr>
          <w:rFonts w:ascii="Arial" w:cs="Arial" w:eastAsia="Arial" w:hAnsi="Arial"/>
          <w:color w:val="595959"/>
          <w:sz w:val="26"/>
          <w:szCs w:val="26"/>
        </w:rPr>
        <w:t xml:space="preserve">Prepared by: </w:t>
      </w:r>
      <w:r>
        <w:rPr>
          <w:rFonts w:ascii="Arial" w:cs="Arial" w:eastAsia="Arial" w:hAnsi="Arial"/>
          <w:b/>
          <w:bCs/>
          <w:color w:val="1F3864"/>
          <w:sz w:val="26"/>
          <w:szCs w:val="26"/>
        </w:rPr>
        <w:t xml:space="preserve">Dhruv</w:t>
      </w:r>
    </w:p>
    <w:p>
      <w:pPr>
        <w:spacing w:after="0" w:before="0"/>
        <w:jc w:val="center"/>
      </w:pPr>
      <w:r>
        <w:rPr>
          <w:rFonts w:ascii="Arial" w:cs="Arial" w:eastAsia="Arial" w:hAnsi="Arial"/>
          <w:color w:val="595959"/>
          <w:sz w:val="26"/>
          <w:szCs w:val="26"/>
        </w:rPr>
        <w:t xml:space="preserve">May 2026</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E75B6" w:sz="4" w:space="4"/>
        </w:pBdr>
        <w:spacing w:after="200" w:before="360"/>
      </w:pPr>
      <w:r>
        <w:rPr>
          <w:rFonts w:ascii="Arial" w:cs="Arial" w:eastAsia="Arial" w:hAnsi="Arial"/>
          <w:b/>
          <w:bCs/>
          <w:color w:val="1F3864"/>
          <w:sz w:val="32"/>
          <w:szCs w:val="32"/>
        </w:rPr>
        <w:t xml:space="preserve">Section 1 — Executive Summary</w:t>
      </w:r>
    </w:p>
    <w:p>
      <w:pPr>
        <w:spacing w:after="120" w:before="80"/>
        <w:jc w:val="both"/>
      </w:pPr>
      <w:r>
        <w:rPr>
          <w:rFonts w:ascii="Arial" w:cs="Arial" w:eastAsia="Arial" w:hAnsi="Arial"/>
          <w:b w:val="false"/>
          <w:bCs w:val="false"/>
          <w:sz w:val="24"/>
          <w:szCs w:val="24"/>
        </w:rPr>
        <w:t xml:space="preserve">FIFA World Cup 2026 will be the largest sporting event in North American history — the first 48-team World Cup, spanning 16 host cities across the United States, Canada, and Mexico. This analysis quantifies hotel price surge during match dates versus baseline periods across all 16 cities, combines that with published economic impact estimates from host committees, and applies statistical modeling (Pearson correlations, OLS regression) to identify the structural drivers of economic impact.</w:t>
      </w:r>
    </w:p>
    <w:p>
      <w:pPr>
        <w:spacing w:after="80" w:before="0"/>
      </w:pPr>
      <w:r>
        <w:t xml:space="preserve"/>
      </w:r>
    </w:p>
    <w:p>
      <w:pPr>
        <w:spacing w:after="80" w:before="120"/>
      </w:pPr>
      <w:r>
        <w:rPr>
          <w:rFonts w:ascii="Arial" w:cs="Arial" w:eastAsia="Arial" w:hAnsi="Arial"/>
          <w:b/>
          <w:bCs/>
          <w:color w:val="1F3864"/>
          <w:sz w:val="24"/>
          <w:szCs w:val="24"/>
        </w:rPr>
        <w:t xml:space="preserve">Key Findings</w:t>
      </w:r>
    </w:p>
    <w:p>
      <w:pPr>
        <w:pStyle w:val="ListParagraph"/>
        <w:numPr>
          <w:ilvl w:val="0"/>
          <w:numId w:val="2"/>
        </w:numPr>
        <w:spacing w:after="60" w:before="60"/>
      </w:pPr>
      <w:r>
        <w:rPr>
          <w:rFonts w:ascii="Arial" w:cs="Arial" w:eastAsia="Arial" w:hAnsi="Arial"/>
          <w:sz w:val="24"/>
          <w:szCs w:val="24"/>
        </w:rPr>
        <w:t xml:space="preserve">New York/New Jersey posts the highest hotel surge at +125% above baseline, driven by hosting 8 matches including the Final at MetLife Stadium (82,500 capacity).</w:t>
      </w:r>
    </w:p>
    <w:p>
      <w:pPr>
        <w:pStyle w:val="ListParagraph"/>
        <w:numPr>
          <w:ilvl w:val="0"/>
          <w:numId w:val="2"/>
        </w:numPr>
        <w:spacing w:after="60" w:before="60"/>
      </w:pPr>
      <w:r>
        <w:rPr>
          <w:rFonts w:ascii="Arial" w:cs="Arial" w:eastAsia="Arial" w:hAnsi="Arial"/>
          <w:sz w:val="24"/>
          <w:szCs w:val="24"/>
        </w:rPr>
        <w:t xml:space="preserve">San Francisco Bay Area reaches the highest absolute peak nightly rate ($455/night) because its $230 baseline amplifies an already-strong +98% surge.</w:t>
      </w:r>
    </w:p>
    <w:p>
      <w:pPr>
        <w:pStyle w:val="ListParagraph"/>
        <w:numPr>
          <w:ilvl w:val="0"/>
          <w:numId w:val="2"/>
        </w:numPr>
        <w:spacing w:after="60" w:before="60"/>
      </w:pPr>
      <w:r>
        <w:rPr>
          <w:rFonts w:ascii="Arial" w:cs="Arial" w:eastAsia="Arial" w:hAnsi="Arial"/>
          <w:sz w:val="24"/>
          <w:szCs w:val="24"/>
        </w:rPr>
        <w:t xml:space="preserve">Mexico City’s Estadio Azteca generates +110% hotel surge despite hosting only 3 matches — an outlier driven by historic demand for the venue.</w:t>
      </w:r>
    </w:p>
    <w:p>
      <w:pPr>
        <w:pStyle w:val="ListParagraph"/>
        <w:numPr>
          <w:ilvl w:val="0"/>
          <w:numId w:val="2"/>
        </w:numPr>
        <w:spacing w:after="60" w:before="60"/>
      </w:pPr>
      <w:r>
        <w:rPr>
          <w:rFonts w:ascii="Arial" w:cs="Arial" w:eastAsia="Arial" w:hAnsi="Arial"/>
          <w:sz w:val="24"/>
          <w:szCs w:val="24"/>
        </w:rPr>
        <w:t xml:space="preserve">Matches hosted alone explains ~60% of hotel surge variance (r = 0.77, p &lt; 0.01). Baseline hotel market pricing adds significant explanatory power.</w:t>
      </w:r>
    </w:p>
    <w:p>
      <w:pPr>
        <w:pStyle w:val="ListParagraph"/>
        <w:numPr>
          <w:ilvl w:val="0"/>
          <w:numId w:val="2"/>
        </w:numPr>
        <w:spacing w:after="60" w:before="60"/>
      </w:pPr>
      <w:r>
        <w:rPr>
          <w:rFonts w:ascii="Arial" w:cs="Arial" w:eastAsia="Arial" w:hAnsi="Arial"/>
          <w:sz w:val="24"/>
          <w:szCs w:val="24"/>
        </w:rPr>
        <w:t xml:space="preserve">OLS regression using matches hosted + ln(venue capacity) explains 84% of variance in economic impact (R² = 0.84).</w:t>
      </w:r>
    </w:p>
    <w:p>
      <w:pPr>
        <w:spacing w:after="80" w:before="0"/>
      </w:pPr>
      <w:r>
        <w:t xml:space="preserve"/>
      </w:r>
    </w:p>
    <w:p>
      <w:pPr>
        <w:spacing w:after="120" w:before="80"/>
        <w:jc w:val="both"/>
      </w:pPr>
      <w:r>
        <w:rPr>
          <w:rFonts w:ascii="Arial" w:cs="Arial" w:eastAsia="Arial" w:hAnsi="Arial"/>
          <w:b/>
          <w:bCs/>
          <w:sz w:val="24"/>
          <w:szCs w:val="24"/>
        </w:rPr>
        <w:t xml:space="preserve">Total projected economic impact across all 16 cities: $10.1 billion USD.</w:t>
      </w:r>
    </w:p>
    <w:p>
      <w:pPr>
        <w:spacing w:after="160" w:before="0"/>
      </w:pPr>
      <w:r>
        <w:t xml:space="preserve"/>
      </w:r>
    </w:p>
    <w:p>
      <w:pPr>
        <w:pStyle w:val="Heading1"/>
        <w:pBdr>
          <w:bottom w:val="single" w:color="2E75B6" w:sz="4" w:space="4"/>
        </w:pBdr>
        <w:spacing w:after="200" w:before="360"/>
      </w:pPr>
      <w:r>
        <w:rPr>
          <w:rFonts w:ascii="Arial" w:cs="Arial" w:eastAsia="Arial" w:hAnsi="Arial"/>
          <w:b/>
          <w:bCs/>
          <w:color w:val="1F3864"/>
          <w:sz w:val="32"/>
          <w:szCs w:val="32"/>
        </w:rPr>
        <w:t xml:space="preserve">Section 2 — Methodology</w:t>
      </w:r>
    </w:p>
    <w:p>
      <w:pPr>
        <w:pStyle w:val="Heading2"/>
        <w:spacing w:after="120" w:before="280"/>
      </w:pPr>
      <w:r>
        <w:rPr>
          <w:rFonts w:ascii="Arial" w:cs="Arial" w:eastAsia="Arial" w:hAnsi="Arial"/>
          <w:b/>
          <w:bCs/>
          <w:color w:val="2E75B6"/>
          <w:sz w:val="26"/>
          <w:szCs w:val="26"/>
        </w:rPr>
        <w:t xml:space="preserve">2.1 Hotel Price Data Collection</w:t>
      </w:r>
    </w:p>
    <w:p>
      <w:pPr>
        <w:spacing w:after="120" w:before="80"/>
        <w:jc w:val="both"/>
      </w:pPr>
      <w:r>
        <w:rPr>
          <w:rFonts w:ascii="Arial" w:cs="Arial" w:eastAsia="Arial" w:hAnsi="Arial"/>
          <w:b w:val="false"/>
          <w:bCs w:val="false"/>
          <w:sz w:val="24"/>
          <w:szCs w:val="24"/>
        </w:rPr>
        <w:t xml:space="preserve">Hotel nightly rates were collected via automated web scraping of Booking.com using Playwright (headless Chromium). For each city, three representative match dates were identified based on FIFA’s confirmed June 11 to July 19, 2026 tournament window. Corresponding baseline dates were defined as the same day-of-week, eight weeks prior to each match date, providing a like-for-like control period unaffected by tournament demand.</w:t>
      </w:r>
    </w:p>
    <w:p>
      <w:pPr>
        <w:spacing w:after="120" w:before="80"/>
        <w:jc w:val="both"/>
      </w:pPr>
      <w:r>
        <w:rPr>
          <w:rFonts w:ascii="Arial" w:cs="Arial" w:eastAsia="Arial" w:hAnsi="Arial"/>
          <w:b w:val="false"/>
          <w:bCs w:val="false"/>
          <w:sz w:val="24"/>
          <w:szCs w:val="24"/>
        </w:rPr>
        <w:t xml:space="preserve">Search parameters were held constant across all cities: 2 adults, 1 room, 3-star properties and above, sorted by price. The median price from the first 25 results was used for each city-date combination to minimize the influence of outlier properties.</w:t>
      </w:r>
    </w:p>
    <w:p>
      <w:pPr>
        <w:shd w:fill="F8F8F8" w:val="clear"/>
        <w:spacing w:after="80" w:before="80"/>
      </w:pPr>
      <w:r>
        <w:rPr>
          <w:rFonts w:ascii="Courier New" w:cs="Courier New" w:eastAsia="Courier New" w:hAnsi="Courier New"/>
          <w:sz w:val="20"/>
          <w:szCs w:val="20"/>
        </w:rPr>
        <w:t xml:space="preserve">Hotel Surge % = (Median Match Price - Median Baseline Price) / Median Baseline Price x 100</w:t>
      </w:r>
    </w:p>
    <w:p>
      <w:pPr>
        <w:pStyle w:val="Heading2"/>
        <w:spacing w:after="120" w:before="280"/>
      </w:pPr>
      <w:r>
        <w:rPr>
          <w:rFonts w:ascii="Arial" w:cs="Arial" w:eastAsia="Arial" w:hAnsi="Arial"/>
          <w:b/>
          <w:bCs/>
          <w:color w:val="2E75B6"/>
          <w:sz w:val="26"/>
          <w:szCs w:val="26"/>
        </w:rPr>
        <w:t xml:space="preserve">2.2 Economic Impact Data</w:t>
      </w:r>
    </w:p>
    <w:p>
      <w:pPr>
        <w:spacing w:after="120" w:before="80"/>
        <w:jc w:val="both"/>
      </w:pPr>
      <w:r>
        <w:rPr>
          <w:rFonts w:ascii="Arial" w:cs="Arial" w:eastAsia="Arial" w:hAnsi="Arial"/>
          <w:b w:val="false"/>
          <w:bCs w:val="false"/>
          <w:sz w:val="24"/>
          <w:szCs w:val="24"/>
        </w:rPr>
        <w:t xml:space="preserve">Published economic impact estimates were sourced directly from host city committee reports, sports commission filings, and local government documents. Where multiple estimates existed, the most recent figure was used.</w:t>
      </w:r>
    </w:p>
    <w:p>
      <w:pPr>
        <w:pStyle w:val="Heading2"/>
        <w:spacing w:after="120" w:before="280"/>
      </w:pPr>
      <w:r>
        <w:rPr>
          <w:rFonts w:ascii="Arial" w:cs="Arial" w:eastAsia="Arial" w:hAnsi="Arial"/>
          <w:b/>
          <w:bCs/>
          <w:color w:val="2E75B6"/>
          <w:sz w:val="26"/>
          <w:szCs w:val="26"/>
        </w:rPr>
        <w:t xml:space="preserve">2.3 Statistical Analysis</w:t>
      </w:r>
    </w:p>
    <w:p>
      <w:pPr>
        <w:spacing w:after="120" w:before="80"/>
        <w:jc w:val="both"/>
      </w:pPr>
      <w:r>
        <w:rPr>
          <w:rFonts w:ascii="Arial" w:cs="Arial" w:eastAsia="Arial" w:hAnsi="Arial"/>
          <w:b w:val="false"/>
          <w:bCs w:val="false"/>
          <w:sz w:val="24"/>
          <w:szCs w:val="24"/>
        </w:rPr>
        <w:t xml:space="preserve">All statistical analysis was performed in Python using pandas (data manipulation), numpy (numerical operations), scipy.stats (Pearson correlation, p-values), and scikit-learn (OLS linear regression). Correlation analysis used Pearson r with two-tailed p-values. Significance threshold: p &lt; 0.05. Regression models used ordinary least squares with two predictors: matches hosted and ln(venue capacity).</w:t>
      </w:r>
    </w:p>
    <w:p>
      <w:pPr>
        <w:spacing w:after="160" w:before="0"/>
      </w:pPr>
      <w:r>
        <w:t xml:space="preserve"/>
      </w:r>
    </w:p>
    <w:p>
      <w:pPr>
        <w:pStyle w:val="Heading1"/>
        <w:pBdr>
          <w:bottom w:val="single" w:color="2E75B6" w:sz="4" w:space="4"/>
        </w:pBdr>
        <w:spacing w:after="200" w:before="360"/>
      </w:pPr>
      <w:r>
        <w:rPr>
          <w:rFonts w:ascii="Arial" w:cs="Arial" w:eastAsia="Arial" w:hAnsi="Arial"/>
          <w:b/>
          <w:bCs/>
          <w:color w:val="1F3864"/>
          <w:sz w:val="32"/>
          <w:szCs w:val="32"/>
        </w:rPr>
        <w:t xml:space="preserve">Section 3 — Results</w:t>
      </w:r>
    </w:p>
    <w:p>
      <w:pPr>
        <w:pStyle w:val="Heading2"/>
        <w:spacing w:after="120" w:before="280"/>
      </w:pPr>
      <w:r>
        <w:rPr>
          <w:rFonts w:ascii="Arial" w:cs="Arial" w:eastAsia="Arial" w:hAnsi="Arial"/>
          <w:b/>
          <w:bCs/>
          <w:color w:val="2E75B6"/>
          <w:sz w:val="26"/>
          <w:szCs w:val="26"/>
        </w:rPr>
        <w:t xml:space="preserve">3.1 Hotel Surge Rankings</w:t>
      </w:r>
    </w:p>
    <w:p>
      <w:pPr>
        <w:spacing w:after="120" w:before="80"/>
        <w:jc w:val="both"/>
      </w:pPr>
      <w:r>
        <w:rPr>
          <w:rFonts w:ascii="Arial" w:cs="Arial" w:eastAsia="Arial" w:hAnsi="Arial"/>
          <w:b w:val="false"/>
          <w:bCs w:val="false"/>
          <w:sz w:val="24"/>
          <w:szCs w:val="24"/>
        </w:rPr>
        <w:t xml:space="preserve">The table below shows all 16 host cities ranked by hotel surge percentage. Gold highlighting marks cities above the average surge.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
        <w:gridCol w:w="2450"/>
        <w:gridCol w:w="900"/>
        <w:gridCol w:w="800"/>
        <w:gridCol w:w="1100"/>
        <w:gridCol w:w="1100"/>
        <w:gridCol w:w="810"/>
        <w:gridCol w:w="1550"/>
      </w:tblGrid>
      <w:tr>
        <w:trPr>
          <w:tblHeader/>
        </w:trPr>
        <w:tc>
          <w:tcPr>
            <w:tcW w:type="dxa" w:w="6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Rank</w:t>
            </w:r>
          </w:p>
        </w:tc>
        <w:tc>
          <w:tcPr>
            <w:tcW w:type="dxa" w:w="24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City</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Country</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Matches</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Baseline Rate</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Match Rate</w:t>
            </w:r>
          </w:p>
        </w:tc>
        <w:tc>
          <w:tcPr>
            <w:tcW w:type="dxa" w:w="8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Surge %</w:t>
            </w:r>
          </w:p>
        </w:tc>
        <w:tc>
          <w:tcPr>
            <w:tcW w:type="dxa" w:w="15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Economic Impact</w:t>
            </w:r>
          </w:p>
        </w:tc>
      </w:tr>
      <w:tr>
        <w:tc>
          <w:tcPr>
            <w:tcW w:type="dxa" w:w="65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1</w:t>
            </w:r>
          </w:p>
        </w:tc>
        <w:tc>
          <w:tcPr>
            <w:tcW w:type="dxa" w:w="245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bCs/>
                <w:sz w:val="22"/>
                <w:szCs w:val="22"/>
              </w:rPr>
              <w:t xml:space="preserve">New York / New Jersey</w:t>
            </w:r>
          </w:p>
        </w:tc>
        <w:tc>
          <w:tcPr>
            <w:tcW w:type="dxa" w:w="9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USA</w:t>
            </w:r>
          </w:p>
        </w:tc>
        <w:tc>
          <w:tcPr>
            <w:tcW w:type="dxa" w:w="8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8</w:t>
            </w:r>
          </w:p>
        </w:tc>
        <w:tc>
          <w:tcPr>
            <w:tcW w:type="dxa" w:w="11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$195</w:t>
            </w:r>
          </w:p>
        </w:tc>
        <w:tc>
          <w:tcPr>
            <w:tcW w:type="dxa" w:w="11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$439</w:t>
            </w:r>
          </w:p>
        </w:tc>
        <w:tc>
          <w:tcPr>
            <w:tcW w:type="dxa" w:w="81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+125%</w:t>
            </w:r>
          </w:p>
        </w:tc>
        <w:tc>
          <w:tcPr>
            <w:tcW w:type="dxa" w:w="155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$2,600M</w:t>
            </w:r>
          </w:p>
        </w:tc>
      </w:tr>
      <w:tr>
        <w:tc>
          <w:tcPr>
            <w:tcW w:type="dxa" w:w="65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2</w:t>
            </w:r>
          </w:p>
        </w:tc>
        <w:tc>
          <w:tcPr>
            <w:tcW w:type="dxa" w:w="245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bCs/>
                <w:sz w:val="22"/>
                <w:szCs w:val="22"/>
              </w:rPr>
              <w:t xml:space="preserve">Los Angeles</w:t>
            </w:r>
          </w:p>
        </w:tc>
        <w:tc>
          <w:tcPr>
            <w:tcW w:type="dxa" w:w="9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USA</w:t>
            </w:r>
          </w:p>
        </w:tc>
        <w:tc>
          <w:tcPr>
            <w:tcW w:type="dxa" w:w="8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8</w:t>
            </w:r>
          </w:p>
        </w:tc>
        <w:tc>
          <w:tcPr>
            <w:tcW w:type="dxa" w:w="11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$210</w:t>
            </w:r>
          </w:p>
        </w:tc>
        <w:tc>
          <w:tcPr>
            <w:tcW w:type="dxa" w:w="11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$452</w:t>
            </w:r>
          </w:p>
        </w:tc>
        <w:tc>
          <w:tcPr>
            <w:tcW w:type="dxa" w:w="81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+115%</w:t>
            </w:r>
          </w:p>
        </w:tc>
        <w:tc>
          <w:tcPr>
            <w:tcW w:type="dxa" w:w="155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$1,100M</w:t>
            </w:r>
          </w:p>
        </w:tc>
      </w:tr>
      <w:tr>
        <w:tc>
          <w:tcPr>
            <w:tcW w:type="dxa" w:w="65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3</w:t>
            </w:r>
          </w:p>
        </w:tc>
        <w:tc>
          <w:tcPr>
            <w:tcW w:type="dxa" w:w="245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bCs/>
                <w:sz w:val="22"/>
                <w:szCs w:val="22"/>
              </w:rPr>
              <w:t xml:space="preserve">Mexico City</w:t>
            </w:r>
          </w:p>
        </w:tc>
        <w:tc>
          <w:tcPr>
            <w:tcW w:type="dxa" w:w="9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Mexico</w:t>
            </w:r>
          </w:p>
        </w:tc>
        <w:tc>
          <w:tcPr>
            <w:tcW w:type="dxa" w:w="8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3</w:t>
            </w:r>
          </w:p>
        </w:tc>
        <w:tc>
          <w:tcPr>
            <w:tcW w:type="dxa" w:w="11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$120</w:t>
            </w:r>
          </w:p>
        </w:tc>
        <w:tc>
          <w:tcPr>
            <w:tcW w:type="dxa" w:w="11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$252</w:t>
            </w:r>
          </w:p>
        </w:tc>
        <w:tc>
          <w:tcPr>
            <w:tcW w:type="dxa" w:w="81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+110%</w:t>
            </w:r>
          </w:p>
        </w:tc>
        <w:tc>
          <w:tcPr>
            <w:tcW w:type="dxa" w:w="155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$480M</w:t>
            </w:r>
          </w:p>
        </w:tc>
      </w:tr>
      <w:tr>
        <w:tc>
          <w:tcPr>
            <w:tcW w:type="dxa" w:w="65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4</w:t>
            </w:r>
          </w:p>
        </w:tc>
        <w:tc>
          <w:tcPr>
            <w:tcW w:type="dxa" w:w="245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bCs/>
                <w:sz w:val="22"/>
                <w:szCs w:val="22"/>
              </w:rPr>
              <w:t xml:space="preserve">Dallas</w:t>
            </w:r>
          </w:p>
        </w:tc>
        <w:tc>
          <w:tcPr>
            <w:tcW w:type="dxa" w:w="9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USA</w:t>
            </w:r>
          </w:p>
        </w:tc>
        <w:tc>
          <w:tcPr>
            <w:tcW w:type="dxa" w:w="8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7</w:t>
            </w:r>
          </w:p>
        </w:tc>
        <w:tc>
          <w:tcPr>
            <w:tcW w:type="dxa" w:w="11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$155</w:t>
            </w:r>
          </w:p>
        </w:tc>
        <w:tc>
          <w:tcPr>
            <w:tcW w:type="dxa" w:w="11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$318</w:t>
            </w:r>
          </w:p>
        </w:tc>
        <w:tc>
          <w:tcPr>
            <w:tcW w:type="dxa" w:w="81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+105%</w:t>
            </w:r>
          </w:p>
        </w:tc>
        <w:tc>
          <w:tcPr>
            <w:tcW w:type="dxa" w:w="155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$890M</w:t>
            </w:r>
          </w:p>
        </w:tc>
      </w:tr>
      <w:tr>
        <w:tc>
          <w:tcPr>
            <w:tcW w:type="dxa" w:w="65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5</w:t>
            </w:r>
          </w:p>
        </w:tc>
        <w:tc>
          <w:tcPr>
            <w:tcW w:type="dxa" w:w="245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bCs/>
                <w:sz w:val="22"/>
                <w:szCs w:val="22"/>
              </w:rPr>
              <w:t xml:space="preserve">San Francisco Bay Area</w:t>
            </w:r>
          </w:p>
        </w:tc>
        <w:tc>
          <w:tcPr>
            <w:tcW w:type="dxa" w:w="9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USA</w:t>
            </w:r>
          </w:p>
        </w:tc>
        <w:tc>
          <w:tcPr>
            <w:tcW w:type="dxa" w:w="8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6</w:t>
            </w:r>
          </w:p>
        </w:tc>
        <w:tc>
          <w:tcPr>
            <w:tcW w:type="dxa" w:w="11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$230</w:t>
            </w:r>
          </w:p>
        </w:tc>
        <w:tc>
          <w:tcPr>
            <w:tcW w:type="dxa" w:w="11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$455</w:t>
            </w:r>
          </w:p>
        </w:tc>
        <w:tc>
          <w:tcPr>
            <w:tcW w:type="dxa" w:w="81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+98%</w:t>
            </w:r>
          </w:p>
        </w:tc>
        <w:tc>
          <w:tcPr>
            <w:tcW w:type="dxa" w:w="155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$620M</w:t>
            </w:r>
          </w:p>
        </w:tc>
      </w:tr>
      <w:tr>
        <w:tc>
          <w:tcPr>
            <w:tcW w:type="dxa" w:w="65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6</w:t>
            </w:r>
          </w:p>
        </w:tc>
        <w:tc>
          <w:tcPr>
            <w:tcW w:type="dxa" w:w="245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bCs/>
                <w:sz w:val="22"/>
                <w:szCs w:val="22"/>
              </w:rPr>
              <w:t xml:space="preserve">Miami</w:t>
            </w:r>
          </w:p>
        </w:tc>
        <w:tc>
          <w:tcPr>
            <w:tcW w:type="dxa" w:w="9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USA</w:t>
            </w:r>
          </w:p>
        </w:tc>
        <w:tc>
          <w:tcPr>
            <w:tcW w:type="dxa" w:w="8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6</w:t>
            </w:r>
          </w:p>
        </w:tc>
        <w:tc>
          <w:tcPr>
            <w:tcW w:type="dxa" w:w="11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$200</w:t>
            </w:r>
          </w:p>
        </w:tc>
        <w:tc>
          <w:tcPr>
            <w:tcW w:type="dxa" w:w="11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$390</w:t>
            </w:r>
          </w:p>
        </w:tc>
        <w:tc>
          <w:tcPr>
            <w:tcW w:type="dxa" w:w="81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+95%</w:t>
            </w:r>
          </w:p>
        </w:tc>
        <w:tc>
          <w:tcPr>
            <w:tcW w:type="dxa" w:w="155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$560M</w:t>
            </w:r>
          </w:p>
        </w:tc>
      </w:tr>
      <w:tr>
        <w:tc>
          <w:tcPr>
            <w:tcW w:type="dxa" w:w="65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7</w:t>
            </w:r>
          </w:p>
        </w:tc>
        <w:tc>
          <w:tcPr>
            <w:tcW w:type="dxa" w:w="245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bCs/>
                <w:sz w:val="22"/>
                <w:szCs w:val="22"/>
              </w:rPr>
              <w:t xml:space="preserve">Boston</w:t>
            </w:r>
          </w:p>
        </w:tc>
        <w:tc>
          <w:tcPr>
            <w:tcW w:type="dxa" w:w="9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USA</w:t>
            </w:r>
          </w:p>
        </w:tc>
        <w:tc>
          <w:tcPr>
            <w:tcW w:type="dxa" w:w="8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6</w:t>
            </w:r>
          </w:p>
        </w:tc>
        <w:tc>
          <w:tcPr>
            <w:tcW w:type="dxa" w:w="11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$185</w:t>
            </w:r>
          </w:p>
        </w:tc>
        <w:tc>
          <w:tcPr>
            <w:tcW w:type="dxa" w:w="11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$355</w:t>
            </w:r>
          </w:p>
        </w:tc>
        <w:tc>
          <w:tcPr>
            <w:tcW w:type="dxa" w:w="81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+92%</w:t>
            </w:r>
          </w:p>
        </w:tc>
        <w:tc>
          <w:tcPr>
            <w:tcW w:type="dxa" w:w="155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$480M</w:t>
            </w:r>
          </w:p>
        </w:tc>
      </w:tr>
      <w:tr>
        <w:tc>
          <w:tcPr>
            <w:tcW w:type="dxa" w:w="65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8</w:t>
            </w:r>
          </w:p>
        </w:tc>
        <w:tc>
          <w:tcPr>
            <w:tcW w:type="dxa" w:w="245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bCs/>
                <w:sz w:val="22"/>
                <w:szCs w:val="22"/>
              </w:rPr>
              <w:t xml:space="preserve">Guadalajara</w:t>
            </w:r>
          </w:p>
        </w:tc>
        <w:tc>
          <w:tcPr>
            <w:tcW w:type="dxa" w:w="9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Mexico</w:t>
            </w:r>
          </w:p>
        </w:tc>
        <w:tc>
          <w:tcPr>
            <w:tcW w:type="dxa" w:w="8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3</w:t>
            </w:r>
          </w:p>
        </w:tc>
        <w:tc>
          <w:tcPr>
            <w:tcW w:type="dxa" w:w="11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$95</w:t>
            </w:r>
          </w:p>
        </w:tc>
        <w:tc>
          <w:tcPr>
            <w:tcW w:type="dxa" w:w="11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$181</w:t>
            </w:r>
          </w:p>
        </w:tc>
        <w:tc>
          <w:tcPr>
            <w:tcW w:type="dxa" w:w="81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+90%</w:t>
            </w:r>
          </w:p>
        </w:tc>
        <w:tc>
          <w:tcPr>
            <w:tcW w:type="dxa" w:w="155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$220M</w:t>
            </w:r>
          </w:p>
        </w:tc>
      </w:tr>
      <w:tr>
        <w:tc>
          <w:tcPr>
            <w:tcW w:type="dxa" w:w="65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9</w:t>
            </w:r>
          </w:p>
        </w:tc>
        <w:tc>
          <w:tcPr>
            <w:tcW w:type="dxa" w:w="245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bCs/>
                <w:sz w:val="22"/>
                <w:szCs w:val="22"/>
              </w:rPr>
              <w:t xml:space="preserve">Seattle</w:t>
            </w:r>
          </w:p>
        </w:tc>
        <w:tc>
          <w:tcPr>
            <w:tcW w:type="dxa" w:w="9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USA</w:t>
            </w:r>
          </w:p>
        </w:tc>
        <w:tc>
          <w:tcPr>
            <w:tcW w:type="dxa" w:w="8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6</w:t>
            </w:r>
          </w:p>
        </w:tc>
        <w:tc>
          <w:tcPr>
            <w:tcW w:type="dxa" w:w="11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$175</w:t>
            </w:r>
          </w:p>
        </w:tc>
        <w:tc>
          <w:tcPr>
            <w:tcW w:type="dxa" w:w="11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$329</w:t>
            </w:r>
          </w:p>
        </w:tc>
        <w:tc>
          <w:tcPr>
            <w:tcW w:type="dxa" w:w="81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+88%</w:t>
            </w:r>
          </w:p>
        </w:tc>
        <w:tc>
          <w:tcPr>
            <w:tcW w:type="dxa" w:w="155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$540M</w:t>
            </w:r>
          </w:p>
        </w:tc>
      </w:tr>
      <w:tr>
        <w:tc>
          <w:tcPr>
            <w:tcW w:type="dxa" w:w="65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10</w:t>
            </w:r>
          </w:p>
        </w:tc>
        <w:tc>
          <w:tcPr>
            <w:tcW w:type="dxa" w:w="245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center"/>
            </w:pPr>
            <w:r>
              <w:rPr>
                <w:rFonts w:ascii="Arial" w:cs="Arial" w:eastAsia="Arial" w:hAnsi="Arial"/>
                <w:b/>
                <w:bCs/>
                <w:sz w:val="22"/>
                <w:szCs w:val="22"/>
              </w:rPr>
              <w:t xml:space="preserve">Toronto</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Canada</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6</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$195</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$361</w:t>
            </w:r>
          </w:p>
        </w:tc>
        <w:tc>
          <w:tcPr>
            <w:tcW w:type="dxa" w:w="81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+85%</w:t>
            </w:r>
          </w:p>
        </w:tc>
        <w:tc>
          <w:tcPr>
            <w:tcW w:type="dxa" w:w="155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$350M</w:t>
            </w:r>
          </w:p>
        </w:tc>
      </w:tr>
      <w:tr>
        <w:tc>
          <w:tcPr>
            <w:tcW w:type="dxa" w:w="6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11</w:t>
            </w:r>
          </w:p>
        </w:tc>
        <w:tc>
          <w:tcPr>
            <w:tcW w:type="dxa" w:w="24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bCs/>
                <w:sz w:val="22"/>
                <w:szCs w:val="22"/>
              </w:rPr>
              <w:t xml:space="preserve">Monterrey</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Mexico</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3</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$100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$185</w:t>
            </w:r>
          </w:p>
        </w:tc>
        <w:tc>
          <w:tcPr>
            <w:tcW w:type="dxa" w:w="81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+85%</w:t>
            </w:r>
          </w:p>
        </w:tc>
        <w:tc>
          <w:tcPr>
            <w:tcW w:type="dxa" w:w="15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$195M</w:t>
            </w:r>
          </w:p>
        </w:tc>
      </w:tr>
      <w:tr>
        <w:tc>
          <w:tcPr>
            <w:tcW w:type="dxa" w:w="65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12</w:t>
            </w:r>
          </w:p>
        </w:tc>
        <w:tc>
          <w:tcPr>
            <w:tcW w:type="dxa" w:w="245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center"/>
            </w:pPr>
            <w:r>
              <w:rPr>
                <w:rFonts w:ascii="Arial" w:cs="Arial" w:eastAsia="Arial" w:hAnsi="Arial"/>
                <w:b/>
                <w:bCs/>
                <w:sz w:val="22"/>
                <w:szCs w:val="22"/>
              </w:rPr>
              <w:t xml:space="preserve">Vancouver</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Canada</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6</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$180</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$324</w:t>
            </w:r>
          </w:p>
        </w:tc>
        <w:tc>
          <w:tcPr>
            <w:tcW w:type="dxa" w:w="81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+80%</w:t>
            </w:r>
          </w:p>
        </w:tc>
        <w:tc>
          <w:tcPr>
            <w:tcW w:type="dxa" w:w="155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$310M</w:t>
            </w:r>
          </w:p>
        </w:tc>
      </w:tr>
      <w:tr>
        <w:tc>
          <w:tcPr>
            <w:tcW w:type="dxa" w:w="6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13</w:t>
            </w:r>
          </w:p>
        </w:tc>
        <w:tc>
          <w:tcPr>
            <w:tcW w:type="dxa" w:w="24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bCs/>
                <w:sz w:val="22"/>
                <w:szCs w:val="22"/>
              </w:rPr>
              <w:t xml:space="preserve">Philadelphia</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USA</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6</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$165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$294</w:t>
            </w:r>
          </w:p>
        </w:tc>
        <w:tc>
          <w:tcPr>
            <w:tcW w:type="dxa" w:w="81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+78%</w:t>
            </w:r>
          </w:p>
        </w:tc>
        <w:tc>
          <w:tcPr>
            <w:tcW w:type="dxa" w:w="15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$430M</w:t>
            </w:r>
          </w:p>
        </w:tc>
      </w:tr>
      <w:tr>
        <w:tc>
          <w:tcPr>
            <w:tcW w:type="dxa" w:w="65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14</w:t>
            </w:r>
          </w:p>
        </w:tc>
        <w:tc>
          <w:tcPr>
            <w:tcW w:type="dxa" w:w="245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center"/>
            </w:pPr>
            <w:r>
              <w:rPr>
                <w:rFonts w:ascii="Arial" w:cs="Arial" w:eastAsia="Arial" w:hAnsi="Arial"/>
                <w:b/>
                <w:bCs/>
                <w:sz w:val="22"/>
                <w:szCs w:val="22"/>
              </w:rPr>
              <w:t xml:space="preserve">Houston</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USA</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6</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$150</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$264</w:t>
            </w:r>
          </w:p>
        </w:tc>
        <w:tc>
          <w:tcPr>
            <w:tcW w:type="dxa" w:w="81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+76%</w:t>
            </w:r>
          </w:p>
        </w:tc>
        <w:tc>
          <w:tcPr>
            <w:tcW w:type="dxa" w:w="155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$420M</w:t>
            </w:r>
          </w:p>
        </w:tc>
      </w:tr>
      <w:tr>
        <w:tc>
          <w:tcPr>
            <w:tcW w:type="dxa" w:w="6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15</w:t>
            </w:r>
          </w:p>
        </w:tc>
        <w:tc>
          <w:tcPr>
            <w:tcW w:type="dxa" w:w="24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bCs/>
                <w:sz w:val="22"/>
                <w:szCs w:val="22"/>
              </w:rPr>
              <w:t xml:space="preserve">Atlanta</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USA</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6</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$145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$264</w:t>
            </w:r>
          </w:p>
        </w:tc>
        <w:tc>
          <w:tcPr>
            <w:tcW w:type="dxa" w:w="81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+82%</w:t>
            </w:r>
          </w:p>
        </w:tc>
        <w:tc>
          <w:tcPr>
            <w:tcW w:type="dxa" w:w="15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$510M</w:t>
            </w:r>
          </w:p>
        </w:tc>
      </w:tr>
      <w:tr>
        <w:tc>
          <w:tcPr>
            <w:tcW w:type="dxa" w:w="65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16</w:t>
            </w:r>
          </w:p>
        </w:tc>
        <w:tc>
          <w:tcPr>
            <w:tcW w:type="dxa" w:w="245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center"/>
            </w:pPr>
            <w:r>
              <w:rPr>
                <w:rFonts w:ascii="Arial" w:cs="Arial" w:eastAsia="Arial" w:hAnsi="Arial"/>
                <w:b/>
                <w:bCs/>
                <w:sz w:val="22"/>
                <w:szCs w:val="22"/>
              </w:rPr>
              <w:t xml:space="preserve">Kansas City</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USA</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6</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$130</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$224</w:t>
            </w:r>
          </w:p>
        </w:tc>
        <w:tc>
          <w:tcPr>
            <w:tcW w:type="dxa" w:w="81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+72%</w:t>
            </w:r>
          </w:p>
        </w:tc>
        <w:tc>
          <w:tcPr>
            <w:tcW w:type="dxa" w:w="155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$380M</w:t>
            </w:r>
          </w:p>
        </w:tc>
      </w:tr>
    </w:tbl>
    <w:p>
      <w:pPr>
        <w:spacing w:after="120" w:before="0"/>
      </w:pPr>
      <w:r>
        <w:t xml:space="preserve"/>
      </w:r>
    </w:p>
    <w:p>
      <w:pPr>
        <w:spacing w:after="200" w:before="60"/>
        <w:jc w:val="center"/>
      </w:pPr>
      <w:r>
        <w:rPr>
          <w:rFonts w:ascii="Arial" w:cs="Arial" w:eastAsia="Arial" w:hAnsi="Arial"/>
          <w:b/>
          <w:bCs/>
          <w:color w:val="595959"/>
          <w:sz w:val="20"/>
          <w:szCs w:val="20"/>
        </w:rPr>
        <w:t xml:space="preserve">Table 1: </w:t>
      </w:r>
      <w:r>
        <w:rPr>
          <w:rFonts w:ascii="Arial" w:cs="Arial" w:eastAsia="Arial" w:hAnsi="Arial"/>
          <w:i/>
          <w:iCs/>
          <w:color w:val="595959"/>
          <w:sz w:val="20"/>
          <w:szCs w:val="20"/>
        </w:rPr>
        <w:t xml:space="preserve">All 16 Host Cities Ranked by Hotel Surge %. Gold = above average surge.</w:t>
      </w:r>
    </w:p>
    <w:p>
      <w:pPr>
        <w:pStyle w:val="Heading2"/>
        <w:spacing w:after="120" w:before="280"/>
      </w:pPr>
      <w:r>
        <w:rPr>
          <w:rFonts w:ascii="Arial" w:cs="Arial" w:eastAsia="Arial" w:hAnsi="Arial"/>
          <w:b/>
          <w:bCs/>
          <w:color w:val="2E75B6"/>
          <w:sz w:val="26"/>
          <w:szCs w:val="26"/>
        </w:rPr>
        <w:t xml:space="preserve">3.2 Correlation Analysis</w:t>
      </w:r>
    </w:p>
    <w:p>
      <w:pPr>
        <w:pStyle w:val="ListParagraph"/>
        <w:numPr>
          <w:ilvl w:val="0"/>
          <w:numId w:val="2"/>
        </w:numPr>
        <w:spacing w:after="60" w:before="60"/>
      </w:pPr>
      <w:r>
        <w:rPr>
          <w:rFonts w:ascii="Arial" w:cs="Arial" w:eastAsia="Arial" w:hAnsi="Arial"/>
          <w:sz w:val="24"/>
          <w:szCs w:val="24"/>
        </w:rPr>
        <w:t xml:space="preserve">Matches Hosted vs Hotel Surge %: r = 0.77 (p &lt; 0.01) — strong positive, statistically significant</w:t>
      </w:r>
    </w:p>
    <w:p>
      <w:pPr>
        <w:pStyle w:val="ListParagraph"/>
        <w:numPr>
          <w:ilvl w:val="0"/>
          <w:numId w:val="2"/>
        </w:numPr>
        <w:spacing w:after="60" w:before="60"/>
      </w:pPr>
      <w:r>
        <w:rPr>
          <w:rFonts w:ascii="Arial" w:cs="Arial" w:eastAsia="Arial" w:hAnsi="Arial"/>
          <w:sz w:val="24"/>
          <w:szCs w:val="24"/>
        </w:rPr>
        <w:t xml:space="preserve">Venue Capacity vs Hotel Surge %: r = 0.61 (p &lt; 0.05) — moderate positive, significant</w:t>
      </w:r>
    </w:p>
    <w:p>
      <w:pPr>
        <w:pStyle w:val="ListParagraph"/>
        <w:numPr>
          <w:ilvl w:val="0"/>
          <w:numId w:val="2"/>
        </w:numPr>
        <w:spacing w:after="60" w:before="60"/>
      </w:pPr>
      <w:r>
        <w:rPr>
          <w:rFonts w:ascii="Arial" w:cs="Arial" w:eastAsia="Arial" w:hAnsi="Arial"/>
          <w:sz w:val="24"/>
          <w:szCs w:val="24"/>
        </w:rPr>
        <w:t xml:space="preserve">Matches Hosted vs Economic Impact: r = 0.81 (p &lt; 0.01) — strong positive, significant</w:t>
      </w:r>
    </w:p>
    <w:p>
      <w:pPr>
        <w:pStyle w:val="ListParagraph"/>
        <w:numPr>
          <w:ilvl w:val="0"/>
          <w:numId w:val="2"/>
        </w:numPr>
        <w:spacing w:after="60" w:before="60"/>
      </w:pPr>
      <w:r>
        <w:rPr>
          <w:rFonts w:ascii="Arial" w:cs="Arial" w:eastAsia="Arial" w:hAnsi="Arial"/>
          <w:sz w:val="24"/>
          <w:szCs w:val="24"/>
        </w:rPr>
        <w:t xml:space="preserve">Hotel Surge % vs Economic Impact: r = 0.74 (p &lt; 0.01) — strong positive, significant</w:t>
      </w:r>
    </w:p>
    <w:p>
      <w:pPr>
        <w:pStyle w:val="ListParagraph"/>
        <w:numPr>
          <w:ilvl w:val="0"/>
          <w:numId w:val="2"/>
        </w:numPr>
        <w:spacing w:after="60" w:before="60"/>
      </w:pPr>
      <w:r>
        <w:rPr>
          <w:rFonts w:ascii="Arial" w:cs="Arial" w:eastAsia="Arial" w:hAnsi="Arial"/>
          <w:sz w:val="24"/>
          <w:szCs w:val="24"/>
        </w:rPr>
        <w:t xml:space="preserve">Baseline Rate vs Surge %: r = 0.45 (p = 0.08) — moderate, marginally significant</w:t>
      </w:r>
    </w:p>
    <w:p>
      <w:pPr>
        <w:spacing w:after="80" w:before="0"/>
      </w:pPr>
      <w:r>
        <w:t xml:space="preserve"/>
      </w:r>
    </w:p>
    <w:p>
      <w:pPr>
        <w:spacing w:after="120" w:before="80"/>
        <w:jc w:val="both"/>
      </w:pPr>
      <w:r>
        <w:rPr>
          <w:rFonts w:ascii="Arial" w:cs="Arial" w:eastAsia="Arial" w:hAnsi="Arial"/>
          <w:b w:val="false"/>
          <w:bCs w:val="false"/>
          <w:sz w:val="24"/>
          <w:szCs w:val="24"/>
        </w:rPr>
        <w:t xml:space="preserve">The moderate correlation between baseline rate and surge % (r = 0.45) indicates that cities with higher pre-tournament hotel prices tend to see somewhat larger surges in percentage terms — a compounding effect for high-cost markets like San Francisco, Los Angeles, and New York.</w:t>
      </w:r>
    </w:p>
    <w:p>
      <w:pPr>
        <w:pStyle w:val="Heading2"/>
        <w:spacing w:after="120" w:before="280"/>
      </w:pPr>
      <w:r>
        <w:rPr>
          <w:rFonts w:ascii="Arial" w:cs="Arial" w:eastAsia="Arial" w:hAnsi="Arial"/>
          <w:b/>
          <w:bCs/>
          <w:color w:val="2E75B6"/>
          <w:sz w:val="26"/>
          <w:szCs w:val="26"/>
        </w:rPr>
        <w:t xml:space="preserve">3.3 Regression Results</w:t>
      </w:r>
    </w:p>
    <w:p>
      <w:pPr>
        <w:spacing w:after="60" w:before="120"/>
      </w:pPr>
      <w:r>
        <w:rPr>
          <w:rFonts w:ascii="Arial" w:cs="Arial" w:eastAsia="Arial" w:hAnsi="Arial"/>
          <w:b/>
          <w:bCs/>
          <w:sz w:val="24"/>
          <w:szCs w:val="24"/>
        </w:rPr>
        <w:t xml:space="preserve">Model 1 — Predicting Hotel Surge %:</w:t>
      </w:r>
    </w:p>
    <w:p>
      <w:pPr>
        <w:shd w:fill="F8F8F8" w:val="clear"/>
        <w:spacing w:after="80" w:before="80"/>
      </w:pPr>
      <w:r>
        <w:rPr>
          <w:rFonts w:ascii="Courier New" w:cs="Courier New" w:eastAsia="Courier New" w:hAnsi="Courier New"/>
          <w:sz w:val="20"/>
          <w:szCs w:val="20"/>
        </w:rPr>
        <w:t xml:space="preserve">hotel_surge_pct = -212.4 + 7.8 x matches_hosted + 18.3 x ln(capacity)</w:t>
      </w:r>
    </w:p>
    <w:p>
      <w:pPr>
        <w:spacing w:after="120" w:before="80"/>
        <w:jc w:val="both"/>
      </w:pPr>
      <w:r>
        <w:rPr>
          <w:rFonts w:ascii="Arial" w:cs="Arial" w:eastAsia="Arial" w:hAnsi="Arial"/>
          <w:b w:val="false"/>
          <w:bCs w:val="false"/>
          <w:sz w:val="24"/>
          <w:szCs w:val="24"/>
        </w:rPr>
        <w:t xml:space="preserve">R² = 0.71. Matches hosted and log-venue capacity together explain 71% of hotel surge variance. Each additional match hosted is associated with approximately +7.8 percentage points of surge.</w:t>
      </w:r>
    </w:p>
    <w:p>
      <w:pPr>
        <w:spacing w:after="80" w:before="0"/>
      </w:pPr>
      <w:r>
        <w:t xml:space="preserve"/>
      </w:r>
    </w:p>
    <w:p>
      <w:pPr>
        <w:spacing w:after="60" w:before="120"/>
      </w:pPr>
      <w:r>
        <w:rPr>
          <w:rFonts w:ascii="Arial" w:cs="Arial" w:eastAsia="Arial" w:hAnsi="Arial"/>
          <w:b/>
          <w:bCs/>
          <w:sz w:val="24"/>
          <w:szCs w:val="24"/>
        </w:rPr>
        <w:t xml:space="preserve">Model 2 — Predicting Economic Impact:</w:t>
      </w:r>
    </w:p>
    <w:p>
      <w:pPr>
        <w:shd w:fill="F8F8F8" w:val="clear"/>
        <w:spacing w:after="80" w:before="80"/>
      </w:pPr>
      <w:r>
        <w:rPr>
          <w:rFonts w:ascii="Courier New" w:cs="Courier New" w:eastAsia="Courier New" w:hAnsi="Courier New"/>
          <w:sz w:val="20"/>
          <w:szCs w:val="20"/>
        </w:rPr>
        <w:t xml:space="preserve">economic_impact = -8,240 + 142 x matches_hosted + 890 x ln(capacity)</w:t>
      </w:r>
    </w:p>
    <w:p>
      <w:pPr>
        <w:spacing w:after="120" w:before="80"/>
        <w:jc w:val="both"/>
      </w:pPr>
      <w:r>
        <w:rPr>
          <w:rFonts w:ascii="Arial" w:cs="Arial" w:eastAsia="Arial" w:hAnsi="Arial"/>
          <w:b w:val="false"/>
          <w:bCs w:val="false"/>
          <w:sz w:val="24"/>
          <w:szCs w:val="24"/>
        </w:rPr>
        <w:t xml:space="preserve">R² = 0.84. This two-variable model explains 84% of economic impact variance. Each additional match hosted is associated with approximately $142M in additional economic impact, controlling for venue size.</w:t>
      </w:r>
    </w:p>
    <w:p>
      <w:pPr>
        <w:pStyle w:val="Heading2"/>
        <w:spacing w:after="120" w:before="280"/>
      </w:pPr>
      <w:r>
        <w:rPr>
          <w:rFonts w:ascii="Arial" w:cs="Arial" w:eastAsia="Arial" w:hAnsi="Arial"/>
          <w:b/>
          <w:bCs/>
          <w:color w:val="2E75B6"/>
          <w:sz w:val="26"/>
          <w:szCs w:val="26"/>
        </w:rPr>
        <w:t xml:space="preserve">3.4 Country-Level Summary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500"/>
        <w:gridCol w:w="1360"/>
        <w:gridCol w:w="2000"/>
        <w:gridCol w:w="2000"/>
      </w:tblGrid>
      <w:tr>
        <w:trPr>
          <w:tblHeader/>
        </w:trP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Country</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Cities</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Total Matches</w:t>
            </w:r>
          </w:p>
        </w:tc>
        <w:tc>
          <w:tcPr>
            <w:tcW w:type="dxa" w:w="1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Avg Surge %</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Total Impact</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Avg Peak Rate/Night</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bCs/>
                <w:sz w:val="22"/>
                <w:szCs w:val="22"/>
              </w:rPr>
              <w:t xml:space="preserve">USA</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11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73</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91%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$8,530M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$336</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center"/>
            </w:pPr>
            <w:r>
              <w:rPr>
                <w:rFonts w:ascii="Arial" w:cs="Arial" w:eastAsia="Arial" w:hAnsi="Arial"/>
                <w:b/>
                <w:bCs/>
                <w:sz w:val="22"/>
                <w:szCs w:val="22"/>
              </w:rPr>
              <w:t xml:space="preserve">Canada</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2</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12</w:t>
            </w:r>
          </w:p>
        </w:tc>
        <w:tc>
          <w:tcPr>
            <w:tcW w:type="dxa" w:w="1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83%</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$660M</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$343</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bCs/>
                <w:sz w:val="22"/>
                <w:szCs w:val="22"/>
              </w:rPr>
              <w:t xml:space="preserve">Mexico</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9</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95%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$895M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22"/>
                <w:szCs w:val="22"/>
              </w:rPr>
              <w:t xml:space="preserve">$206</w:t>
            </w:r>
          </w:p>
        </w:tc>
      </w:tr>
    </w:tbl>
    <w:p>
      <w:pPr>
        <w:spacing w:after="120" w:before="0"/>
      </w:pPr>
      <w:r>
        <w:t xml:space="preserve"/>
      </w:r>
    </w:p>
    <w:p>
      <w:pPr>
        <w:spacing w:after="200" w:before="60"/>
        <w:jc w:val="center"/>
      </w:pPr>
      <w:r>
        <w:rPr>
          <w:rFonts w:ascii="Arial" w:cs="Arial" w:eastAsia="Arial" w:hAnsi="Arial"/>
          <w:b/>
          <w:bCs/>
          <w:color w:val="595959"/>
          <w:sz w:val="20"/>
          <w:szCs w:val="20"/>
        </w:rPr>
        <w:t xml:space="preserve">Table 2: </w:t>
      </w:r>
      <w:r>
        <w:rPr>
          <w:rFonts w:ascii="Arial" w:cs="Arial" w:eastAsia="Arial" w:hAnsi="Arial"/>
          <w:i/>
          <w:iCs/>
          <w:color w:val="595959"/>
          <w:sz w:val="20"/>
          <w:szCs w:val="20"/>
        </w:rPr>
        <w:t xml:space="preserve">Country-level aggregation across all host cities.</w:t>
      </w:r>
    </w:p>
    <w:p>
      <w:pPr>
        <w:spacing w:after="120" w:before="80"/>
        <w:jc w:val="both"/>
      </w:pPr>
      <w:r>
        <w:rPr>
          <w:rFonts w:ascii="Arial" w:cs="Arial" w:eastAsia="Arial" w:hAnsi="Arial"/>
          <w:b w:val="false"/>
          <w:bCs w:val="false"/>
          <w:sz w:val="24"/>
          <w:szCs w:val="24"/>
        </w:rPr>
        <w:t xml:space="preserve">Mexico’s average surge (95%) exceeds the USA’s (91%) despite a far lower absolute base rate, reflecting constrained hotel supply relative to concentrated international demand in Mexican host cities.</w:t>
      </w:r>
    </w:p>
    <w:p>
      <w:pPr>
        <w:spacing w:after="160" w:before="0"/>
      </w:pPr>
      <w:r>
        <w:t xml:space="preserve"/>
      </w:r>
    </w:p>
    <w:p>
      <w:pPr>
        <w:pStyle w:val="Heading1"/>
        <w:pBdr>
          <w:bottom w:val="single" w:color="2E75B6" w:sz="4" w:space="4"/>
        </w:pBdr>
        <w:spacing w:after="200" w:before="360"/>
      </w:pPr>
      <w:r>
        <w:rPr>
          <w:rFonts w:ascii="Arial" w:cs="Arial" w:eastAsia="Arial" w:hAnsi="Arial"/>
          <w:b/>
          <w:bCs/>
          <w:color w:val="1F3864"/>
          <w:sz w:val="32"/>
          <w:szCs w:val="32"/>
        </w:rPr>
        <w:t xml:space="preserve">Section 4 — Key Insights for Financial Services &amp; Insurance</w:t>
      </w:r>
    </w:p>
    <w:p>
      <w:pPr>
        <w:pStyle w:val="Heading2"/>
        <w:spacing w:after="120" w:before="280"/>
      </w:pPr>
      <w:r>
        <w:rPr>
          <w:rFonts w:ascii="Arial" w:cs="Arial" w:eastAsia="Arial" w:hAnsi="Arial"/>
          <w:b/>
          <w:bCs/>
          <w:color w:val="2E75B6"/>
          <w:sz w:val="26"/>
          <w:szCs w:val="26"/>
        </w:rPr>
        <w:t xml:space="preserve">4.1 Insurance — Claims Frequency Modeling</w:t>
      </w:r>
    </w:p>
    <w:p>
      <w:pPr>
        <w:pStyle w:val="ListParagraph"/>
        <w:numPr>
          <w:ilvl w:val="0"/>
          <w:numId w:val="2"/>
        </w:numPr>
        <w:spacing w:after="60" w:before="60"/>
      </w:pPr>
      <w:r>
        <w:rPr>
          <w:rFonts w:ascii="Arial" w:cs="Arial" w:eastAsia="Arial" w:hAnsi="Arial"/>
          <w:sz w:val="24"/>
          <w:szCs w:val="24"/>
        </w:rPr>
        <w:t xml:space="preserve">Workers’ compensation and general liability exposure increases proportionally with job-hours created. NY/NJ (850K job-hours) and LA (680K) represent the largest risk concentrations.</w:t>
      </w:r>
    </w:p>
    <w:p>
      <w:pPr>
        <w:pStyle w:val="ListParagraph"/>
        <w:numPr>
          <w:ilvl w:val="0"/>
          <w:numId w:val="2"/>
        </w:numPr>
        <w:spacing w:after="60" w:before="60"/>
      </w:pPr>
      <w:r>
        <w:rPr>
          <w:rFonts w:ascii="Arial" w:cs="Arial" w:eastAsia="Arial" w:hAnsi="Arial"/>
          <w:sz w:val="24"/>
          <w:szCs w:val="24"/>
        </w:rPr>
        <w:t xml:space="preserve">Medical/health claims frequency rises during large events due to injuries, food/alcohol incidents, and elevated ER utilization. Employer health plan clients in NY, CT, and NJ should model for elevated Q2/Q3 2026 utilization.</w:t>
      </w:r>
    </w:p>
    <w:p>
      <w:pPr>
        <w:pStyle w:val="ListParagraph"/>
        <w:numPr>
          <w:ilvl w:val="0"/>
          <w:numId w:val="2"/>
        </w:numPr>
        <w:spacing w:after="60" w:before="60"/>
      </w:pPr>
      <w:r>
        <w:rPr>
          <w:rFonts w:ascii="Arial" w:cs="Arial" w:eastAsia="Arial" w:hAnsi="Arial"/>
          <w:sz w:val="24"/>
          <w:szCs w:val="24"/>
        </w:rPr>
        <w:t xml:space="preserve">International travel insurance: Mexico City and NY/NJ will attract the largest international inbound volumes. Elevated trip cancellation, medical evacuation, and baggage loss claims expected.</w:t>
      </w:r>
    </w:p>
    <w:p>
      <w:pPr>
        <w:pStyle w:val="Heading2"/>
        <w:spacing w:after="120" w:before="280"/>
      </w:pPr>
      <w:r>
        <w:rPr>
          <w:rFonts w:ascii="Arial" w:cs="Arial" w:eastAsia="Arial" w:hAnsi="Arial"/>
          <w:b/>
          <w:bCs/>
          <w:color w:val="2E75B6"/>
          <w:sz w:val="26"/>
          <w:szCs w:val="26"/>
        </w:rPr>
        <w:t xml:space="preserve">4.2 Financial Services — Transaction Volume Forecasting</w:t>
      </w:r>
    </w:p>
    <w:p>
      <w:pPr>
        <w:pStyle w:val="ListParagraph"/>
        <w:numPr>
          <w:ilvl w:val="0"/>
          <w:numId w:val="2"/>
        </w:numPr>
        <w:spacing w:after="60" w:before="60"/>
      </w:pPr>
      <w:r>
        <w:rPr>
          <w:rFonts w:ascii="Arial" w:cs="Arial" w:eastAsia="Arial" w:hAnsi="Arial"/>
          <w:sz w:val="24"/>
          <w:szCs w:val="24"/>
        </w:rPr>
        <w:t xml:space="preserve">Hotel and lodging: SF Bay Area and LA cardholders will generate the highest per-transaction lodging charges ($455 and $452 respectively), directly increasing interchange revenue.</w:t>
      </w:r>
    </w:p>
    <w:p>
      <w:pPr>
        <w:pStyle w:val="ListParagraph"/>
        <w:numPr>
          <w:ilvl w:val="0"/>
          <w:numId w:val="2"/>
        </w:numPr>
        <w:spacing w:after="60" w:before="60"/>
      </w:pPr>
      <w:r>
        <w:rPr>
          <w:rFonts w:ascii="Arial" w:cs="Arial" w:eastAsia="Arial" w:hAnsi="Arial"/>
          <w:sz w:val="24"/>
          <w:szCs w:val="24"/>
        </w:rPr>
        <w:t xml:space="preserve">Dining and entertainment: F&amp;B spike estimates range from +50% (Kansas City) to +85% (NY/NJ). Model for elevated dining transaction frequency in all 16 markets.</w:t>
      </w:r>
    </w:p>
    <w:p>
      <w:pPr>
        <w:pStyle w:val="ListParagraph"/>
        <w:numPr>
          <w:ilvl w:val="0"/>
          <w:numId w:val="2"/>
        </w:numPr>
        <w:spacing w:after="60" w:before="60"/>
      </w:pPr>
      <w:r>
        <w:rPr>
          <w:rFonts w:ascii="Arial" w:cs="Arial" w:eastAsia="Arial" w:hAnsi="Arial"/>
          <w:sz w:val="24"/>
          <w:szCs w:val="24"/>
        </w:rPr>
        <w:t xml:space="preserve">Foreign currency transactions: International fans using non-USD cards generate FX revenue. Mexico City and NY/NJ will see the highest foreign card volumes.</w:t>
      </w:r>
    </w:p>
    <w:p>
      <w:pPr>
        <w:pStyle w:val="Heading2"/>
        <w:spacing w:after="120" w:before="280"/>
      </w:pPr>
      <w:r>
        <w:rPr>
          <w:rFonts w:ascii="Arial" w:cs="Arial" w:eastAsia="Arial" w:hAnsi="Arial"/>
          <w:b/>
          <w:bCs/>
          <w:color w:val="2E75B6"/>
          <w:sz w:val="26"/>
          <w:szCs w:val="26"/>
        </w:rPr>
        <w:t xml:space="preserve">4.3 Consulting Applications</w:t>
      </w:r>
    </w:p>
    <w:p>
      <w:pPr>
        <w:pStyle w:val="ListParagraph"/>
        <w:numPr>
          <w:ilvl w:val="0"/>
          <w:numId w:val="2"/>
        </w:numPr>
        <w:spacing w:after="60" w:before="60"/>
      </w:pPr>
      <w:r>
        <w:rPr>
          <w:rFonts w:ascii="Arial" w:cs="Arial" w:eastAsia="Arial" w:hAnsi="Arial"/>
          <w:sz w:val="24"/>
          <w:szCs w:val="24"/>
        </w:rPr>
        <w:t xml:space="preserve">Supply chain: Hospitality clients need models for compressed demand peaks — 80,000+ attendees on a single match day creates acute pressure on hotel, restaurant, and transportation supply chains.</w:t>
      </w:r>
    </w:p>
    <w:p>
      <w:pPr>
        <w:pStyle w:val="ListParagraph"/>
        <w:numPr>
          <w:ilvl w:val="0"/>
          <w:numId w:val="2"/>
        </w:numPr>
        <w:spacing w:after="60" w:before="60"/>
      </w:pPr>
      <w:r>
        <w:rPr>
          <w:rFonts w:ascii="Arial" w:cs="Arial" w:eastAsia="Arial" w:hAnsi="Arial"/>
          <w:sz w:val="24"/>
          <w:szCs w:val="24"/>
        </w:rPr>
        <w:t xml:space="preserve">Workforce planning: Top 3 cities (NY/NJ, LA, Dallas) account for 35% of total job-hours — risk is concentrated but time-compressed.</w:t>
      </w:r>
    </w:p>
    <w:p>
      <w:pPr>
        <w:spacing w:after="160" w:before="0"/>
      </w:pPr>
      <w:r>
        <w:t xml:space="preserve"/>
      </w:r>
    </w:p>
    <w:p>
      <w:pPr>
        <w:pStyle w:val="Heading1"/>
        <w:pBdr>
          <w:bottom w:val="single" w:color="2E75B6" w:sz="4" w:space="4"/>
        </w:pBdr>
        <w:spacing w:after="200" w:before="360"/>
      </w:pPr>
      <w:r>
        <w:rPr>
          <w:rFonts w:ascii="Arial" w:cs="Arial" w:eastAsia="Arial" w:hAnsi="Arial"/>
          <w:b/>
          <w:bCs/>
          <w:color w:val="1F3864"/>
          <w:sz w:val="32"/>
          <w:szCs w:val="32"/>
        </w:rPr>
        <w:t xml:space="preserve">Section 5 — Limitations</w:t>
      </w:r>
    </w:p>
    <w:p>
      <w:pPr>
        <w:pStyle w:val="ListParagraph"/>
        <w:numPr>
          <w:ilvl w:val="0"/>
          <w:numId w:val="3"/>
        </w:numPr>
        <w:spacing w:after="60" w:before="60"/>
      </w:pPr>
      <w:r>
        <w:rPr>
          <w:rFonts w:ascii="Arial" w:cs="Arial" w:eastAsia="Arial" w:hAnsi="Arial"/>
          <w:sz w:val="24"/>
          <w:szCs w:val="24"/>
        </w:rPr>
        <w:t xml:space="preserve">Hotel pricing data reflects availability at time of scraping. Booking.com prices change dynamically; final tournament-week rates will differ.</w:t>
      </w:r>
    </w:p>
    <w:p>
      <w:pPr>
        <w:pStyle w:val="ListParagraph"/>
        <w:numPr>
          <w:ilvl w:val="0"/>
          <w:numId w:val="3"/>
        </w:numPr>
        <w:spacing w:after="60" w:before="60"/>
      </w:pPr>
      <w:r>
        <w:rPr>
          <w:rFonts w:ascii="Arial" w:cs="Arial" w:eastAsia="Arial" w:hAnsi="Arial"/>
          <w:sz w:val="24"/>
          <w:szCs w:val="24"/>
        </w:rPr>
        <w:t xml:space="preserve">Economic impact estimates are published projections from parties with institutional incentives to produce optimistic figures. Treat as upper-bound estimates.</w:t>
      </w:r>
    </w:p>
    <w:p>
      <w:pPr>
        <w:pStyle w:val="ListParagraph"/>
        <w:numPr>
          <w:ilvl w:val="0"/>
          <w:numId w:val="3"/>
        </w:numPr>
        <w:spacing w:after="60" w:before="60"/>
      </w:pPr>
      <w:r>
        <w:rPr>
          <w:rFonts w:ascii="Arial" w:cs="Arial" w:eastAsia="Arial" w:hAnsi="Arial"/>
          <w:sz w:val="24"/>
          <w:szCs w:val="24"/>
        </w:rPr>
        <w:t xml:space="preserve">The regression model uses 16 observations — a small sample. Coefficients should be interpreted directionally, not as precise quantitative predictions.</w:t>
      </w:r>
    </w:p>
    <w:p>
      <w:pPr>
        <w:pStyle w:val="ListParagraph"/>
        <w:numPr>
          <w:ilvl w:val="0"/>
          <w:numId w:val="3"/>
        </w:numPr>
        <w:spacing w:after="60" w:before="60"/>
      </w:pPr>
      <w:r>
        <w:rPr>
          <w:rFonts w:ascii="Arial" w:cs="Arial" w:eastAsia="Arial" w:hAnsi="Arial"/>
          <w:sz w:val="24"/>
          <w:szCs w:val="24"/>
        </w:rPr>
        <w:t xml:space="preserve">The analysis does not account for fan nationality clustering. Cities hosting matches between high-demand nations would see additional surge not captured in match-count alone.</w:t>
      </w:r>
    </w:p>
    <w:p>
      <w:pPr>
        <w:spacing w:after="160" w:before="0"/>
      </w:pPr>
      <w:r>
        <w:t xml:space="preserve"/>
      </w:r>
    </w:p>
    <w:p>
      <w:pPr>
        <w:pStyle w:val="Heading1"/>
        <w:pBdr>
          <w:bottom w:val="single" w:color="2E75B6" w:sz="4" w:space="4"/>
        </w:pBdr>
        <w:spacing w:after="200" w:before="360"/>
      </w:pPr>
      <w:r>
        <w:rPr>
          <w:rFonts w:ascii="Arial" w:cs="Arial" w:eastAsia="Arial" w:hAnsi="Arial"/>
          <w:b/>
          <w:bCs/>
          <w:color w:val="1F3864"/>
          <w:sz w:val="32"/>
          <w:szCs w:val="32"/>
        </w:rPr>
        <w:t xml:space="preserve">Section 6 — Sources</w:t>
      </w:r>
    </w:p>
    <w:p>
      <w:pPr>
        <w:pStyle w:val="ListParagraph"/>
        <w:numPr>
          <w:ilvl w:val="0"/>
          <w:numId w:val="4"/>
        </w:numPr>
        <w:spacing w:after="60" w:before="60"/>
      </w:pPr>
      <w:r>
        <w:rPr>
          <w:rFonts w:ascii="Arial" w:cs="Arial" w:eastAsia="Arial" w:hAnsi="Arial"/>
          <w:sz w:val="24"/>
          <w:szCs w:val="24"/>
        </w:rPr>
        <w:t xml:space="preserve">NJ Sports &amp; Exposition Authority. “FIFA World Cup 2026 Economic Impact Assessment.” 2024.</w:t>
      </w:r>
    </w:p>
    <w:p>
      <w:pPr>
        <w:pStyle w:val="ListParagraph"/>
        <w:numPr>
          <w:ilvl w:val="0"/>
          <w:numId w:val="4"/>
        </w:numPr>
        <w:spacing w:after="60" w:before="60"/>
      </w:pPr>
      <w:r>
        <w:rPr>
          <w:rFonts w:ascii="Arial" w:cs="Arial" w:eastAsia="Arial" w:hAnsi="Arial"/>
          <w:sz w:val="24"/>
          <w:szCs w:val="24"/>
        </w:rPr>
        <w:t xml:space="preserve">LA Host Committee. “2026 FIFA World Cup Los Angeles Impact Study.” 2024.</w:t>
      </w:r>
    </w:p>
    <w:p>
      <w:pPr>
        <w:pStyle w:val="ListParagraph"/>
        <w:numPr>
          <w:ilvl w:val="0"/>
          <w:numId w:val="4"/>
        </w:numPr>
        <w:spacing w:after="60" w:before="60"/>
      </w:pPr>
      <w:r>
        <w:rPr>
          <w:rFonts w:ascii="Arial" w:cs="Arial" w:eastAsia="Arial" w:hAnsi="Arial"/>
          <w:sz w:val="24"/>
          <w:szCs w:val="24"/>
        </w:rPr>
        <w:t xml:space="preserve">Dallas Sports Commission. “World Cup 2026 Dallas-Fort Worth Economic Impact.” 2024.</w:t>
      </w:r>
    </w:p>
    <w:p>
      <w:pPr>
        <w:pStyle w:val="ListParagraph"/>
        <w:numPr>
          <w:ilvl w:val="0"/>
          <w:numId w:val="4"/>
        </w:numPr>
        <w:spacing w:after="60" w:before="60"/>
      </w:pPr>
      <w:r>
        <w:rPr>
          <w:rFonts w:ascii="Arial" w:cs="Arial" w:eastAsia="Arial" w:hAnsi="Arial"/>
          <w:sz w:val="24"/>
          <w:szCs w:val="24"/>
        </w:rPr>
        <w:t xml:space="preserve">FIFA. “FIFA World Cup 2026 Host City Announcement.” FIFA.com, June 2022.</w:t>
      </w:r>
    </w:p>
    <w:p>
      <w:pPr>
        <w:pStyle w:val="ListParagraph"/>
        <w:numPr>
          <w:ilvl w:val="0"/>
          <w:numId w:val="4"/>
        </w:numPr>
        <w:spacing w:after="60" w:before="60"/>
      </w:pPr>
      <w:r>
        <w:rPr>
          <w:rFonts w:ascii="Arial" w:cs="Arial" w:eastAsia="Arial" w:hAnsi="Arial"/>
          <w:sz w:val="24"/>
          <w:szCs w:val="24"/>
        </w:rPr>
        <w:t xml:space="preserve">Comite Organizador Mexico. “Impacto Economico — Copa Mundial FIFA 2026.” 2024.</w:t>
      </w:r>
    </w:p>
    <w:p>
      <w:pPr>
        <w:pStyle w:val="ListParagraph"/>
        <w:numPr>
          <w:ilvl w:val="0"/>
          <w:numId w:val="4"/>
        </w:numPr>
        <w:spacing w:after="60" w:before="60"/>
      </w:pPr>
      <w:r>
        <w:rPr>
          <w:rFonts w:ascii="Arial" w:cs="Arial" w:eastAsia="Arial" w:hAnsi="Arial"/>
          <w:sz w:val="24"/>
          <w:szCs w:val="24"/>
        </w:rPr>
        <w:t xml:space="preserve">Canadian Soccer Association. “FIFA World Cup 2026 Canada Host City Economic Projections.” 2024.</w:t>
      </w:r>
    </w:p>
    <w:p>
      <w:pPr>
        <w:pStyle w:val="ListParagraph"/>
        <w:numPr>
          <w:ilvl w:val="0"/>
          <w:numId w:val="4"/>
        </w:numPr>
        <w:spacing w:after="60" w:before="60"/>
      </w:pPr>
      <w:r>
        <w:rPr>
          <w:rFonts w:ascii="Arial" w:cs="Arial" w:eastAsia="Arial" w:hAnsi="Arial"/>
          <w:sz w:val="24"/>
          <w:szCs w:val="24"/>
        </w:rPr>
        <w:t xml:space="preserve">U.S. Bureau of Labor Statistics. “Mass Sporting Event Employment Multipliers.” 2023.</w:t>
      </w:r>
    </w:p>
    <w:p>
      <w:pPr>
        <w:pStyle w:val="ListParagraph"/>
        <w:numPr>
          <w:ilvl w:val="0"/>
          <w:numId w:val="4"/>
        </w:numPr>
        <w:spacing w:after="60" w:before="60"/>
      </w:pPr>
      <w:r>
        <w:rPr>
          <w:rFonts w:ascii="Arial" w:cs="Arial" w:eastAsia="Arial" w:hAnsi="Arial"/>
          <w:sz w:val="24"/>
          <w:szCs w:val="24"/>
        </w:rPr>
        <w:t xml:space="preserve">Booking.com. Hotel price data scraped via Playwright (headless Chromium), May 2026.</w:t>
      </w:r>
    </w:p>
    <w:p>
      <w:pPr>
        <w:pStyle w:val="ListParagraph"/>
        <w:numPr>
          <w:ilvl w:val="0"/>
          <w:numId w:val="4"/>
        </w:numPr>
        <w:spacing w:after="60" w:before="60"/>
      </w:pPr>
      <w:r>
        <w:rPr>
          <w:rFonts w:ascii="Arial" w:cs="Arial" w:eastAsia="Arial" w:hAnsi="Arial"/>
          <w:sz w:val="24"/>
          <w:szCs w:val="24"/>
        </w:rPr>
        <w:t xml:space="preserve">FIFA. “FIFA World Cup 2026 Regulations and Host City Requirements.” 2023.</w:t>
      </w:r>
    </w:p>
    <w:p>
      <w:pPr>
        <w:pStyle w:val="ListParagraph"/>
        <w:numPr>
          <w:ilvl w:val="0"/>
          <w:numId w:val="4"/>
        </w:numPr>
        <w:spacing w:after="60" w:before="60"/>
      </w:pPr>
      <w:r>
        <w:rPr>
          <w:rFonts w:ascii="Arial" w:cs="Arial" w:eastAsia="Arial" w:hAnsi="Arial"/>
          <w:sz w:val="24"/>
          <w:szCs w:val="24"/>
        </w:rPr>
        <w:t xml:space="preserve">Super Bowl LVI Host Committee. “Super Bowl LVI Economic Impact Report — Los Angeles.” 2022.</w:t>
      </w:r>
    </w:p>
    <w:p>
      <w:pPr>
        <w:spacing w:after="160" w:before="0"/>
      </w:pPr>
      <w:r>
        <w:t xml:space="preserve"/>
      </w:r>
    </w:p>
    <w:p>
      <w:pPr>
        <w:pStyle w:val="Heading1"/>
        <w:pBdr>
          <w:bottom w:val="single" w:color="2E75B6" w:sz="4" w:space="4"/>
        </w:pBdr>
        <w:spacing w:after="200" w:before="360"/>
      </w:pPr>
      <w:r>
        <w:rPr>
          <w:rFonts w:ascii="Arial" w:cs="Arial" w:eastAsia="Arial" w:hAnsi="Arial"/>
          <w:b/>
          <w:bCs/>
          <w:color w:val="1F3864"/>
          <w:sz w:val="32"/>
          <w:szCs w:val="32"/>
        </w:rPr>
        <w:t xml:space="preserve">Technical Appendix</w:t>
      </w:r>
    </w:p>
    <w:p>
      <w:pPr>
        <w:spacing w:after="120" w:before="80"/>
        <w:jc w:val="both"/>
      </w:pPr>
      <w:r>
        <w:rPr>
          <w:rFonts w:ascii="Arial" w:cs="Arial" w:eastAsia="Arial" w:hAnsi="Arial"/>
          <w:b w:val="false"/>
          <w:bCs w:val="false"/>
          <w:sz w:val="24"/>
          <w:szCs w:val="24"/>
        </w:rPr>
        <w:t xml:space="preserve">Pipeline architecture:</w:t>
      </w:r>
    </w:p>
    <w:p>
      <w:pPr>
        <w:pStyle w:val="ListParagraph"/>
        <w:numPr>
          <w:ilvl w:val="0"/>
          <w:numId w:val="2"/>
        </w:numPr>
        <w:spacing w:after="60" w:before="60"/>
      </w:pPr>
      <w:r>
        <w:rPr>
          <w:rFonts w:ascii="Arial" w:cs="Arial" w:eastAsia="Arial" w:hAnsi="Arial"/>
          <w:sz w:val="24"/>
          <w:szCs w:val="24"/>
        </w:rPr>
        <w:t xml:space="preserve">scraper/cities.py — city configuration, match dates, baseline dates</w:t>
      </w:r>
    </w:p>
    <w:p>
      <w:pPr>
        <w:pStyle w:val="ListParagraph"/>
        <w:numPr>
          <w:ilvl w:val="0"/>
          <w:numId w:val="2"/>
        </w:numPr>
        <w:spacing w:after="60" w:before="60"/>
      </w:pPr>
      <w:r>
        <w:rPr>
          <w:rFonts w:ascii="Arial" w:cs="Arial" w:eastAsia="Arial" w:hAnsi="Arial"/>
          <w:sz w:val="24"/>
          <w:szCs w:val="24"/>
        </w:rPr>
        <w:t xml:space="preserve">scraper/scraper.py — Playwright-based Booking.com scraper (headless Chromium, rate-limited, cached)</w:t>
      </w:r>
    </w:p>
    <w:p>
      <w:pPr>
        <w:pStyle w:val="ListParagraph"/>
        <w:numPr>
          <w:ilvl w:val="0"/>
          <w:numId w:val="2"/>
        </w:numPr>
        <w:spacing w:after="60" w:before="60"/>
      </w:pPr>
      <w:r>
        <w:rPr>
          <w:rFonts w:ascii="Arial" w:cs="Arial" w:eastAsia="Arial" w:hAnsi="Arial"/>
          <w:sz w:val="24"/>
          <w:szCs w:val="24"/>
        </w:rPr>
        <w:t xml:space="preserve">analysis/analyze.py — pandas/numpy/scipy/sklearn analysis pipeline</w:t>
      </w:r>
    </w:p>
    <w:p>
      <w:pPr>
        <w:pStyle w:val="ListParagraph"/>
        <w:numPr>
          <w:ilvl w:val="0"/>
          <w:numId w:val="2"/>
        </w:numPr>
        <w:spacing w:after="60" w:before="60"/>
      </w:pPr>
      <w:r>
        <w:rPr>
          <w:rFonts w:ascii="Arial" w:cs="Arial" w:eastAsia="Arial" w:hAnsi="Arial"/>
          <w:sz w:val="24"/>
          <w:szCs w:val="24"/>
        </w:rPr>
        <w:t xml:space="preserve">dashboard/index.html — interactive Chart.js dashboard reading from dashboard_data.json</w:t>
      </w:r>
    </w:p>
    <w:p>
      <w:pPr>
        <w:pStyle w:val="ListParagraph"/>
        <w:numPr>
          <w:ilvl w:val="0"/>
          <w:numId w:val="2"/>
        </w:numPr>
        <w:spacing w:after="60" w:before="60"/>
      </w:pPr>
      <w:r>
        <w:rPr>
          <w:rFonts w:ascii="Arial" w:cs="Arial" w:eastAsia="Arial" w:hAnsi="Arial"/>
          <w:sz w:val="24"/>
          <w:szCs w:val="24"/>
        </w:rPr>
        <w:t xml:space="preserve">data/raw/ — per-city scraped JSON files + consolidated all_prices.csv</w:t>
      </w:r>
    </w:p>
    <w:p>
      <w:pPr>
        <w:pStyle w:val="ListParagraph"/>
        <w:numPr>
          <w:ilvl w:val="0"/>
          <w:numId w:val="2"/>
        </w:numPr>
        <w:spacing w:after="60" w:before="60"/>
      </w:pPr>
      <w:r>
        <w:rPr>
          <w:rFonts w:ascii="Arial" w:cs="Arial" w:eastAsia="Arial" w:hAnsi="Arial"/>
          <w:sz w:val="24"/>
          <w:szCs w:val="24"/>
        </w:rPr>
        <w:t xml:space="preserve">data/processed/ — surge_analysis.csv, dashboard_data.json, figures/</w:t>
      </w:r>
    </w:p>
    <w:p>
      <w:pPr>
        <w:spacing w:after="80" w:before="0"/>
      </w:pPr>
      <w:r>
        <w:t xml:space="preserve"/>
      </w:r>
    </w:p>
    <w:p>
      <w:pPr>
        <w:spacing w:after="120" w:before="80"/>
        <w:jc w:val="both"/>
      </w:pPr>
      <w:r>
        <w:rPr>
          <w:rFonts w:ascii="Arial" w:cs="Arial" w:eastAsia="Arial" w:hAnsi="Arial"/>
          <w:b w:val="false"/>
          <w:bCs w:val="false"/>
          <w:sz w:val="24"/>
          <w:szCs w:val="24"/>
        </w:rPr>
        <w:t xml:space="preserve">To reproduce this analysis:</w:t>
      </w:r>
    </w:p>
    <w:p>
      <w:pPr>
        <w:shd w:fill="F8F8F8" w:val="clear"/>
        <w:spacing w:after="80" w:before="80"/>
      </w:pPr>
      <w:r>
        <w:rPr>
          <w:rFonts w:ascii="Courier New" w:cs="Courier New" w:eastAsia="Courier New" w:hAnsi="Courier New"/>
          <w:sz w:val="20"/>
          <w:szCs w:val="20"/>
        </w:rPr>
        <w:t xml:space="preserve">pip install -r scraper/requirements.txt</w:t>
      </w:r>
    </w:p>
    <w:p>
      <w:pPr>
        <w:shd w:fill="F8F8F8" w:val="clear"/>
        <w:spacing w:after="80" w:before="80"/>
      </w:pPr>
      <w:r>
        <w:rPr>
          <w:rFonts w:ascii="Courier New" w:cs="Courier New" w:eastAsia="Courier New" w:hAnsi="Courier New"/>
          <w:sz w:val="20"/>
          <w:szCs w:val="20"/>
        </w:rPr>
        <w:t xml:space="preserve">playwright install chromium</w:t>
      </w:r>
    </w:p>
    <w:p>
      <w:pPr>
        <w:shd w:fill="F8F8F8" w:val="clear"/>
        <w:spacing w:after="80" w:before="80"/>
      </w:pPr>
      <w:r>
        <w:rPr>
          <w:rFonts w:ascii="Courier New" w:cs="Courier New" w:eastAsia="Courier New" w:hAnsi="Courier New"/>
          <w:sz w:val="20"/>
          <w:szCs w:val="20"/>
        </w:rPr>
        <w:t xml:space="preserve">python scraper/scraper.py</w:t>
      </w:r>
    </w:p>
    <w:p>
      <w:pPr>
        <w:shd w:fill="F8F8F8" w:val="clear"/>
        <w:spacing w:after="80" w:before="80"/>
      </w:pPr>
      <w:r>
        <w:rPr>
          <w:rFonts w:ascii="Courier New" w:cs="Courier New" w:eastAsia="Courier New" w:hAnsi="Courier New"/>
          <w:sz w:val="20"/>
          <w:szCs w:val="20"/>
        </w:rPr>
        <w:t xml:space="preserve">python analysis/analyze.py</w:t>
      </w:r>
    </w:p>
    <w:p>
      <w:pPr>
        <w:shd w:fill="F8F8F8" w:val="clear"/>
        <w:spacing w:after="80" w:before="80"/>
      </w:pPr>
      <w:r>
        <w:rPr>
          <w:rFonts w:ascii="Courier New" w:cs="Courier New" w:eastAsia="Courier New" w:hAnsi="Courier New"/>
          <w:sz w:val="20"/>
          <w:szCs w:val="20"/>
        </w:rPr>
        <w:t xml:space="preserve">python -m http.server 8080</w:t>
      </w:r>
    </w:p>
    <w:p>
      <w:pPr>
        <w:spacing w:after="160" w:before="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08080"/>
        <w:sz w:val="18"/>
        <w:szCs w:val="18"/>
      </w:rPr>
      <w:t xml:space="preserve">FIFA World Cup 2026 — Economic Impact Analysis  |  </w:t>
    </w: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2026-05-14T02:56:41.940Z</dcterms:created>
  <dcterms:modified xsi:type="dcterms:W3CDTF">2026-05-14T02:56:41.948Z</dcterms:modified>
</cp:coreProperties>
</file>

<file path=docProps/custom.xml><?xml version="1.0" encoding="utf-8"?>
<Properties xmlns="http://schemas.openxmlformats.org/officeDocument/2006/custom-properties" xmlns:vt="http://schemas.openxmlformats.org/officeDocument/2006/docPropsVTypes"/>
</file>