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16080" w14:textId="77777777" w:rsidR="00384B41" w:rsidRDefault="00000000">
      <w:pPr>
        <w:pStyle w:val="Heading1"/>
      </w:pPr>
      <w:r>
        <w:t>Heart Disease Dataset Analysis: Executive Summary</w:t>
      </w:r>
    </w:p>
    <w:p w14:paraId="7A0FFE84" w14:textId="77777777" w:rsidR="00384B41" w:rsidRDefault="00000000">
      <w:pPr>
        <w:pStyle w:val="Heading2"/>
      </w:pPr>
      <w:r>
        <w:t>Data Overview</w:t>
      </w:r>
    </w:p>
    <w:p w14:paraId="52A3FCFF" w14:textId="77777777" w:rsidR="00384B41" w:rsidRDefault="00000000">
      <w:r>
        <w:t>The heart disease dataset contains a total of 303 observations and 12 variables. All data is complete, with no missing values. The dataset comprises entirely numeric variables, including key features such as age, sex, chest pain type (cp), resting blood pressure (trestbps), cholesterol (chol), fasting blood sugar (fbs), resting ECG results (restecg), maximum heart rate achieved (thalach), exercise-induced angina (exang), ST depression (oldpeak), and the slope of the peak exercise ST segment (slope).</w:t>
      </w:r>
    </w:p>
    <w:p w14:paraId="782DA3D1" w14:textId="77777777" w:rsidR="00384B41" w:rsidRDefault="00000000">
      <w:pPr>
        <w:pStyle w:val="Heading2"/>
      </w:pPr>
      <w:r>
        <w:t>Descriptive Statistics</w:t>
      </w:r>
    </w:p>
    <w:p w14:paraId="09F27952" w14:textId="77777777" w:rsidR="00384B41" w:rsidRDefault="00000000">
      <w:r>
        <w:t>The dataset comprises 303 observations, with the mean patient age being 54.4 years, ranging from 29 to 77. Resting blood pressure averages 131.7 mm Hg, while cholesterol levels have a mean of 246.7 mg/dL. Maximum heart rate is 149.6 beats per minute on average, and ST depression (oldpeak) has an average of 1.04, ranging from 0 to 6.2.</w:t>
      </w:r>
    </w:p>
    <w:p w14:paraId="362503F3" w14:textId="77777777" w:rsidR="00384B41" w:rsidRDefault="00000000">
      <w:pPr>
        <w:pStyle w:val="Heading2"/>
      </w:pPr>
      <w:r>
        <w:t>Frequency Analysis</w:t>
      </w:r>
    </w:p>
    <w:p w14:paraId="45154DDB" w14:textId="77777777" w:rsidR="00384B41" w:rsidRDefault="00000000">
      <w:r>
        <w:t>In the dataset, 85% of patients have fasting blood sugar levels below 120 mg/dL, while 15% exceed this threshold. Resting ECG is distributed with 49.8% in category 0, 48.8% in category 2, and only 1.3% in category 1. For the slope of peak exercise ST segment, categories 1 and 2 each account for 47%, with 6.9% in category 3.</w:t>
      </w:r>
    </w:p>
    <w:p w14:paraId="5D589676" w14:textId="77777777" w:rsidR="00384B41" w:rsidRDefault="00000000">
      <w:pPr>
        <w:pStyle w:val="Heading2"/>
      </w:pPr>
      <w:r>
        <w:t>Correlation Analysis</w:t>
      </w:r>
    </w:p>
    <w:p w14:paraId="2A9106C8" w14:textId="77777777" w:rsidR="00384B41" w:rsidRDefault="00000000">
      <w:r>
        <w:t>Pearson correlation analysis showed that age positively correlates with resting ECG and ST depression, while it negatively correlates with maximum heart rate. Resting blood pressure and cholesterol exhibit weak correlations with other variables. A scatter plot matrix further confirmed weak linear relationships among the variables.</w:t>
      </w:r>
    </w:p>
    <w:p w14:paraId="18BDFF4D" w14:textId="77777777" w:rsidR="00384B41" w:rsidRDefault="00000000">
      <w:pPr>
        <w:pStyle w:val="Heading2"/>
      </w:pPr>
      <w:r>
        <w:t>Principal Component Analysis (PCA)</w:t>
      </w:r>
    </w:p>
    <w:p w14:paraId="4BF7DBE1" w14:textId="77777777" w:rsidR="00384B41" w:rsidRDefault="00000000">
      <w:r>
        <w:t>PCA revealed that the first two principal components account for 34.3% of the variance. Variables such as maximum heart rate and ST depression significantly contribute to these components, offering insights into the dimensions of variability in the dataset.</w:t>
      </w:r>
    </w:p>
    <w:p w14:paraId="7EBB1556" w14:textId="77777777" w:rsidR="00384B41" w:rsidRDefault="00000000">
      <w:pPr>
        <w:pStyle w:val="Heading2"/>
      </w:pPr>
      <w:r>
        <w:t>Cluster Analysis</w:t>
      </w:r>
    </w:p>
    <w:p w14:paraId="6A2E72D6" w14:textId="77777777" w:rsidR="00384B41" w:rsidRDefault="00000000">
      <w:pPr>
        <w:pStyle w:val="Heading3"/>
      </w:pPr>
      <w:r>
        <w:t>Hierarchical Clustering</w:t>
      </w:r>
    </w:p>
    <w:p w14:paraId="12F8597B" w14:textId="77777777" w:rsidR="00384B41" w:rsidRDefault="00000000">
      <w:r>
        <w:t>Two clusters were identified. Cluster 1 consists of older patients (mean age 57.7) with higher resting blood pressure (133.8 mm Hg) and ST depression (1.7), whereas Cluster 2 includes younger patients (mean age 51.2) with higher maximum heart rate (163.3) and lower ST depression (0.37). Categorical differences show that Cluster 1 has a higher proportion of males and more severe chest pain, while Cluster 2 is predominantly female with milder chest pain.</w:t>
      </w:r>
    </w:p>
    <w:p w14:paraId="5C8D8013" w14:textId="77777777" w:rsidR="00384B41" w:rsidRDefault="00000000">
      <w:pPr>
        <w:pStyle w:val="Heading3"/>
      </w:pPr>
      <w:r>
        <w:lastRenderedPageBreak/>
        <w:t>K-Means Clustering</w:t>
      </w:r>
    </w:p>
    <w:p w14:paraId="3B77422D" w14:textId="77777777" w:rsidR="00384B41" w:rsidRDefault="00000000">
      <w:r>
        <w:t>Similar to hierarchical clustering, K-means identified two clusters. Cluster 1 comprises older patients (mean age 59.2) with higher resting blood pressure (137.5 mm Hg) and cholesterol (250.4 mg/dL). Cluster 2 consists of younger patients (mean age 51.4) with lower resting blood pressure (128.7 mm Hg) and higher maximum heart rate (161.2). The categorical patterns observed align with those from hierarchical clustering.</w:t>
      </w:r>
    </w:p>
    <w:p w14:paraId="69329A0D" w14:textId="77777777" w:rsidR="00384B41" w:rsidRDefault="00000000">
      <w:pPr>
        <w:pStyle w:val="Heading2"/>
      </w:pPr>
      <w:r>
        <w:t>Cholesterol Distribution by Heart Rate and ST Depression</w:t>
      </w:r>
    </w:p>
    <w:p w14:paraId="554CDF87" w14:textId="77777777" w:rsidR="00384B41" w:rsidRDefault="00000000">
      <w:r>
        <w:t>A panel plot illustrated significant variation in cholesterol levels across heart rate values, with no discernible trend in relation to maximum heart rate or ST depression.</w:t>
      </w:r>
    </w:p>
    <w:p w14:paraId="01283316" w14:textId="77777777" w:rsidR="00384B41" w:rsidRDefault="00000000">
      <w:pPr>
        <w:pStyle w:val="Heading2"/>
      </w:pPr>
      <w:r>
        <w:t>Correlation Plots</w:t>
      </w:r>
    </w:p>
    <w:p w14:paraId="7E3C7BD3" w14:textId="77777777" w:rsidR="00384B41" w:rsidRDefault="00000000">
      <w:r>
        <w:t>The relationship between maximum heart rate and resting blood pressure displayed no strong correlation. Adding ST depression as a third dimension revealed no clear trend. The analysis of age, cholesterol, and maximum heart rate showed a weak correlation between age and cholesterol, with a declining heart rate in older patients.</w:t>
      </w:r>
    </w:p>
    <w:p w14:paraId="71674DA1" w14:textId="77777777" w:rsidR="00384B41" w:rsidRDefault="00000000">
      <w:pPr>
        <w:pStyle w:val="Heading2"/>
      </w:pPr>
      <w:r>
        <w:t>Key Insights</w:t>
      </w:r>
    </w:p>
    <w:p w14:paraId="231A0829" w14:textId="77777777" w:rsidR="00384B41" w:rsidRDefault="00000000">
      <w:pPr>
        <w:pStyle w:val="Heading3"/>
      </w:pPr>
      <w:r>
        <w:t>Risk Factors and Patterns</w:t>
      </w:r>
    </w:p>
    <w:p w14:paraId="38B7CB50" w14:textId="77777777" w:rsidR="00384B41" w:rsidRDefault="00000000">
      <w:r>
        <w:t>Older patients demonstrate higher resting blood pressure and ST depression, indicating elevated cardiovascular risk. Cholesterol levels vary widely without strong correlation to age or heart rate.</w:t>
      </w:r>
    </w:p>
    <w:p w14:paraId="7DFF7B4C" w14:textId="77777777" w:rsidR="00384B41" w:rsidRDefault="00000000">
      <w:pPr>
        <w:pStyle w:val="Heading3"/>
      </w:pPr>
      <w:r>
        <w:t>Cluster Analysis for Patient Segmentation</w:t>
      </w:r>
    </w:p>
    <w:p w14:paraId="4D2A1E80" w14:textId="77777777" w:rsidR="00384B41" w:rsidRDefault="00000000">
      <w:r>
        <w:t>The identified clusters represent distinct patient groups that can inform targeted healthcare strategies. Cluster 1 corresponds to older, higher-risk patients, while Cluster 2 represents younger, healthier individuals.</w:t>
      </w:r>
    </w:p>
    <w:p w14:paraId="63E0F322" w14:textId="77777777" w:rsidR="00384B41" w:rsidRDefault="00000000">
      <w:pPr>
        <w:pStyle w:val="Heading2"/>
      </w:pPr>
      <w:r>
        <w:t>Key Business Implications</w:t>
      </w:r>
    </w:p>
    <w:p w14:paraId="06E43553" w14:textId="6780E4A6" w:rsidR="00914D00" w:rsidRDefault="00000000">
      <w:r w:rsidRPr="00914D00">
        <w:rPr>
          <w:b/>
          <w:bCs/>
          <w:i/>
          <w:iCs/>
        </w:rPr>
        <w:t>Targeted Preventive Healthcare:</w:t>
      </w:r>
      <w:r>
        <w:t xml:space="preserve"> Older patients with elevated ST depression and lower maximum heart rate should be prioritized for interventions such as lifestyle coaching, stress management, and regular cardiovascular check-ups.</w:t>
      </w:r>
      <w:r>
        <w:br/>
      </w:r>
      <w:r w:rsidRPr="00914D00">
        <w:rPr>
          <w:b/>
          <w:bCs/>
          <w:i/>
          <w:iCs/>
        </w:rPr>
        <w:t>Optimized Resource Allocation:</w:t>
      </w:r>
      <w:r>
        <w:t xml:space="preserve"> By focusing healthcare resources on high-risk individuals (Cluster 1), operational efficiency can be significantly improved, leading to better outcomes for the patients most in need.</w:t>
      </w:r>
      <w:r>
        <w:br/>
      </w:r>
      <w:r w:rsidRPr="00914D00">
        <w:rPr>
          <w:b/>
          <w:bCs/>
          <w:i/>
          <w:iCs/>
        </w:rPr>
        <w:t>Customized Health Campaigns:</w:t>
      </w:r>
      <w:r>
        <w:t xml:space="preserve"> Personalized communication and awareness strategies, tailored to specific age groups and cardiovascular risk factors, can enhance patient engagement and encourage healthier behaviors, including diet and exercise modifications.</w:t>
      </w:r>
      <w:r>
        <w:br/>
      </w:r>
      <w:r w:rsidRPr="00914D00">
        <w:rPr>
          <w:b/>
          <w:bCs/>
          <w:i/>
          <w:iCs/>
        </w:rPr>
        <w:t>Proactive Risk Assessment Tools:</w:t>
      </w:r>
      <w:r>
        <w:t xml:space="preserve"> Developing tools to identify and monitor high-risk clusters will allow for timely interventions, reducing long-term healthcare costs and improving patient prognosis.</w:t>
      </w:r>
      <w:r>
        <w:br/>
      </w:r>
    </w:p>
    <w:p w14:paraId="47DC4900" w14:textId="3E3B6025" w:rsidR="00384B41" w:rsidRDefault="00000000">
      <w:r w:rsidRPr="00914D00">
        <w:rPr>
          <w:b/>
          <w:bCs/>
          <w:i/>
          <w:iCs/>
        </w:rPr>
        <w:lastRenderedPageBreak/>
        <w:t>Research and Data-Driven Strategies</w:t>
      </w:r>
      <w:r w:rsidRPr="00914D00">
        <w:rPr>
          <w:i/>
          <w:iCs/>
        </w:rPr>
        <w:t xml:space="preserve">: </w:t>
      </w:r>
      <w:r>
        <w:t>These insights can guide future research into cardiovascular health, enabling continuous refinement of patient segmentation methods and preventive care initiatives.</w:t>
      </w:r>
      <w:r>
        <w:br/>
      </w:r>
      <w:r w:rsidRPr="00914D00">
        <w:rPr>
          <w:b/>
          <w:bCs/>
          <w:i/>
          <w:iCs/>
        </w:rPr>
        <w:t>Healthcare Innovation Opportunities</w:t>
      </w:r>
      <w:r w:rsidRPr="00914D00">
        <w:rPr>
          <w:i/>
          <w:iCs/>
        </w:rPr>
        <w:t xml:space="preserve">: </w:t>
      </w:r>
      <w:r>
        <w:t>Clustering and PCA insights can inform innovative solutions, such as wearable technology for real-time monitoring and customized digital health platforms to track individual risk factors and progress.</w:t>
      </w:r>
    </w:p>
    <w:sectPr w:rsidR="00384B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7465550">
    <w:abstractNumId w:val="8"/>
  </w:num>
  <w:num w:numId="2" w16cid:durableId="1786340862">
    <w:abstractNumId w:val="6"/>
  </w:num>
  <w:num w:numId="3" w16cid:durableId="819611884">
    <w:abstractNumId w:val="5"/>
  </w:num>
  <w:num w:numId="4" w16cid:durableId="312954444">
    <w:abstractNumId w:val="4"/>
  </w:num>
  <w:num w:numId="5" w16cid:durableId="1499072507">
    <w:abstractNumId w:val="7"/>
  </w:num>
  <w:num w:numId="6" w16cid:durableId="1321813303">
    <w:abstractNumId w:val="3"/>
  </w:num>
  <w:num w:numId="7" w16cid:durableId="1390155408">
    <w:abstractNumId w:val="2"/>
  </w:num>
  <w:num w:numId="8" w16cid:durableId="1595742748">
    <w:abstractNumId w:val="1"/>
  </w:num>
  <w:num w:numId="9" w16cid:durableId="138950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331"/>
    <w:rsid w:val="0029639D"/>
    <w:rsid w:val="00310AF5"/>
    <w:rsid w:val="00326F90"/>
    <w:rsid w:val="00384B41"/>
    <w:rsid w:val="00914D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1BC57"/>
  <w14:defaultImageDpi w14:val="300"/>
  <w15:docId w15:val="{25B34E02-D60C-C841-85C2-B74C11A07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791</Words>
  <Characters>4510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 Khanna</cp:lastModifiedBy>
  <cp:revision>3</cp:revision>
  <dcterms:created xsi:type="dcterms:W3CDTF">2024-12-06T15:12:00Z</dcterms:created>
  <dcterms:modified xsi:type="dcterms:W3CDTF">2024-12-06T15:14:00Z</dcterms:modified>
  <cp:category/>
</cp:coreProperties>
</file>