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40"/>
      </w:pPr>
      <w:r>
        <w:rPr>
          <w:rFonts w:ascii="Arial" w:cs="Arial" w:eastAsia="Arial" w:hAnsi="Arial"/>
          <w:b/>
          <w:bCs/>
          <w:i w:val="false"/>
          <w:iCs w:val="false"/>
          <w:color w:val="1F4E79"/>
          <w:sz w:val="48"/>
          <w:szCs w:val="48"/>
        </w:rPr>
        <w:t xml:space="preserve">IBM HR ANALYTICS</w:t>
      </w:r>
    </w:p>
    <w:p>
      <w:pPr>
        <w:spacing w:after="40"/>
      </w:pPr>
      <w:r>
        <w:rPr>
          <w:rFonts w:ascii="Arial" w:cs="Arial" w:eastAsia="Arial" w:hAnsi="Arial"/>
          <w:b w:val="false"/>
          <w:bCs w:val="false"/>
          <w:i/>
          <w:iCs/>
          <w:color w:val="2E75B6"/>
          <w:sz w:val="28"/>
          <w:szCs w:val="28"/>
        </w:rPr>
        <w:t xml:space="preserve">Employee Attrition &amp; Workforce Insights</w:t>
      </w:r>
    </w:p>
    <w:p>
      <w:pPr>
        <w:pBdr>
          <w:bottom w:val="single" w:color="1F4E79" w:sz="8" w:space="4"/>
        </w:pBdr>
        <w:spacing w:after="40"/>
      </w:pPr>
    </w:p>
    <w:p>
      <w:pPr>
        <w:spacing w:after="0"/>
      </w:pPr>
    </w:p>
    <w:p>
      <w:pPr>
        <w:tabs>
          <w:tab w:val="left" w:pos="2000"/>
        </w:tabs>
        <w:spacing w:after="80"/>
      </w:pPr>
      <w:r>
        <w:rPr>
          <w:rFonts w:ascii="Arial" w:cs="Arial" w:eastAsia="Arial" w:hAnsi="Arial"/>
          <w:b w:val="false"/>
          <w:bCs w:val="false"/>
          <w:i w:val="false"/>
          <w:iCs w:val="false"/>
          <w:color w:val="595959"/>
          <w:sz w:val="20"/>
          <w:szCs w:val="20"/>
        </w:rPr>
        <w:t xml:space="preserve">Prepared by</w:t>
      </w:r>
      <w:r>
        <w:rPr>
          <w:rFonts w:ascii="Arial" w:cs="Arial" w:eastAsia="Arial" w:hAnsi="Arial"/>
        </w:rPr>
        <w:t xml:space="preserve">	</w:t>
      </w:r>
      <w:r>
        <w:rPr>
          <w:rFonts w:ascii="Arial" w:cs="Arial" w:eastAsia="Arial" w:hAnsi="Arial"/>
          <w:b/>
          <w:bCs/>
          <w:i w:val="false"/>
          <w:iCs w:val="false"/>
          <w:color w:val="000000"/>
          <w:sz w:val="20"/>
          <w:szCs w:val="20"/>
        </w:rPr>
        <w:t xml:space="preserve">Dhruv Khanna</w:t>
      </w:r>
    </w:p>
    <w:p>
      <w:pPr>
        <w:tabs>
          <w:tab w:val="left" w:pos="2000"/>
        </w:tabs>
        <w:spacing w:after="80"/>
      </w:pPr>
      <w:r>
        <w:rPr>
          <w:rFonts w:ascii="Arial" w:cs="Arial" w:eastAsia="Arial" w:hAnsi="Arial"/>
          <w:b w:val="false"/>
          <w:bCs w:val="false"/>
          <w:i w:val="false"/>
          <w:iCs w:val="false"/>
          <w:color w:val="595959"/>
          <w:sz w:val="20"/>
          <w:szCs w:val="20"/>
        </w:rPr>
        <w:t xml:space="preserve">Qualification</w:t>
      </w:r>
      <w:r>
        <w:rPr>
          <w:rFonts w:ascii="Arial" w:cs="Arial" w:eastAsia="Arial" w:hAnsi="Arial"/>
        </w:rPr>
        <w:t xml:space="preserve">	</w:t>
      </w:r>
      <w:r>
        <w:rPr>
          <w:rFonts w:ascii="Arial" w:cs="Arial" w:eastAsia="Arial" w:hAnsi="Arial"/>
          <w:b w:val="false"/>
          <w:bCs w:val="false"/>
          <w:i w:val="false"/>
          <w:iCs w:val="false"/>
          <w:color w:val="000000"/>
          <w:sz w:val="20"/>
          <w:szCs w:val="20"/>
        </w:rPr>
        <w:t xml:space="preserve">MS Business Analytics, Quinnipiac University</w:t>
      </w:r>
    </w:p>
    <w:p>
      <w:pPr>
        <w:tabs>
          <w:tab w:val="left" w:pos="2000"/>
        </w:tabs>
        <w:spacing w:after="80"/>
      </w:pPr>
      <w:r>
        <w:rPr>
          <w:rFonts w:ascii="Arial" w:cs="Arial" w:eastAsia="Arial" w:hAnsi="Arial"/>
          <w:b w:val="false"/>
          <w:bCs w:val="false"/>
          <w:i w:val="false"/>
          <w:iCs w:val="false"/>
          <w:color w:val="595959"/>
          <w:sz w:val="20"/>
          <w:szCs w:val="20"/>
        </w:rPr>
        <w:t xml:space="preserve">Dataset</w:t>
      </w:r>
      <w:r>
        <w:rPr>
          <w:rFonts w:ascii="Arial" w:cs="Arial" w:eastAsia="Arial" w:hAnsi="Arial"/>
        </w:rPr>
        <w:t xml:space="preserve">	</w:t>
      </w:r>
      <w:r>
        <w:rPr>
          <w:rFonts w:ascii="Arial" w:cs="Arial" w:eastAsia="Arial" w:hAnsi="Arial"/>
          <w:b w:val="false"/>
          <w:bCs w:val="false"/>
          <w:i w:val="false"/>
          <w:iCs w:val="false"/>
          <w:color w:val="000000"/>
          <w:sz w:val="20"/>
          <w:szCs w:val="20"/>
        </w:rPr>
        <w:t xml:space="preserve">IBM HR Analytics Employee Attrition (1,470 records, 35 variables)</w:t>
      </w:r>
    </w:p>
    <w:p>
      <w:pPr>
        <w:tabs>
          <w:tab w:val="left" w:pos="2000"/>
        </w:tabs>
        <w:spacing w:after="80"/>
      </w:pPr>
      <w:r>
        <w:rPr>
          <w:rFonts w:ascii="Arial" w:cs="Arial" w:eastAsia="Arial" w:hAnsi="Arial"/>
          <w:b w:val="false"/>
          <w:bCs w:val="false"/>
          <w:i w:val="false"/>
          <w:iCs w:val="false"/>
          <w:color w:val="595959"/>
          <w:sz w:val="20"/>
          <w:szCs w:val="20"/>
        </w:rPr>
        <w:t xml:space="preserve">Tool</w:t>
      </w:r>
      <w:r>
        <w:rPr>
          <w:rFonts w:ascii="Arial" w:cs="Arial" w:eastAsia="Arial" w:hAnsi="Arial"/>
        </w:rPr>
        <w:t xml:space="preserve">	</w:t>
      </w:r>
      <w:r>
        <w:rPr>
          <w:rFonts w:ascii="Arial" w:cs="Arial" w:eastAsia="Arial" w:hAnsi="Arial"/>
          <w:b w:val="false"/>
          <w:bCs w:val="false"/>
          <w:i w:val="false"/>
          <w:iCs w:val="false"/>
          <w:color w:val="000000"/>
          <w:sz w:val="20"/>
          <w:szCs w:val="20"/>
        </w:rPr>
        <w:t xml:space="preserve">MySQL Workbench 9.7 — 10 SQL queries</w:t>
      </w:r>
    </w:p>
    <w:p>
      <w:pPr>
        <w:tabs>
          <w:tab w:val="left" w:pos="2000"/>
        </w:tabs>
        <w:spacing w:after="80"/>
      </w:pPr>
      <w:r>
        <w:rPr>
          <w:rFonts w:ascii="Arial" w:cs="Arial" w:eastAsia="Arial" w:hAnsi="Arial"/>
          <w:b w:val="false"/>
          <w:bCs w:val="false"/>
          <w:i w:val="false"/>
          <w:iCs w:val="false"/>
          <w:color w:val="595959"/>
          <w:sz w:val="20"/>
          <w:szCs w:val="20"/>
        </w:rPr>
        <w:t xml:space="preserve">Date</w:t>
      </w:r>
      <w:r>
        <w:rPr>
          <w:rFonts w:ascii="Arial" w:cs="Arial" w:eastAsia="Arial" w:hAnsi="Arial"/>
        </w:rPr>
        <w:t xml:space="preserve">	</w:t>
      </w:r>
      <w:r>
        <w:rPr>
          <w:rFonts w:ascii="Arial" w:cs="Arial" w:eastAsia="Arial" w:hAnsi="Arial"/>
          <w:b w:val="false"/>
          <w:bCs w:val="false"/>
          <w:i w:val="false"/>
          <w:iCs w:val="false"/>
          <w:color w:val="000000"/>
          <w:sz w:val="20"/>
          <w:szCs w:val="20"/>
        </w:rPr>
        <w:t xml:space="preserve">May 2026</w:t>
      </w:r>
    </w:p>
    <w:p>
      <w:pPr>
        <w:spacing w:after="0"/>
      </w:pPr>
      <w:r>
        <w:br/>
        <w:t xml:space="preserve"/>
      </w:r>
    </w:p>
    <w:p>
      <w:pPr>
        <w:pBdr>
          <w:left w:val="single" w:color="1F4E79" w:sz="24" w:space="8"/>
        </w:pBdr>
        <w:spacing w:after="120" w:before="320"/>
        <w:ind w:left="200"/>
      </w:pPr>
      <w:r>
        <w:rPr>
          <w:rFonts w:ascii="Arial" w:cs="Arial" w:eastAsia="Arial" w:hAnsi="Arial"/>
          <w:b/>
          <w:bCs/>
          <w:i w:val="false"/>
          <w:iCs w:val="false"/>
          <w:color w:val="1F4E79"/>
          <w:sz w:val="28"/>
          <w:szCs w:val="28"/>
        </w:rPr>
        <w:t xml:space="preserve">Executive Summary</w:t>
      </w:r>
    </w:p>
    <w:p>
      <w:pPr>
        <w:spacing w:after="160" w:before="0" w:line="320"/>
        <w:jc w:val="left"/>
      </w:pPr>
      <w:r>
        <w:rPr>
          <w:rFonts w:ascii="Arial" w:cs="Arial" w:eastAsia="Arial" w:hAnsi="Arial"/>
          <w:b w:val="false"/>
          <w:bCs w:val="false"/>
          <w:i w:val="false"/>
          <w:iCs w:val="false"/>
          <w:color w:val="000000"/>
          <w:sz w:val="22"/>
          <w:szCs w:val="22"/>
        </w:rPr>
        <w:t xml:space="preserve">This report presents the findings of a structured SQL analysis conducted on IBM's HR Analytics dataset, comprising 1,470 employee records across 35 variables. Ten queries were designed and executed to surface actionable insights on employee attrition, compensation, workforce demographics, and retention risk. The analysis identifies four primary drivers of attrition: department, age group, overtime exposure, and job satisfaction — and profiles the specific employee segments most at risk of leaving.</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Overall Attrition Rate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Highest Risk Dept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Highest Risk Age Group</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Overtime Attrition Premium</w:t>
            </w:r>
          </w:p>
        </w:tc>
      </w:tr>
      <w:tr>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16.12%</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Sales (20.63%)</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Under 25 (39.18%)</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2x higher</w:t>
            </w:r>
          </w:p>
        </w:tc>
      </w:tr>
    </w:tbl>
    <w:p>
      <w:pPr>
        <w:spacing w:after="0"/>
      </w:pPr>
    </w:p>
    <w:p>
      <w:pPr>
        <w:pBdr>
          <w:left w:val="single" w:color="1F4E79" w:sz="24" w:space="8"/>
        </w:pBdr>
        <w:spacing w:after="120" w:before="320"/>
        <w:ind w:left="200"/>
      </w:pPr>
      <w:r>
        <w:rPr>
          <w:rFonts w:ascii="Arial" w:cs="Arial" w:eastAsia="Arial" w:hAnsi="Arial"/>
          <w:b/>
          <w:bCs/>
          <w:i w:val="false"/>
          <w:iCs w:val="false"/>
          <w:color w:val="1F4E79"/>
          <w:sz w:val="28"/>
          <w:szCs w:val="28"/>
        </w:rPr>
        <w:t xml:space="preserve">About the Data</w:t>
      </w:r>
    </w:p>
    <w:p>
      <w:pPr>
        <w:spacing w:after="160" w:before="0" w:line="320"/>
        <w:jc w:val="left"/>
      </w:pPr>
      <w:r>
        <w:rPr>
          <w:rFonts w:ascii="Arial" w:cs="Arial" w:eastAsia="Arial" w:hAnsi="Arial"/>
          <w:b w:val="false"/>
          <w:bCs w:val="false"/>
          <w:i w:val="false"/>
          <w:iCs w:val="false"/>
          <w:color w:val="000000"/>
          <w:sz w:val="22"/>
          <w:szCs w:val="22"/>
        </w:rPr>
        <w:t xml:space="preserve">The dataset used in this analysis is the IBM HR Analytics Employee Attrition dataset, originally published by IBM and widely available via Kaggle. It contains 1,470 employee records across 35 variables covering demographics, compensation, job role, satisfaction scores, work history, and attrition status.</w:t>
      </w:r>
    </w:p>
    <w:p>
      <w:pPr>
        <w:spacing w:after="0"/>
      </w:pPr>
    </w:p>
    <w:p>
      <w:pPr>
        <w:spacing w:after="80" w:before="200"/>
      </w:pPr>
      <w:r>
        <w:rPr>
          <w:rFonts w:ascii="Arial" w:cs="Arial" w:eastAsia="Arial" w:hAnsi="Arial"/>
          <w:b/>
          <w:bCs/>
          <w:i w:val="false"/>
          <w:iCs w:val="false"/>
          <w:color w:val="2E75B6"/>
          <w:sz w:val="24"/>
          <w:szCs w:val="24"/>
        </w:rPr>
        <w:t xml:space="preserve">Data Quality Assessment</w:t>
      </w:r>
    </w:p>
    <w:p>
      <w:pPr>
        <w:spacing w:after="160" w:before="0" w:line="320"/>
        <w:jc w:val="left"/>
      </w:pPr>
      <w:r>
        <w:rPr>
          <w:rFonts w:ascii="Arial" w:cs="Arial" w:eastAsia="Arial" w:hAnsi="Arial"/>
          <w:b w:val="false"/>
          <w:bCs w:val="false"/>
          <w:i w:val="false"/>
          <w:iCs w:val="false"/>
          <w:color w:val="000000"/>
          <w:sz w:val="22"/>
          <w:szCs w:val="22"/>
        </w:rPr>
        <w:t xml:space="preserve">Before loading the data into MySQL, a data quality check was performed. The following was found:</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No missing or null values were present across all 35 columns and 1,470 rows. The dataset was completly clean in this regard.</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No duplicate records were found. All 1,470 EmployeeNumber values was unique.</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Three columns were identified as constant across all records and excluded from analysis: EmployeeCount (always 1), Over18 (always Y), and StandardHours (always 80). These columns carries no analytical value as they does not vary.</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The CSV file contained a Byte Order Mark (BOM) at the start of the file — a hidden UTF-8 encoding signature that caused an import error in MySQL Workbench. This was resolved by stripping the BOM using Python before importing the cleaned file.</w:t>
      </w:r>
    </w:p>
    <w:p>
      <w:pPr>
        <w:spacing w:after="0"/>
      </w:pPr>
    </w:p>
    <w:p>
      <w:pPr>
        <w:spacing w:after="80" w:before="200"/>
      </w:pPr>
      <w:r>
        <w:rPr>
          <w:rFonts w:ascii="Arial" w:cs="Arial" w:eastAsia="Arial" w:hAnsi="Arial"/>
          <w:b/>
          <w:bCs/>
          <w:i w:val="false"/>
          <w:iCs w:val="false"/>
          <w:color w:val="2E75B6"/>
          <w:sz w:val="24"/>
          <w:szCs w:val="24"/>
        </w:rPr>
        <w:t xml:space="preserve">Data Transformations</w:t>
      </w:r>
    </w:p>
    <w:p>
      <w:pPr>
        <w:spacing w:after="160" w:before="0" w:line="320"/>
        <w:jc w:val="left"/>
      </w:pPr>
      <w:r>
        <w:rPr>
          <w:rFonts w:ascii="Arial" w:cs="Arial" w:eastAsia="Arial" w:hAnsi="Arial"/>
          <w:b w:val="false"/>
          <w:bCs w:val="false"/>
          <w:i w:val="false"/>
          <w:iCs w:val="false"/>
          <w:color w:val="000000"/>
          <w:sz w:val="22"/>
          <w:szCs w:val="22"/>
        </w:rPr>
        <w:t xml:space="preserve">Minimal transformation was required. The Attrition column in the source data is encoded as an integer (1 = employee left, 0 = stayed), which allowed direct use of SUM(Attrition) in SQL queries to count departures without additional recoding. The OverTime column is similarly encoded as a binary integer. No imputation, outlier removal, or structural changes to the dataset was performed. All 1,470 records was used in the analysis as-is.</w:t>
      </w:r>
    </w:p>
    <w:p>
      <w:pPr>
        <w:spacing w:after="0"/>
      </w:pPr>
    </w:p>
    <w:p>
      <w:pPr>
        <w:spacing w:after="80" w:before="200"/>
      </w:pPr>
      <w:r>
        <w:rPr>
          <w:rFonts w:ascii="Arial" w:cs="Arial" w:eastAsia="Arial" w:hAnsi="Arial"/>
          <w:b/>
          <w:bCs/>
          <w:i w:val="false"/>
          <w:iCs w:val="false"/>
          <w:color w:val="2E75B6"/>
          <w:sz w:val="24"/>
          <w:szCs w:val="24"/>
        </w:rPr>
        <w:t xml:space="preserve">Limitations</w:t>
      </w:r>
    </w:p>
    <w:p>
      <w:pPr>
        <w:spacing w:after="160" w:before="0" w:line="320"/>
        <w:jc w:val="left"/>
      </w:pPr>
      <w:r>
        <w:rPr>
          <w:rFonts w:ascii="Arial" w:cs="Arial" w:eastAsia="Arial" w:hAnsi="Arial"/>
          <w:b w:val="false"/>
          <w:bCs w:val="false"/>
          <w:i w:val="false"/>
          <w:iCs w:val="false"/>
          <w:color w:val="000000"/>
          <w:sz w:val="22"/>
          <w:szCs w:val="22"/>
        </w:rPr>
        <w:t xml:space="preserve">The dataset is a synthetic dataset created by IBM for educational purposes. While the distributions and relationships are realistic, the data does not represent a actual company. Findings should be interpreted as illustrative of real-world HR analytics approaches rather than conclusions about a specific organisation. Additionally, the dataset is cross-sectional rather than longitudinal, meaning causal claims about what drives attrition cannot be fully established from SQL aggregation alone.</w:t>
      </w:r>
    </w:p>
    <w:p>
      <w:pPr>
        <w:spacing w:after="0"/>
      </w:pPr>
    </w:p>
    <w:p>
      <w:pPr>
        <w:spacing w:after="0"/>
      </w:pPr>
      <w:r>
        <w:br/>
        <w:t xml:space="preserve"/>
      </w:r>
    </w:p>
    <w:p>
      <w:pPr>
        <w:pBdr>
          <w:left w:val="single" w:color="1F4E79" w:sz="24" w:space="8"/>
        </w:pBdr>
        <w:spacing w:after="120" w:before="320"/>
        <w:ind w:left="200"/>
      </w:pPr>
      <w:r>
        <w:rPr>
          <w:rFonts w:ascii="Arial" w:cs="Arial" w:eastAsia="Arial" w:hAnsi="Arial"/>
          <w:b/>
          <w:bCs/>
          <w:i w:val="false"/>
          <w:iCs w:val="false"/>
          <w:color w:val="1F4E79"/>
          <w:sz w:val="28"/>
          <w:szCs w:val="28"/>
        </w:rPr>
        <w:t xml:space="preserve">Key Findings</w:t>
      </w:r>
    </w:p>
    <w:p>
      <w:pPr>
        <w:spacing w:after="80" w:before="200"/>
      </w:pPr>
      <w:r>
        <w:rPr>
          <w:rFonts w:ascii="Arial" w:cs="Arial" w:eastAsia="Arial" w:hAnsi="Arial"/>
          <w:b/>
          <w:bCs/>
          <w:i w:val="false"/>
          <w:iCs w:val="false"/>
          <w:color w:val="2E75B6"/>
          <w:sz w:val="24"/>
          <w:szCs w:val="24"/>
        </w:rPr>
        <w:t xml:space="preserve">1. Attrition Rate by Department</w:t>
      </w:r>
    </w:p>
    <w:p>
      <w:pPr>
        <w:spacing w:after="160" w:before="0" w:line="320"/>
        <w:jc w:val="left"/>
      </w:pPr>
      <w:r>
        <w:rPr>
          <w:rFonts w:ascii="Arial" w:cs="Arial" w:eastAsia="Arial" w:hAnsi="Arial"/>
          <w:b w:val="false"/>
          <w:bCs w:val="false"/>
          <w:i w:val="false"/>
          <w:iCs w:val="false"/>
          <w:color w:val="000000"/>
          <w:sz w:val="22"/>
          <w:szCs w:val="22"/>
        </w:rPr>
        <w:t xml:space="preserve">Sales have the highest attrition at 20.63%, losing 92 of 446 employees. Human Resources follows at 19.05% (12 of 63). Research &amp; Development, despite being the largest department at 961 employees, has the most stable workforce at 13.84%.</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Department</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 Employees</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Employees Left</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Attrition Rate</w:t>
            </w:r>
          </w:p>
        </w:tc>
      </w:tr>
      <w:tr>
        <w:tc>
          <w:tcPr>
            <w:tcW w:type="dxa" w:w="312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Sales</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446</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92</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20.63%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Human Resources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19.05%</w:t>
            </w:r>
          </w:p>
        </w:tc>
      </w:tr>
      <w:tr>
        <w:tc>
          <w:tcPr>
            <w:tcW w:type="dxa" w:w="312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Research &amp; Development</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961</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133</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13.84%</w:t>
            </w:r>
          </w:p>
        </w:tc>
      </w:tr>
    </w:tbl>
    <w:p>
      <w:pPr>
        <w:spacing w:after="120" w:before="60"/>
        <w:jc w:val="center"/>
      </w:pPr>
      <w:r>
        <w:rPr>
          <w:rFonts w:ascii="Arial" w:cs="Arial" w:eastAsia="Arial" w:hAnsi="Arial"/>
          <w:b w:val="false"/>
          <w:bCs w:val="false"/>
          <w:i/>
          <w:iCs/>
          <w:color w:val="595959"/>
          <w:sz w:val="20"/>
          <w:szCs w:val="20"/>
        </w:rPr>
        <w:t xml:space="preserve">Table 1: Attrition rate by department</w:t>
      </w:r>
    </w:p>
    <w:p>
      <w:pPr>
        <w:spacing w:after="0"/>
      </w:pPr>
    </w:p>
    <w:p>
      <w:pPr>
        <w:spacing w:after="80" w:before="200"/>
      </w:pPr>
      <w:r>
        <w:rPr>
          <w:rFonts w:ascii="Arial" w:cs="Arial" w:eastAsia="Arial" w:hAnsi="Arial"/>
          <w:b/>
          <w:bCs/>
          <w:i w:val="false"/>
          <w:iCs w:val="false"/>
          <w:color w:val="2E75B6"/>
          <w:sz w:val="24"/>
          <w:szCs w:val="24"/>
        </w:rPr>
        <w:t xml:space="preserve">2. Compensation by Job Role</w:t>
      </w:r>
    </w:p>
    <w:p>
      <w:pPr>
        <w:spacing w:after="160" w:before="0" w:line="320"/>
        <w:jc w:val="left"/>
      </w:pPr>
      <w:r>
        <w:rPr>
          <w:rFonts w:ascii="Arial" w:cs="Arial" w:eastAsia="Arial" w:hAnsi="Arial"/>
          <w:b w:val="false"/>
          <w:bCs w:val="false"/>
          <w:i w:val="false"/>
          <w:iCs w:val="false"/>
          <w:color w:val="000000"/>
          <w:sz w:val="22"/>
          <w:szCs w:val="22"/>
        </w:rPr>
        <w:t xml:space="preserve">A significant compensation gap exists across job roles. Managers earn an average of $17,181/month while Sales Representatives earn just $2,626 — a 6.5x difference. Notably, the lowest-paid roles (Sales Representatives, Laboratory Technicians, Research Scientists) are concentrated in the highest-attrition departments, suggesting that compensation are a structural driver of turnover.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Job Role</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Avg Monthly Income</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Headcount</w:t>
            </w:r>
          </w:p>
        </w:tc>
      </w:tr>
      <w:t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Manager</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$17,181</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102</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Research Director</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$16,033</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w:t>
            </w:r>
          </w:p>
        </w:tc>
      </w:tr>
      <w:t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Healthcare Representative</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$7,528</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131</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Director</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$7,295</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145</w:t>
            </w:r>
          </w:p>
        </w:tc>
      </w:tr>
      <w:t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Executive</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$6,924</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 Resources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$4,235</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52</w:t>
            </w:r>
          </w:p>
        </w:tc>
      </w:tr>
      <w:t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Research Scientist</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$3,239</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292</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Laboratory Technician</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$3,237</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259</w:t>
            </w:r>
          </w:p>
        </w:tc>
      </w:tr>
      <w:t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Representative</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$2,626</w:t>
            </w:r>
          </w:p>
        </w:tc>
        <w:tc>
          <w:tcPr>
            <w:tcW w:type="dxa" w:w="28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83</w:t>
            </w:r>
          </w:p>
        </w:tc>
      </w:tr>
    </w:tbl>
    <w:p>
      <w:pPr>
        <w:spacing w:after="120" w:before="60"/>
        <w:jc w:val="center"/>
      </w:pPr>
      <w:r>
        <w:rPr>
          <w:rFonts w:ascii="Arial" w:cs="Arial" w:eastAsia="Arial" w:hAnsi="Arial"/>
          <w:b w:val="false"/>
          <w:bCs w:val="false"/>
          <w:i/>
          <w:iCs/>
          <w:color w:val="595959"/>
          <w:sz w:val="20"/>
          <w:szCs w:val="20"/>
        </w:rPr>
        <w:t xml:space="preserve">Table 2: Average monthly income by job role</w:t>
      </w:r>
    </w:p>
    <w:p>
      <w:pPr>
        <w:spacing w:after="0"/>
      </w:pPr>
    </w:p>
    <w:p>
      <w:pPr>
        <w:spacing w:after="80" w:before="200"/>
      </w:pPr>
      <w:r>
        <w:rPr>
          <w:rFonts w:ascii="Arial" w:cs="Arial" w:eastAsia="Arial" w:hAnsi="Arial"/>
          <w:b/>
          <w:bCs/>
          <w:i w:val="false"/>
          <w:iCs w:val="false"/>
          <w:color w:val="2E75B6"/>
          <w:sz w:val="24"/>
          <w:szCs w:val="24"/>
        </w:rPr>
        <w:t xml:space="preserve">3. Overtime Impact on Attrition</w:t>
      </w:r>
    </w:p>
    <w:p>
      <w:pPr>
        <w:spacing w:after="160" w:before="0" w:line="320"/>
        <w:jc w:val="left"/>
      </w:pPr>
      <w:r>
        <w:rPr>
          <w:rFonts w:ascii="Arial" w:cs="Arial" w:eastAsia="Arial" w:hAnsi="Arial"/>
          <w:b w:val="false"/>
          <w:bCs w:val="false"/>
          <w:i w:val="false"/>
          <w:iCs w:val="false"/>
          <w:color w:val="000000"/>
          <w:sz w:val="22"/>
          <w:szCs w:val="22"/>
        </w:rPr>
        <w:t xml:space="preserve">Employees working overtime leave at approximately double the rate of those who do not. This is one of the strongest single-variable predictors of attrition in the dataset. The relationship suggests that workload management and burnout prevention are critical levers for retention, particularly in Sales where overtime is most prevalent.</w:t>
      </w:r>
    </w:p>
    <w:p>
      <w:pPr>
        <w:spacing w:after="0"/>
      </w:pPr>
    </w:p>
    <w:p>
      <w:pPr>
        <w:spacing w:after="80" w:before="200"/>
      </w:pPr>
      <w:r>
        <w:rPr>
          <w:rFonts w:ascii="Arial" w:cs="Arial" w:eastAsia="Arial" w:hAnsi="Arial"/>
          <w:b/>
          <w:bCs/>
          <w:i w:val="false"/>
          <w:iCs w:val="false"/>
          <w:color w:val="2E75B6"/>
          <w:sz w:val="24"/>
          <w:szCs w:val="24"/>
        </w:rPr>
        <w:t xml:space="preserve">4. Attrition by Age Group</w:t>
      </w:r>
    </w:p>
    <w:p>
      <w:pPr>
        <w:spacing w:after="160" w:before="0" w:line="320"/>
        <w:jc w:val="left"/>
      </w:pPr>
      <w:r>
        <w:rPr>
          <w:rFonts w:ascii="Arial" w:cs="Arial" w:eastAsia="Arial" w:hAnsi="Arial"/>
          <w:b w:val="false"/>
          <w:bCs w:val="false"/>
          <w:i w:val="false"/>
          <w:iCs w:val="false"/>
          <w:color w:val="000000"/>
          <w:sz w:val="22"/>
          <w:szCs w:val="22"/>
        </w:rPr>
        <w:t xml:space="preserve">Employees under 25 have a 39.18% attrition rate — nearly four times that of the 35-44 cohort (10.10%). The 25-34 group also shows elevated risk at 20.22%. This pattern indicates that early career engagement, onboarding quality, and short-term compensation growth are key retention challenges.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Age Group</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Left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Attrition Rate</w:t>
            </w:r>
          </w:p>
        </w:tc>
      </w:tr>
      <w:tr>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Under 25</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97</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39.18%</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25-34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554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20.22%</w:t>
            </w:r>
          </w:p>
        </w:tc>
      </w:tr>
      <w:tr>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55+</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69</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15.94%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45-54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10.20%</w:t>
            </w:r>
          </w:p>
        </w:tc>
      </w:tr>
      <w:tr>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35-44</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505</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51</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10.10%</w:t>
            </w:r>
          </w:p>
        </w:tc>
      </w:tr>
    </w:tbl>
    <w:p>
      <w:pPr>
        <w:spacing w:after="120" w:before="60"/>
        <w:jc w:val="center"/>
      </w:pPr>
      <w:r>
        <w:rPr>
          <w:rFonts w:ascii="Arial" w:cs="Arial" w:eastAsia="Arial" w:hAnsi="Arial"/>
          <w:b w:val="false"/>
          <w:bCs w:val="false"/>
          <w:i/>
          <w:iCs/>
          <w:color w:val="595959"/>
          <w:sz w:val="20"/>
          <w:szCs w:val="20"/>
        </w:rPr>
        <w:t xml:space="preserve">Table 3: Attrition rate by age group</w:t>
      </w:r>
    </w:p>
    <w:p>
      <w:pPr>
        <w:spacing w:after="0"/>
      </w:pPr>
    </w:p>
    <w:p>
      <w:pPr>
        <w:spacing w:after="80" w:before="200"/>
      </w:pPr>
      <w:r>
        <w:rPr>
          <w:rFonts w:ascii="Arial" w:cs="Arial" w:eastAsia="Arial" w:hAnsi="Arial"/>
          <w:b/>
          <w:bCs/>
          <w:i w:val="false"/>
          <w:iCs w:val="false"/>
          <w:color w:val="2E75B6"/>
          <w:sz w:val="24"/>
          <w:szCs w:val="24"/>
        </w:rPr>
        <w:t xml:space="preserve">5. Job Satisfaction vs Attrition</w:t>
      </w:r>
    </w:p>
    <w:p>
      <w:pPr>
        <w:spacing w:after="160" w:before="0" w:line="320"/>
        <w:jc w:val="left"/>
      </w:pPr>
      <w:r>
        <w:rPr>
          <w:rFonts w:ascii="Arial" w:cs="Arial" w:eastAsia="Arial" w:hAnsi="Arial"/>
          <w:b w:val="false"/>
          <w:bCs w:val="false"/>
          <w:i w:val="false"/>
          <w:iCs w:val="false"/>
          <w:color w:val="000000"/>
          <w:sz w:val="22"/>
          <w:szCs w:val="22"/>
        </w:rPr>
        <w:t xml:space="preserve">There is a clear inversed relationship between job satisfaction and attrition. Employees with the lowest satisfaction score (1) leave at 22.84%, while those with the highest score (4) leave at 11.33% — effectively half the rate. Improving satisfaction from lowest to the highest band would approximately halve turnover in those segments.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Satisfaction Score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Left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Attrition Rate</w:t>
            </w:r>
          </w:p>
        </w:tc>
      </w:tr>
      <w:tr>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 Very Low</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289</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66</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22.84%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 Low</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16.43%</w:t>
            </w:r>
          </w:p>
        </w:tc>
      </w:tr>
      <w:tr>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 Medium</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442</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73</w:t>
            </w:r>
          </w:p>
        </w:tc>
        <w:tc>
          <w:tcPr>
            <w:tcW w:type="dxa" w:w="23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16.52%</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 High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11.33%</w:t>
            </w:r>
          </w:p>
        </w:tc>
      </w:tr>
    </w:tbl>
    <w:p>
      <w:pPr>
        <w:spacing w:after="120" w:before="60"/>
        <w:jc w:val="center"/>
      </w:pPr>
      <w:r>
        <w:rPr>
          <w:rFonts w:ascii="Arial" w:cs="Arial" w:eastAsia="Arial" w:hAnsi="Arial"/>
          <w:b w:val="false"/>
          <w:bCs w:val="false"/>
          <w:i/>
          <w:iCs/>
          <w:color w:val="595959"/>
          <w:sz w:val="20"/>
          <w:szCs w:val="20"/>
        </w:rPr>
        <w:t xml:space="preserve">Table 4: Job satisfaction vs attrition rate</w:t>
      </w:r>
    </w:p>
    <w:p>
      <w:pPr>
        <w:spacing w:after="0"/>
      </w:pPr>
    </w:p>
    <w:p>
      <w:pPr>
        <w:spacing w:after="80" w:before="200"/>
      </w:pPr>
      <w:r>
        <w:rPr>
          <w:rFonts w:ascii="Arial" w:cs="Arial" w:eastAsia="Arial" w:hAnsi="Arial"/>
          <w:b/>
          <w:bCs/>
          <w:i w:val="false"/>
          <w:iCs w:val="false"/>
          <w:color w:val="2E75B6"/>
          <w:sz w:val="24"/>
          <w:szCs w:val="24"/>
        </w:rPr>
        <w:t xml:space="preserve">6. Gender Pay Analysis</w:t>
      </w:r>
    </w:p>
    <w:p>
      <w:pPr>
        <w:spacing w:after="160" w:before="0" w:line="320"/>
        <w:jc w:val="left"/>
      </w:pPr>
      <w:r>
        <w:rPr>
          <w:rFonts w:ascii="Arial" w:cs="Arial" w:eastAsia="Arial" w:hAnsi="Arial"/>
          <w:b w:val="false"/>
          <w:bCs w:val="false"/>
          <w:i w:val="false"/>
          <w:iCs w:val="false"/>
          <w:color w:val="000000"/>
          <w:sz w:val="22"/>
          <w:szCs w:val="22"/>
        </w:rPr>
        <w:t xml:space="preserve">Across all three departments, female employees earn more on average than their male counterparts. The largest gap is in Human Resources where females earn $7,264 vs males at $6,371 — a 14% premium. This findings runs counter to the typical gender pay gap narrative and may reflect seniority or role distribution differences within departments rather than direct pay discrimination.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Department</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Gender</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Avg Income</w:t>
            </w:r>
          </w:p>
        </w:tc>
        <w:tc>
          <w:tcPr>
            <w:tcW w:type="dxa" w:w="20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Headcount</w:t>
            </w:r>
          </w:p>
        </w:tc>
      </w:tr>
      <w:tr>
        <w:tc>
          <w:tcPr>
            <w:tcW w:type="dxa" w:w="312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 Resources</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Female</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$7,264</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 Resources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Male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$6,371</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43</w:t>
            </w:r>
          </w:p>
        </w:tc>
      </w:tr>
      <w:tr>
        <w:tc>
          <w:tcPr>
            <w:tcW w:type="dxa" w:w="312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Research &amp; Development</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Female</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$6,513</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Research &amp; Development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Male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$6,129</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582</w:t>
            </w:r>
          </w:p>
        </w:tc>
      </w:tr>
      <w:tr>
        <w:tc>
          <w:tcPr>
            <w:tcW w:type="dxa" w:w="312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Female</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$6,972</w:t>
            </w:r>
          </w:p>
        </w:tc>
        <w:tc>
          <w:tcPr>
            <w:tcW w:type="dxa" w:w="20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Male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$6,949</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257</w:t>
            </w:r>
          </w:p>
        </w:tc>
      </w:tr>
    </w:tbl>
    <w:p>
      <w:pPr>
        <w:spacing w:after="120" w:before="60"/>
        <w:jc w:val="center"/>
      </w:pPr>
      <w:r>
        <w:rPr>
          <w:rFonts w:ascii="Arial" w:cs="Arial" w:eastAsia="Arial" w:hAnsi="Arial"/>
          <w:b w:val="false"/>
          <w:bCs w:val="false"/>
          <w:i/>
          <w:iCs/>
          <w:color w:val="595959"/>
          <w:sz w:val="20"/>
          <w:szCs w:val="20"/>
        </w:rPr>
        <w:t xml:space="preserve">Table 5: Gender pay comparison by department</w:t>
      </w:r>
    </w:p>
    <w:p>
      <w:pPr>
        <w:spacing w:after="0"/>
      </w:pPr>
    </w:p>
    <w:p>
      <w:pPr>
        <w:spacing w:after="80" w:before="200"/>
      </w:pPr>
      <w:r>
        <w:rPr>
          <w:rFonts w:ascii="Arial" w:cs="Arial" w:eastAsia="Arial" w:hAnsi="Arial"/>
          <w:b/>
          <w:bCs/>
          <w:i w:val="false"/>
          <w:iCs w:val="false"/>
          <w:color w:val="2E75B6"/>
          <w:sz w:val="24"/>
          <w:szCs w:val="24"/>
        </w:rPr>
        <w:t xml:space="preserve">7. Tenure and Income Growth</w:t>
      </w:r>
    </w:p>
    <w:p>
      <w:pPr>
        <w:spacing w:after="160" w:before="0" w:line="320"/>
        <w:jc w:val="left"/>
      </w:pPr>
      <w:r>
        <w:rPr>
          <w:rFonts w:ascii="Arial" w:cs="Arial" w:eastAsia="Arial" w:hAnsi="Arial"/>
          <w:b w:val="false"/>
          <w:bCs w:val="false"/>
          <w:i w:val="false"/>
          <w:iCs w:val="false"/>
          <w:color w:val="000000"/>
          <w:sz w:val="22"/>
          <w:szCs w:val="22"/>
        </w:rPr>
        <w:t xml:space="preserve">Monthly income grow from an average of $4,113 at year 0 to $9,781 at year 14. However, growth is not linear — employees in years 1 through 6 see modest increases, with more significant jumps after year 10. This back-loaded compensation structure likely contributes to early-career attrition, as younger employees do not see meaningful income growth in their first few years.</w:t>
      </w:r>
    </w:p>
    <w:p>
      <w:pPr>
        <w:spacing w:after="0"/>
      </w:pPr>
    </w:p>
    <w:p>
      <w:pPr>
        <w:spacing w:after="80" w:before="200"/>
      </w:pPr>
      <w:r>
        <w:rPr>
          <w:rFonts w:ascii="Arial" w:cs="Arial" w:eastAsia="Arial" w:hAnsi="Arial"/>
          <w:b/>
          <w:bCs/>
          <w:i w:val="false"/>
          <w:iCs w:val="false"/>
          <w:color w:val="2E75B6"/>
          <w:sz w:val="24"/>
          <w:szCs w:val="24"/>
        </w:rPr>
        <w:t xml:space="preserve">8. High Flight Risk Profile</w:t>
      </w:r>
    </w:p>
    <w:p>
      <w:pPr>
        <w:spacing w:after="160" w:before="0" w:line="320"/>
        <w:jc w:val="left"/>
      </w:pPr>
      <w:r>
        <w:rPr>
          <w:rFonts w:ascii="Arial" w:cs="Arial" w:eastAsia="Arial" w:hAnsi="Arial"/>
          <w:b w:val="false"/>
          <w:bCs w:val="false"/>
          <w:i w:val="false"/>
          <w:iCs w:val="false"/>
          <w:color w:val="000000"/>
          <w:sz w:val="22"/>
          <w:szCs w:val="22"/>
        </w:rPr>
        <w:t xml:space="preserve">Filtering for employees who have already left, report low job satisfaction (score 1 or 2), and work overtime produces a clear flight risk profile: young employees (18-40) in Laboratory Technician, Research Scientist, and Sales Representative roles, earning between $1,600 and $2,300/month with 0-10 years at the company. These employees are the high priority for retention intervention.</w:t>
      </w:r>
    </w:p>
    <w:p>
      <w:pPr>
        <w:spacing w:after="0"/>
      </w:pPr>
    </w:p>
    <w:p>
      <w:pPr>
        <w:spacing w:after="80" w:before="200"/>
      </w:pPr>
      <w:r>
        <w:rPr>
          <w:rFonts w:ascii="Arial" w:cs="Arial" w:eastAsia="Arial" w:hAnsi="Arial"/>
          <w:b/>
          <w:bCs/>
          <w:i w:val="false"/>
          <w:iCs w:val="false"/>
          <w:color w:val="2E75B6"/>
          <w:sz w:val="24"/>
          <w:szCs w:val="24"/>
        </w:rPr>
        <w:t xml:space="preserve">9. Department Stability</w:t>
      </w:r>
    </w:p>
    <w:p>
      <w:pPr>
        <w:spacing w:after="160" w:before="0" w:line="320"/>
        <w:jc w:val="left"/>
      </w:pPr>
      <w:r>
        <w:rPr>
          <w:rFonts w:ascii="Arial" w:cs="Arial" w:eastAsia="Arial" w:hAnsi="Arial"/>
          <w:b w:val="false"/>
          <w:bCs w:val="false"/>
          <w:i w:val="false"/>
          <w:iCs w:val="false"/>
          <w:color w:val="000000"/>
          <w:sz w:val="22"/>
          <w:szCs w:val="22"/>
        </w:rPr>
        <w:t xml:space="preserve">Sales has the highest average tenure (7.28 years) and income ($6,959/month) despite having the highest attrition rate. This apparent contradiction suggest that Sales retains long-tenured employees well but loses new joiners quickly. Research &amp; Development has the lowest average tenure (6.86 years) despite being the largest department, indicating a scaling challenge in employee retention as the team grows.</w:t>
      </w:r>
    </w:p>
    <w:p>
      <w:pPr>
        <w:spacing w:after="0"/>
      </w:pPr>
    </w:p>
    <w:p>
      <w:pPr>
        <w:spacing w:after="0"/>
      </w:pPr>
      <w:r>
        <w:br/>
        <w:t xml:space="preserve"/>
      </w:r>
    </w:p>
    <w:p>
      <w:pPr>
        <w:pBdr>
          <w:left w:val="single" w:color="1F4E79" w:sz="24" w:space="8"/>
        </w:pBdr>
        <w:spacing w:after="120" w:before="320"/>
        <w:ind w:left="200"/>
      </w:pPr>
      <w:r>
        <w:rPr>
          <w:rFonts w:ascii="Arial" w:cs="Arial" w:eastAsia="Arial" w:hAnsi="Arial"/>
          <w:b/>
          <w:bCs/>
          <w:i w:val="false"/>
          <w:iCs w:val="false"/>
          <w:color w:val="1F4E79"/>
          <w:sz w:val="28"/>
          <w:szCs w:val="28"/>
        </w:rPr>
        <w:t xml:space="preserve">Recommendations</w:t>
      </w:r>
    </w:p>
    <w:p>
      <w:pPr>
        <w:spacing w:after="80" w:before="200"/>
      </w:pPr>
      <w:r>
        <w:rPr>
          <w:rFonts w:ascii="Arial" w:cs="Arial" w:eastAsia="Arial" w:hAnsi="Arial"/>
          <w:b/>
          <w:bCs/>
          <w:i w:val="false"/>
          <w:iCs w:val="false"/>
          <w:color w:val="2E75B6"/>
          <w:sz w:val="24"/>
          <w:szCs w:val="24"/>
        </w:rPr>
        <w:t xml:space="preserve">Immediate Actions</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Introduce an overtime monitoring policy in Sales — flag employees working sustained overtime for manager review and workload rebalancing.</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Review entry-level compensation for Sales Representatives, Laboratory Technicians, and Research Scientists. The $2,600-$3,200 monthly income range is significantly below the company average and correlates directly with high attrition.</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Implement a structured 90-day onboarding and check-in programme for employees under 25. This cohort has a 39.18% attrition rate — the highest of any segment.</w:t>
      </w:r>
    </w:p>
    <w:p>
      <w:pPr>
        <w:spacing w:after="80" w:before="200"/>
      </w:pPr>
      <w:r>
        <w:rPr>
          <w:rFonts w:ascii="Arial" w:cs="Arial" w:eastAsia="Arial" w:hAnsi="Arial"/>
          <w:b/>
          <w:bCs/>
          <w:i w:val="false"/>
          <w:iCs w:val="false"/>
          <w:color w:val="2E75B6"/>
          <w:sz w:val="24"/>
          <w:szCs w:val="24"/>
        </w:rPr>
        <w:t xml:space="preserve">Medium-Term Actions</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Redesign the compensation growth curve to front-load salary increases in years 1-5 rather than concentrating them after year 10. Early-career income stagnation is a measurable attrition driver.</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Run quarterly job satisfaction surveys with department-level accountability. The data shows a direct 2x attrition difference between satisfaction scores 1 and 4.</w:t>
      </w:r>
    </w:p>
    <w:p>
      <w:pPr>
        <w:pStyle w:val="ListParagraph"/>
        <w:numPr>
          <w:ilvl w:val="0"/>
          <w:numId w:val="2"/>
        </w:numPr>
        <w:spacing w:after="80" w:line="300"/>
      </w:pPr>
      <w:r>
        <w:rPr>
          <w:rFonts w:ascii="Arial" w:cs="Arial" w:eastAsia="Arial" w:hAnsi="Arial"/>
          <w:b w:val="false"/>
          <w:bCs w:val="false"/>
          <w:i w:val="false"/>
          <w:iCs w:val="false"/>
          <w:color w:val="000000"/>
          <w:sz w:val="22"/>
          <w:szCs w:val="22"/>
        </w:rPr>
        <w:t xml:space="preserve">Conduct qualitative exit interviews with departing Sales employees to understand whether attrition is driven by compensation, management, culture, or role fit — the data flags the problem but not the root cause.</w:t>
      </w:r>
    </w:p>
    <w:p>
      <w:pPr>
        <w:spacing w:after="0"/>
      </w:pPr>
      <w:r>
        <w:br/>
        <w:t xml:space="preserve"/>
      </w:r>
    </w:p>
    <w:p>
      <w:pPr>
        <w:pBdr>
          <w:left w:val="single" w:color="1F4E79" w:sz="24" w:space="8"/>
        </w:pBdr>
        <w:spacing w:after="120" w:before="320"/>
        <w:ind w:left="200"/>
      </w:pPr>
      <w:r>
        <w:rPr>
          <w:rFonts w:ascii="Arial" w:cs="Arial" w:eastAsia="Arial" w:hAnsi="Arial"/>
          <w:b/>
          <w:bCs/>
          <w:i w:val="false"/>
          <w:iCs w:val="false"/>
          <w:color w:val="1F4E79"/>
          <w:sz w:val="28"/>
          <w:szCs w:val="28"/>
        </w:rPr>
        <w:t xml:space="preserve">Methodology</w:t>
      </w:r>
    </w:p>
    <w:p>
      <w:pPr>
        <w:spacing w:after="160" w:before="0" w:line="320"/>
        <w:jc w:val="left"/>
      </w:pPr>
      <w:r>
        <w:rPr>
          <w:rFonts w:ascii="Arial" w:cs="Arial" w:eastAsia="Arial" w:hAnsi="Arial"/>
          <w:b w:val="false"/>
          <w:bCs w:val="false"/>
          <w:i w:val="false"/>
          <w:iCs w:val="false"/>
          <w:color w:val="000000"/>
          <w:sz w:val="22"/>
          <w:szCs w:val="22"/>
        </w:rPr>
        <w:t xml:space="preserve">All analysis was been conducted using MySQL Workbench 9.7 on the IBM HR Analytics Employee Attrition dataset (publicly available via Kaggle). The dataset contains 1,470 employee records and 35 variables covering demographics, compensation, satisfaction scores, role information, and attrition status.</w:t>
      </w:r>
    </w:p>
    <w:p>
      <w:pPr>
        <w:spacing w:after="0"/>
      </w:pPr>
    </w:p>
    <w:p>
      <w:pPr>
        <w:spacing w:after="160" w:before="0" w:line="320"/>
        <w:jc w:val="left"/>
      </w:pPr>
      <w:r>
        <w:rPr>
          <w:rFonts w:ascii="Arial" w:cs="Arial" w:eastAsia="Arial" w:hAnsi="Arial"/>
          <w:b w:val="false"/>
          <w:bCs w:val="false"/>
          <w:i w:val="false"/>
          <w:iCs w:val="false"/>
          <w:color w:val="000000"/>
          <w:sz w:val="22"/>
          <w:szCs w:val="22"/>
        </w:rPr>
        <w:t xml:space="preserve">Ten SQL queries was written to address specific business questions, using the following techniques: GROUP BY aggregation, conditional SUM for attrition counting, CASE WHEN for age group bucketing, multi-column GROUP BY for demographic segmentation, ORDER BY with LIMIT for ranking, and compound WHERE filters for flight risk profiling. All percentage calculations use ROUND() to two decimal places for consistency.</w:t>
      </w:r>
    </w:p>
    <w:p>
      <w:pPr>
        <w:spacing w:after="0"/>
      </w:pPr>
    </w:p>
    <w:p>
      <w:pPr>
        <w:spacing w:after="160" w:before="0" w:line="320"/>
        <w:jc w:val="left"/>
      </w:pPr>
      <w:r>
        <w:rPr>
          <w:rFonts w:ascii="Arial" w:cs="Arial" w:eastAsia="Arial" w:hAnsi="Arial"/>
          <w:b w:val="false"/>
          <w:bCs w:val="false"/>
          <w:i w:val="false"/>
          <w:iCs w:val="false"/>
          <w:color w:val="000000"/>
          <w:sz w:val="22"/>
          <w:szCs w:val="22"/>
        </w:rPr>
        <w:t xml:space="preserve">The Attrition column in the source dataset is encoded as an integer (1 = left, 0 = stayed), enabling direct use of SUM(Attrition) as an employee count of departures without additional transformation.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60"/>
    </w:pPr>
    <w:r>
      <w:rPr>
        <w:rFonts w:ascii="Arial" w:cs="Arial" w:eastAsia="Arial" w:hAnsi="Arial"/>
        <w:b w:val="false"/>
        <w:bCs w:val="false"/>
        <w:i w:val="false"/>
        <w:iCs w:val="false"/>
        <w:color w:val="595959"/>
        <w:sz w:val="18"/>
        <w:szCs w:val="18"/>
      </w:rPr>
      <w:t xml:space="preserve">Dhruv Khanna  |  MS Business Analytics</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60"/>
    </w:pPr>
    <w:r>
      <w:rPr>
        <w:rFonts w:ascii="Arial" w:cs="Arial" w:eastAsia="Arial" w:hAnsi="Arial"/>
        <w:b w:val="false"/>
        <w:bCs w:val="false"/>
        <w:i/>
        <w:iCs/>
        <w:color w:val="595959"/>
        <w:sz w:val="18"/>
        <w:szCs w:val="18"/>
      </w:rPr>
      <w:t xml:space="preserve">IBM HR Analytics — Employee Attrition Report</w:t>
    </w:r>
    <w:r>
      <w:rPr>
        <w:rFonts w:ascii="Arial" w:cs="Arial" w:eastAsia="Arial" w:hAnsi="Arial"/>
        <w:color w:val="595959"/>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2026-05-24T03:42:00.521Z</dcterms:created>
  <dcterms:modified xsi:type="dcterms:W3CDTF">2026-05-24T03:42:00.521Z</dcterms:modified>
</cp:coreProperties>
</file>

<file path=docProps/custom.xml><?xml version="1.0" encoding="utf-8"?>
<Properties xmlns="http://schemas.openxmlformats.org/officeDocument/2006/custom-properties" xmlns:vt="http://schemas.openxmlformats.org/officeDocument/2006/docPropsVTypes"/>
</file>