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C124" w14:textId="77777777" w:rsidR="000108AC" w:rsidRPr="000108AC" w:rsidRDefault="000108AC" w:rsidP="00010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 1: Reduce time-to-causal-insight from weeks to days</w:t>
      </w:r>
    </w:p>
    <w:p w14:paraId="6E5E77DD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[Output]</w:t>
      </w:r>
    </w:p>
    <w:p w14:paraId="392947CE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Reduce end-to-end turnaround time for standard causal studies (e.g., W+ benefits, promos, lifecycle interventions) from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4–6 weeks to ≤5 business days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for at least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recurring use cases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by end of FY27.</w:t>
      </w:r>
    </w:p>
    <w:p w14:paraId="7FB480AD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a “top goal”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This directly addresses the biggest business pain you’ve heard repeatedly: slow, non-iterable analysis that misses decision windows (MBRs, launches, quarterly planning).</w:t>
      </w:r>
    </w:p>
    <w:p w14:paraId="4AB95AB1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initiatives</w:t>
      </w:r>
    </w:p>
    <w:p w14:paraId="43D91D14" w14:textId="77777777" w:rsidR="000108AC" w:rsidRPr="000108AC" w:rsidRDefault="000108AC" w:rsidP="00010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Standardized causal templates for top W+ and Marketing use cases</w:t>
      </w:r>
    </w:p>
    <w:p w14:paraId="7B3D6DDD" w14:textId="77777777" w:rsidR="000108AC" w:rsidRPr="000108AC" w:rsidRDefault="000108AC" w:rsidP="00010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Automated data prep, confounder construction, and diagnostics</w:t>
      </w:r>
    </w:p>
    <w:p w14:paraId="7EACC32C" w14:textId="77777777" w:rsidR="000108AC" w:rsidRPr="000108AC" w:rsidRDefault="000108AC" w:rsidP="00010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One-click re-runs for time window / cohort changes</w:t>
      </w:r>
    </w:p>
    <w:p w14:paraId="44C873FB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by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Q4 FY27</w:t>
      </w:r>
    </w:p>
    <w:p w14:paraId="59164DE8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47B7A26F" w14:textId="77777777" w:rsidR="000108AC" w:rsidRPr="000108AC" w:rsidRDefault="000108AC" w:rsidP="00010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Faster decision cycles for benefit launches and promos</w:t>
      </w:r>
    </w:p>
    <w:p w14:paraId="6ADF5E67" w14:textId="77777777" w:rsidR="000108AC" w:rsidRPr="000108AC" w:rsidRDefault="000108AC" w:rsidP="00010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Higher adoption by business teams due to responsiveness</w:t>
      </w:r>
    </w:p>
    <w:p w14:paraId="16358CB5" w14:textId="77777777" w:rsidR="000108AC" w:rsidRPr="000108AC" w:rsidRDefault="000108AC" w:rsidP="00010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DS capacity freed up for higher-order analysis</w:t>
      </w:r>
    </w:p>
    <w:p w14:paraId="1F63B5D3" w14:textId="77777777" w:rsidR="000108AC" w:rsidRPr="000108AC" w:rsidRDefault="00F05F15" w:rsidP="00010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F15">
        <w:rPr>
          <w:rFonts w:ascii="Times New Roman" w:eastAsia="Times New Roman" w:hAnsi="Times New Roman" w:cs="Times New Roman"/>
          <w:noProof/>
          <w:kern w:val="0"/>
        </w:rPr>
        <w:pict w14:anchorId="365BC2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4330B9" w14:textId="77777777" w:rsidR="000108AC" w:rsidRPr="000108AC" w:rsidRDefault="000108AC" w:rsidP="00010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 2: Enable consistent, apples-to-apples causal measurement across programs</w:t>
      </w:r>
    </w:p>
    <w:p w14:paraId="5FB11793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[Output]</w:t>
      </w:r>
    </w:p>
    <w:p w14:paraId="27E25199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Establish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single standardized causal measurement framework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used across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≥5 programs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(e.g., Fuel, Cash, RX, LTO, Fashion) such that results are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methodologically consistent and directly comparable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by end of FY27.</w:t>
      </w:r>
    </w:p>
    <w:p w14:paraId="30612357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Leadership frustration today isn’t lack of data—it’s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conflicting answers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and inconsistent methodologies across decks, quarters, and teams.</w:t>
      </w:r>
    </w:p>
    <w:p w14:paraId="19958265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initiatives</w:t>
      </w:r>
    </w:p>
    <w:p w14:paraId="17B8229A" w14:textId="77777777" w:rsidR="000108AC" w:rsidRPr="000108AC" w:rsidRDefault="000108AC" w:rsidP="00010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Program-level causal templates with locked definitions</w:t>
      </w:r>
    </w:p>
    <w:p w14:paraId="0E14337B" w14:textId="77777777" w:rsidR="000108AC" w:rsidRPr="000108AC" w:rsidRDefault="000108AC" w:rsidP="00010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Canonical confounder sets and outcome definitions</w:t>
      </w:r>
    </w:p>
    <w:p w14:paraId="3807BEBD" w14:textId="77777777" w:rsidR="000108AC" w:rsidRPr="000108AC" w:rsidRDefault="000108AC" w:rsidP="00010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Versioned, auditable study history</w:t>
      </w:r>
    </w:p>
    <w:p w14:paraId="1C2D3653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by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Q3 FY27</w:t>
      </w:r>
    </w:p>
    <w:p w14:paraId="0D89C394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7920CBCB" w14:textId="77777777" w:rsidR="000108AC" w:rsidRPr="000108AC" w:rsidRDefault="000108AC" w:rsidP="00010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Increased trust in causal outputs</w:t>
      </w:r>
    </w:p>
    <w:p w14:paraId="7A373270" w14:textId="77777777" w:rsidR="000108AC" w:rsidRPr="000108AC" w:rsidRDefault="000108AC" w:rsidP="00010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Ability to prioritize investments across benefits using comparable ROI</w:t>
      </w:r>
    </w:p>
    <w:p w14:paraId="3296F118" w14:textId="77777777" w:rsidR="000108AC" w:rsidRPr="000108AC" w:rsidRDefault="000108AC" w:rsidP="00010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Reduced re-litigation of “why is this different from last year?”</w:t>
      </w:r>
    </w:p>
    <w:p w14:paraId="63ABE9AD" w14:textId="77777777" w:rsidR="000108AC" w:rsidRPr="000108AC" w:rsidRDefault="00F05F15" w:rsidP="00010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F15">
        <w:rPr>
          <w:rFonts w:ascii="Times New Roman" w:eastAsia="Times New Roman" w:hAnsi="Times New Roman" w:cs="Times New Roman"/>
          <w:noProof/>
          <w:kern w:val="0"/>
        </w:rPr>
        <w:pict w14:anchorId="21C26C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308862" w14:textId="77777777" w:rsidR="000108AC" w:rsidRPr="000108AC" w:rsidRDefault="000108AC" w:rsidP="00010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 3: Scale causal analysis capacity without scaling headcount</w:t>
      </w:r>
    </w:p>
    <w:p w14:paraId="41ECFF14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[Output]</w:t>
      </w:r>
    </w:p>
    <w:p w14:paraId="3C027630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Increase causal studies completed per quarter from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 to ≥25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scientist involvement flat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, by shifting recurring analyses to a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self-serve, governed workflow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by end of FY27.</w:t>
      </w:r>
    </w:p>
    <w:p w14:paraId="457CD3B2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resonates with leadership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This is an efficiency and leverage story—classic Walmart framing. More output, same cost.</w:t>
      </w:r>
    </w:p>
    <w:p w14:paraId="60D23FB5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initiatives</w:t>
      </w:r>
    </w:p>
    <w:p w14:paraId="7CE3001B" w14:textId="77777777" w:rsidR="000108AC" w:rsidRPr="000108AC" w:rsidRDefault="000108AC" w:rsidP="00010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Guided self-serve study builder for analysts</w:t>
      </w:r>
    </w:p>
    <w:p w14:paraId="2B880797" w14:textId="77777777" w:rsidR="000108AC" w:rsidRPr="000108AC" w:rsidRDefault="000108AC" w:rsidP="00010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Human-in-the-loop DS approval workflow</w:t>
      </w:r>
    </w:p>
    <w:p w14:paraId="1C980865" w14:textId="77777777" w:rsidR="000108AC" w:rsidRPr="000108AC" w:rsidRDefault="000108AC" w:rsidP="00010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Reusable study cloning and scheduling</w:t>
      </w:r>
    </w:p>
    <w:p w14:paraId="0F86CAAF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by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Q4 FY27</w:t>
      </w:r>
    </w:p>
    <w:p w14:paraId="411A53B2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2A09AF61" w14:textId="77777777" w:rsidR="000108AC" w:rsidRPr="000108AC" w:rsidRDefault="000108AC" w:rsidP="00010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5× increase in insight coverage across teams</w:t>
      </w:r>
    </w:p>
    <w:p w14:paraId="5099DC4D" w14:textId="77777777" w:rsidR="000108AC" w:rsidRPr="000108AC" w:rsidRDefault="000108AC" w:rsidP="00010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Reduced backlog of unanswered causal questions</w:t>
      </w:r>
    </w:p>
    <w:p w14:paraId="39A55B6D" w14:textId="77777777" w:rsidR="000108AC" w:rsidRPr="000108AC" w:rsidRDefault="000108AC" w:rsidP="00010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Better utilization of DS for novel / complex problems</w:t>
      </w:r>
    </w:p>
    <w:p w14:paraId="17B13C31" w14:textId="77777777" w:rsidR="000108AC" w:rsidRPr="000108AC" w:rsidRDefault="00F05F15" w:rsidP="00010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F15">
        <w:rPr>
          <w:rFonts w:ascii="Times New Roman" w:eastAsia="Times New Roman" w:hAnsi="Times New Roman" w:cs="Times New Roman"/>
          <w:noProof/>
          <w:kern w:val="0"/>
        </w:rPr>
        <w:pict w14:anchorId="18E467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5EE43E" w14:textId="77777777" w:rsidR="000108AC" w:rsidRPr="000108AC" w:rsidRDefault="000108AC" w:rsidP="00010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Goal 4: Make causal insights actionable, not just explanatory</w:t>
      </w:r>
    </w:p>
    <w:p w14:paraId="2466DA18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[Output]</w:t>
      </w:r>
    </w:p>
    <w:p w14:paraId="18C98DB5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Ensure that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≥50% of completed causal studies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inform a downstream action (e.g., targeting rule, benefit prioritization, promo design, or leadership decision) within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planning cycle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by end of FY27.</w:t>
      </w:r>
    </w:p>
    <w:p w14:paraId="074E1B12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critical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prevents Causal Lab from being perceived as an “insight generator” instead of a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engine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712B7F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initiatives</w:t>
      </w:r>
    </w:p>
    <w:p w14:paraId="429E9C8D" w14:textId="77777777" w:rsidR="000108AC" w:rsidRPr="000108AC" w:rsidRDefault="000108AC" w:rsidP="00010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Segment-level (HTE) outputs by default</w:t>
      </w:r>
    </w:p>
    <w:p w14:paraId="59E898E6" w14:textId="77777777" w:rsidR="000108AC" w:rsidRPr="000108AC" w:rsidRDefault="000108AC" w:rsidP="00010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Exportable causal weights and segment recommendations</w:t>
      </w:r>
    </w:p>
    <w:p w14:paraId="4B3E9AED" w14:textId="77777777" w:rsidR="000108AC" w:rsidRPr="000108AC" w:rsidRDefault="000108AC" w:rsidP="00010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Clear “So what?” summaries aligned to decisions</w:t>
      </w:r>
    </w:p>
    <w:p w14:paraId="3BCA5B1A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by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Q4 FY27</w:t>
      </w:r>
    </w:p>
    <w:p w14:paraId="5D15C897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27BD2206" w14:textId="77777777" w:rsidR="000108AC" w:rsidRPr="000108AC" w:rsidRDefault="000108AC" w:rsidP="00010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Tangible ROI attribution to causal work</w:t>
      </w:r>
    </w:p>
    <w:p w14:paraId="1DCEF981" w14:textId="77777777" w:rsidR="000108AC" w:rsidRPr="000108AC" w:rsidRDefault="000108AC" w:rsidP="00010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Stronger pull from Product, Marketing, and Personalization teams</w:t>
      </w:r>
    </w:p>
    <w:p w14:paraId="28467B9E" w14:textId="77777777" w:rsidR="000108AC" w:rsidRPr="000108AC" w:rsidRDefault="000108AC" w:rsidP="00010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Executive confidence that causal informs action, not just analysis</w:t>
      </w:r>
    </w:p>
    <w:p w14:paraId="33012741" w14:textId="77777777" w:rsidR="000108AC" w:rsidRPr="000108AC" w:rsidRDefault="00F05F15" w:rsidP="00010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5F15">
        <w:rPr>
          <w:rFonts w:ascii="Times New Roman" w:eastAsia="Times New Roman" w:hAnsi="Times New Roman" w:cs="Times New Roman"/>
          <w:noProof/>
          <w:kern w:val="0"/>
        </w:rPr>
        <w:pict w14:anchorId="7FDEF4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4BADB2" w14:textId="77777777" w:rsidR="000108AC" w:rsidRPr="000108AC" w:rsidRDefault="000108AC" w:rsidP="00010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(Optional) Goal 5: Establish Causal Lab as the default fallback when A/B is infeasible</w:t>
      </w:r>
    </w:p>
    <w:p w14:paraId="485371A3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[Input → Output hybrid]</w:t>
      </w:r>
    </w:p>
    <w:p w14:paraId="443B4A3D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Goal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Formalize Causal Lab as the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measurement path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for at least </w:t>
      </w: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categories of non-experimentable initiatives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t xml:space="preserve"> (e.g., broad rollouts, concurrent promos, retrospective analysis) with documented guidance and adoption by end of FY27.</w:t>
      </w:r>
    </w:p>
    <w:p w14:paraId="319BDFB3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initiatives</w:t>
      </w:r>
    </w:p>
    <w:p w14:paraId="43E1B230" w14:textId="77777777" w:rsidR="000108AC" w:rsidRPr="000108AC" w:rsidRDefault="000108AC" w:rsidP="00010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Decision tree: A/B vs Causal vs Analytics</w:t>
      </w:r>
    </w:p>
    <w:p w14:paraId="447DC550" w14:textId="77777777" w:rsidR="000108AC" w:rsidRPr="000108AC" w:rsidRDefault="000108AC" w:rsidP="00010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Validation studies comparing Expo A/B results with causal estimates</w:t>
      </w:r>
    </w:p>
    <w:p w14:paraId="28075ACA" w14:textId="77777777" w:rsidR="000108AC" w:rsidRPr="000108AC" w:rsidRDefault="000108AC" w:rsidP="00010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Stakeholder education and playbooks</w:t>
      </w:r>
    </w:p>
    <w:p w14:paraId="3D32D139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by</w:t>
      </w:r>
      <w:r w:rsidRPr="000108AC">
        <w:rPr>
          <w:rFonts w:ascii="Times New Roman" w:eastAsia="Times New Roman" w:hAnsi="Times New Roman" w:cs="Times New Roman"/>
          <w:kern w:val="0"/>
          <w14:ligatures w14:val="none"/>
        </w:rPr>
        <w:br/>
        <w:t>Q2–Q3 FY27</w:t>
      </w:r>
    </w:p>
    <w:p w14:paraId="61914961" w14:textId="77777777" w:rsidR="000108AC" w:rsidRPr="000108AC" w:rsidRDefault="000108AC" w:rsidP="0001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</w:p>
    <w:p w14:paraId="1DB8E7A1" w14:textId="77777777" w:rsidR="000108AC" w:rsidRPr="000108AC" w:rsidRDefault="000108AC" w:rsidP="00010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Clear positioning relative to experimentation</w:t>
      </w:r>
    </w:p>
    <w:p w14:paraId="599AD9B6" w14:textId="77777777" w:rsidR="000108AC" w:rsidRPr="000108AC" w:rsidRDefault="000108AC" w:rsidP="00010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Reduced political friction with analytics and PA teams</w:t>
      </w:r>
    </w:p>
    <w:p w14:paraId="249F0D3C" w14:textId="77777777" w:rsidR="000108AC" w:rsidRPr="000108AC" w:rsidRDefault="000108AC" w:rsidP="00010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8AC">
        <w:rPr>
          <w:rFonts w:ascii="Times New Roman" w:eastAsia="Times New Roman" w:hAnsi="Times New Roman" w:cs="Times New Roman"/>
          <w:kern w:val="0"/>
          <w14:ligatures w14:val="none"/>
        </w:rPr>
        <w:t>Stronger enterprise legitimacy</w:t>
      </w:r>
    </w:p>
    <w:p w14:paraId="67082C59" w14:textId="77777777" w:rsidR="000322A3" w:rsidRDefault="000322A3"/>
    <w:sectPr w:rsidR="0003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CDC"/>
    <w:multiLevelType w:val="multilevel"/>
    <w:tmpl w:val="2D20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611A"/>
    <w:multiLevelType w:val="multilevel"/>
    <w:tmpl w:val="F5A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73346"/>
    <w:multiLevelType w:val="multilevel"/>
    <w:tmpl w:val="109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436BC"/>
    <w:multiLevelType w:val="multilevel"/>
    <w:tmpl w:val="23B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9753C"/>
    <w:multiLevelType w:val="multilevel"/>
    <w:tmpl w:val="BF2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E6261"/>
    <w:multiLevelType w:val="multilevel"/>
    <w:tmpl w:val="CD6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E66EA"/>
    <w:multiLevelType w:val="multilevel"/>
    <w:tmpl w:val="EC7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E640A"/>
    <w:multiLevelType w:val="multilevel"/>
    <w:tmpl w:val="54A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647E8"/>
    <w:multiLevelType w:val="multilevel"/>
    <w:tmpl w:val="C37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87407"/>
    <w:multiLevelType w:val="multilevel"/>
    <w:tmpl w:val="EFF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055672">
    <w:abstractNumId w:val="2"/>
  </w:num>
  <w:num w:numId="2" w16cid:durableId="1716270463">
    <w:abstractNumId w:val="4"/>
  </w:num>
  <w:num w:numId="3" w16cid:durableId="1331641712">
    <w:abstractNumId w:val="9"/>
  </w:num>
  <w:num w:numId="4" w16cid:durableId="1571302708">
    <w:abstractNumId w:val="6"/>
  </w:num>
  <w:num w:numId="5" w16cid:durableId="1615166213">
    <w:abstractNumId w:val="8"/>
  </w:num>
  <w:num w:numId="6" w16cid:durableId="628823485">
    <w:abstractNumId w:val="5"/>
  </w:num>
  <w:num w:numId="7" w16cid:durableId="1438141354">
    <w:abstractNumId w:val="3"/>
  </w:num>
  <w:num w:numId="8" w16cid:durableId="368191497">
    <w:abstractNumId w:val="0"/>
  </w:num>
  <w:num w:numId="9" w16cid:durableId="2018992417">
    <w:abstractNumId w:val="1"/>
  </w:num>
  <w:num w:numId="10" w16cid:durableId="50346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AC"/>
    <w:rsid w:val="000108AC"/>
    <w:rsid w:val="000322A3"/>
    <w:rsid w:val="000E1513"/>
    <w:rsid w:val="001F1C79"/>
    <w:rsid w:val="00707BC2"/>
    <w:rsid w:val="00A20203"/>
    <w:rsid w:val="00DF4753"/>
    <w:rsid w:val="00EE09C0"/>
    <w:rsid w:val="00F0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1DC4"/>
  <w15:chartTrackingRefBased/>
  <w15:docId w15:val="{129D404E-2B18-D449-A2F6-1F370B4F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8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3360</Characters>
  <Application>Microsoft Office Word</Application>
  <DocSecurity>0</DocSecurity>
  <Lines>98</Lines>
  <Paragraphs>73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KAMATH</dc:creator>
  <cp:keywords/>
  <dc:description/>
  <cp:lastModifiedBy>DHRUV KAMATH</cp:lastModifiedBy>
  <cp:revision>1</cp:revision>
  <dcterms:created xsi:type="dcterms:W3CDTF">2026-01-11T20:19:00Z</dcterms:created>
  <dcterms:modified xsi:type="dcterms:W3CDTF">2026-01-11T20:19:00Z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2026-01-11T20:19:28Z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a20cfd93-0b86-4e35-b2fb-a22d866f8f2b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