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z w:val="16"/>
          <w:szCs w:val="16"/>
        </w:rPr>
        <w:t xml:space="preserve">INDIA CONSUMER  |  WEEKEND CONSUMER BLAST  |  DRAFT v2 FOR INTERNAL DISCUSSION</w:t>
      </w:r>
    </w:p>
    <w:p>
      <w:pPr>
        <w:spacing w:after="80"/>
      </w:pPr>
      <w:r>
        <w:rPr>
          <w:b/>
          <w:bCs/>
          <w:color w:val="1F3864"/>
          <w:sz w:val="36"/>
          <w:szCs w:val="36"/>
        </w:rPr>
        <w:t xml:space="preserve">The View From the Top: Indianisation of Global Luxury, and the Case for the Apex Consumer</w:t>
      </w:r>
    </w:p>
    <w:p>
      <w:pPr>
        <w:pBdr>
          <w:bottom w:val="single" w:color="1F3864" w:sz="8" w:space="4"/>
        </w:pBdr>
        <w:spacing w:after="200"/>
      </w:pPr>
      <w:r>
        <w:rPr>
          <w:i/>
          <w:iCs/>
          <w:color w:val="595959"/>
        </w:rPr>
        <w:t xml:space="preserve">Hermès sarees, a Bulgari mangalsutra and 25-piece Diwali handbags are fun artefacts. They are also a signal: global luxury is testing a small, very rich Indian cohort that most TAM work skips over.</w:t>
      </w:r>
    </w:p>
    <w:p>
      <w:pPr>
        <w:pStyle w:val="Heading2"/>
      </w:pPr>
      <w:r>
        <w:t xml:space="preserve">Key takeaways</w:t>
      </w:r>
    </w:p>
    <w:p>
      <w:pPr>
        <w:pStyle w:val="ListParagraph"/>
        <w:numPr>
          <w:ilvl w:val="0"/>
          <w:numId w:val="2"/>
        </w:numPr>
        <w:spacing w:after="60"/>
      </w:pPr>
      <w:r>
        <w:rPr>
          <w:b/>
          <w:bCs/>
        </w:rPr>
        <w:t xml:space="preserve">Everyone models the middle of the pyramid. </w:t>
      </w:r>
      <w:r>
        <w:t xml:space="preserve">India consumption research is built around India1 and the ‘next 100mn’. The apex (HNIs, ~20k UHNWIs, ~200 billionaires) is treated as a rounding error. We think it is a TAM in its own right.</w:t>
      </w:r>
    </w:p>
    <w:p>
      <w:pPr>
        <w:pStyle w:val="ListParagraph"/>
        <w:numPr>
          <w:ilvl w:val="0"/>
          <w:numId w:val="2"/>
        </w:numPr>
        <w:spacing w:after="60"/>
      </w:pPr>
      <w:r>
        <w:rPr>
          <w:b/>
          <w:bCs/>
        </w:rPr>
        <w:t xml:space="preserve">Indianisation is market research, not merchandising. </w:t>
      </w:r>
      <w:r>
        <w:t xml:space="preserve">Most India-exclusive products run to 10–60 pieces. They are too small to matter for revenue and too cheap to matter for capex, which is exactly why brands use them to test demand before committing scarce Grade-A retail space.</w:t>
      </w:r>
    </w:p>
    <w:p>
      <w:pPr>
        <w:pStyle w:val="ListParagraph"/>
        <w:numPr>
          <w:ilvl w:val="0"/>
          <w:numId w:val="2"/>
        </w:numPr>
        <w:spacing w:after="60"/>
      </w:pPr>
      <w:r>
        <w:rPr>
          <w:b/>
          <w:bCs/>
        </w:rPr>
        <w:t xml:space="preserve">The ladder’s middle rung is where our coverage sits. </w:t>
      </w:r>
      <w:r>
        <w:t xml:space="preserve">Nykaa (Luxe stores, Nykaa Fashion LUXE), ABFRL (Galeries Lafayette) and Titan (Helios Luxe, Montblanc JV) are the multi-brand gatekeepers brands use before they go it alone.</w:t>
      </w:r>
    </w:p>
    <w:p>
      <w:pPr>
        <w:pStyle w:val="ListParagraph"/>
        <w:numPr>
          <w:ilvl w:val="0"/>
          <w:numId w:val="2"/>
        </w:numPr>
        <w:spacing w:after="60"/>
      </w:pPr>
      <w:r>
        <w:rPr>
          <w:b/>
          <w:bCs/>
        </w:rPr>
        <w:t xml:space="preserve">The monitorable: </w:t>
      </w:r>
      <w:r>
        <w:t xml:space="preserve">launch cadence has picked up sharply since 2021; on our reading it should lead store openings and JV announcements by 2–3 years.</w:t>
      </w:r>
    </w:p>
    <w:p>
      <w:pPr>
        <w:spacing w:after="120"/>
      </w:pPr>
      <w:r>
        <w:t xml:space="preserve"/>
      </w:r>
    </w:p>
    <w:p>
      <w:pPr>
        <w:pStyle w:val="Heading1"/>
      </w:pPr>
      <w:r>
        <w:t xml:space="preserve">1. The pyramid everyone draws, and the part they skip</w:t>
      </w:r>
    </w:p>
    <w:p>
      <w:pPr>
        <w:spacing w:after="120"/>
      </w:pPr>
      <w:r>
        <w:t xml:space="preserve">India consumer research has a favourite chart: the consumption pyramid. The debate is almost always about its middle, how fast India2 graduates into India1 and how deep premiumisation reaches. The top gets a sentence, usually to note that it is small.</w:t>
      </w:r>
    </w:p>
    <w:p>
      <w:pPr>
        <w:spacing w:after="120"/>
      </w:pPr>
      <w:r>
        <w:t xml:space="preserve">This note flips the lens. Global luxury houses are designing products specifically for Indian occasions, launching them in one or two stores and selling them out. That tells us something about a cohort that is small in headcount, large in wallet, and growing faster than almost any comparable group globally. We start with the products, work out who buys them, then size that group.</w:t>
      </w:r>
    </w:p>
    <w:p>
      <w:pPr>
        <w:spacing w:after="120"/>
      </w:pPr>
      <w:r>
        <w:rPr>
          <w:i/>
          <w:iCs/>
          <w:color w:val="595959"/>
          <w:sz w:val="17"/>
          <w:szCs w:val="17"/>
        </w:rPr>
        <w:t xml:space="preserve">[Parth: insert own pyramid exhibit + Blume Indus Valley India1 figures here]</w:t>
      </w:r>
    </w:p>
    <w:p>
      <w:pPr>
        <w:pStyle w:val="Heading1"/>
      </w:pPr>
      <w:r>
        <w:t xml:space="preserve">2. The gallery: what global luxury is making for India</w:t>
      </w:r>
    </w:p>
    <w:p>
      <w:pPr>
        <w:spacing w:after="120"/>
      </w:pPr>
      <w:r>
        <w:t xml:space="preserve">Indianisation is not new. Cartier leaned on its maharaja heritage with Taj Mahal-themed watches when it re-entered India around 2008–10, and Hermès made 28 sarees in 2011, sold only at its new Mumbai store. What has changed is frequency and intent: launches now cluster around the wedding and festive calendar, are fronted by Indian ambassadors, and are rationed to a handful of pieces per city.</w:t>
      </w:r>
    </w:p>
    <w:p>
      <w:pPr>
        <w:spacing w:after="40" w:before="120"/>
      </w:pPr>
      <w:r>
        <w:rPr>
          <w:b/>
          <w:bCs/>
          <w:color w:val="1F3864"/>
        </w:rPr>
        <w:t xml:space="preserve">Exhibit 1: </w:t>
      </w:r>
      <w:r>
        <w:rPr>
          <w:b/>
          <w:bCs/>
        </w:rPr>
        <w:t xml:space="preserve">Selected India-specific products from global luxury houses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A9DB" w:sz="6"/>
              <w:left w:val="single" w:color="8EA9DB" w:sz="6"/>
              <w:bottom w:val="single" w:color="8EA9DB" w:sz="6"/>
              <w:right w:val="single" w:color="8EA9DB" w:sz="6"/>
            </w:tcBorders>
            <w:shd w:fill="EAF0F8" w:color="auto" w:val="clear"/>
            <w:tcMar>
              <w:top w:type="dxa" w:w="100"/>
              <w:left w:type="dxa" w:w="140"/>
              <w:bottom w:type="dxa" w:w="100"/>
              <w:right w:type="dxa" w:w="140"/>
            </w:tcMar>
          </w:tcPr>
          <w:p>
            <w:pPr>
              <w:spacing w:after="60"/>
            </w:pPr>
            <w:r>
              <w:rPr>
                <w:b/>
                <w:bCs/>
                <w:color w:val="1F3864"/>
                <w:sz w:val="18"/>
                <w:szCs w:val="18"/>
              </w:rPr>
              <w:t xml:space="preserve">[Placeholder] 2×3 image grid: Hermès saree (2011), Cartier Santos 100 Taj Mahal (c.2010), Bulgari mangalsutra (2021), Bulgari B.zero1 Kada (2024), Dior Gateway of India show (2023), Valentino Vsling India edition (2024).</w:t>
            </w:r>
          </w:p>
        </w:tc>
      </w:tr>
    </w:tbl>
    <w:p>
      <w:pPr>
        <w:spacing w:after="160"/>
      </w:pPr>
      <w:r>
        <w:rPr>
          <w:i/>
          <w:iCs/>
          <w:color w:val="595959"/>
          <w:sz w:val="16"/>
          <w:szCs w:val="16"/>
        </w:rPr>
        <w:t xml:space="preserve">Source: Company press releases and press kits; Bernstein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6"/>
              <w:left w:val="single" w:color="A6A6A6" w:sz="6"/>
              <w:bottom w:val="single" w:color="A6A6A6" w:sz="6"/>
              <w:right w:val="single" w:color="A6A6A6" w:sz="6"/>
            </w:tcBorders>
            <w:shd w:fill="F2F2F2" w:color="auto" w:val="clear"/>
            <w:tcMar>
              <w:top w:type="dxa" w:w="100"/>
              <w:left w:type="dxa" w:w="140"/>
              <w:bottom w:type="dxa" w:w="100"/>
              <w:right w:type="dxa" w:w="140"/>
            </w:tcMar>
          </w:tcPr>
          <w:p>
            <w:pPr>
              <w:spacing w:after="60"/>
            </w:pPr>
            <w:r>
              <w:rPr>
                <w:b/>
                <w:bCs/>
                <w:color w:val="1F3864"/>
                <w:sz w:val="18"/>
                <w:szCs w:val="18"/>
              </w:rPr>
              <w:t xml:space="preserve">[Image placeholder] Bulgari mangalsutra with Priyanka Chopra Jonas</w:t>
            </w:r>
          </w:p>
        </w:tc>
      </w:tr>
    </w:tbl>
    <w:p>
      <w:pPr>
        <w:spacing w:after="120"/>
      </w:pPr>
      <w:r>
        <w:rPr>
          <w:i/>
          <w:iCs/>
          <w:color w:val="595959"/>
          <w:sz w:val="16"/>
          <w:szCs w:val="16"/>
        </w:rPr>
        <w:t xml:space="preserve">Image source: Bulgari press kit; launch coverage at wwd.com/accessories-news/jewelry/feature/bulgari-jewelry-bridal-india-market-1234909670/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6"/>
              <w:left w:val="single" w:color="A6A6A6" w:sz="6"/>
              <w:bottom w:val="single" w:color="A6A6A6" w:sz="6"/>
              <w:right w:val="single" w:color="A6A6A6" w:sz="6"/>
            </w:tcBorders>
            <w:shd w:fill="F2F2F2" w:color="auto" w:val="clear"/>
            <w:tcMar>
              <w:top w:type="dxa" w:w="100"/>
              <w:left w:type="dxa" w:w="140"/>
              <w:bottom w:type="dxa" w:w="100"/>
              <w:right w:type="dxa" w:w="140"/>
            </w:tcMar>
          </w:tcPr>
          <w:p>
            <w:pPr>
              <w:spacing w:after="60"/>
            </w:pPr>
            <w:r>
              <w:rPr>
                <w:b/>
                <w:bCs/>
                <w:color w:val="1F3864"/>
                <w:sz w:val="18"/>
                <w:szCs w:val="18"/>
              </w:rPr>
              <w:t xml:space="preserve">[Image placeholder] Hermès saree collection (2011)</w:t>
            </w:r>
          </w:p>
        </w:tc>
      </w:tr>
    </w:tbl>
    <w:p>
      <w:pPr>
        <w:spacing w:after="120"/>
      </w:pPr>
      <w:r>
        <w:rPr>
          <w:i/>
          <w:iCs/>
          <w:color w:val="595959"/>
          <w:sz w:val="16"/>
          <w:szCs w:val="16"/>
        </w:rPr>
        <w:t xml:space="preserve">Image source: Hermès press images; AFP coverage via fashionnetwork.com (Oct 2011)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6"/>
              <w:left w:val="single" w:color="A6A6A6" w:sz="6"/>
              <w:bottom w:val="single" w:color="A6A6A6" w:sz="6"/>
              <w:right w:val="single" w:color="A6A6A6" w:sz="6"/>
            </w:tcBorders>
            <w:shd w:fill="F2F2F2" w:color="auto" w:val="clear"/>
            <w:tcMar>
              <w:top w:type="dxa" w:w="100"/>
              <w:left w:type="dxa" w:w="140"/>
              <w:bottom w:type="dxa" w:w="100"/>
              <w:right w:type="dxa" w:w="140"/>
            </w:tcMar>
          </w:tcPr>
          <w:p>
            <w:pPr>
              <w:spacing w:after="60"/>
            </w:pPr>
            <w:r>
              <w:rPr>
                <w:b/>
                <w:bCs/>
                <w:color w:val="1F3864"/>
                <w:sz w:val="18"/>
                <w:szCs w:val="18"/>
              </w:rPr>
              <w:t xml:space="preserve">[Image placeholder] Cartier Santos 100 Taj Mahal</w:t>
            </w:r>
          </w:p>
        </w:tc>
      </w:tr>
    </w:tbl>
    <w:p>
      <w:pPr>
        <w:spacing w:after="120"/>
      </w:pPr>
      <w:r>
        <w:rPr>
          <w:i/>
          <w:iCs/>
          <w:color w:val="595959"/>
          <w:sz w:val="16"/>
          <w:szCs w:val="16"/>
        </w:rPr>
        <w:t xml:space="preserve">Image source: Cartier press images; luxurylaunches.com/watches/limited_edition_cartier_santos_100_taj_mahal_watch_just_for_india.php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6"/>
              <w:left w:val="single" w:color="A6A6A6" w:sz="6"/>
              <w:bottom w:val="single" w:color="A6A6A6" w:sz="6"/>
              <w:right w:val="single" w:color="A6A6A6" w:sz="6"/>
            </w:tcBorders>
            <w:shd w:fill="F2F2F2" w:color="auto" w:val="clear"/>
            <w:tcMar>
              <w:top w:type="dxa" w:w="100"/>
              <w:left w:type="dxa" w:w="140"/>
              <w:bottom w:type="dxa" w:w="100"/>
              <w:right w:type="dxa" w:w="140"/>
            </w:tcMar>
          </w:tcPr>
          <w:p>
            <w:pPr>
              <w:spacing w:after="60"/>
            </w:pPr>
            <w:r>
              <w:rPr>
                <w:b/>
                <w:bCs/>
                <w:color w:val="1F3864"/>
                <w:sz w:val="18"/>
                <w:szCs w:val="18"/>
              </w:rPr>
              <w:t xml:space="preserve">[Image placeholder] Dior Fall 2023, Gateway of India</w:t>
            </w:r>
          </w:p>
        </w:tc>
      </w:tr>
    </w:tbl>
    <w:p>
      <w:pPr>
        <w:spacing w:after="120"/>
      </w:pPr>
      <w:r>
        <w:rPr>
          <w:i/>
          <w:iCs/>
          <w:color w:val="595959"/>
          <w:sz w:val="16"/>
          <w:szCs w:val="16"/>
        </w:rPr>
        <w:t xml:space="preserve">Image source: Dior press room (Pre-Fall 2023 Mumbai show)</w:t>
      </w:r>
    </w:p>
    <w:p>
      <w:pPr>
        <w:spacing w:after="120"/>
      </w:pPr>
      <w:r>
        <w:rPr>
          <w:i/>
          <w:iCs/>
          <w:color w:val="595959"/>
          <w:sz w:val="17"/>
          <w:szCs w:val="17"/>
        </w:rPr>
        <w:t xml:space="preserve">Use company-issued press images only; confirm usage rights with compliance before publishing.</w:t>
      </w:r>
    </w:p>
    <w:p>
      <w:pPr>
        <w:pStyle w:val="Heading2"/>
      </w:pPr>
      <w:r>
        <w:t xml:space="preserve">Launch tracker and tier classification</w:t>
      </w:r>
    </w:p>
    <w:p>
      <w:pPr>
        <w:spacing w:after="120"/>
      </w:pPr>
      <w:r>
        <w:t xml:space="preserve">We sort localisation into three tiers by how much the brand has to change and how reversible the decision is: Cosmetic (a festive colourway or motif on an existing product), Formal (a genuinely Indian silhouette or occasion product) and Structural (sourcing, craft or manufacturing in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1300"/>
        <w:gridCol w:w="2230"/>
        <w:gridCol w:w="1900"/>
        <w:gridCol w:w="1500"/>
        <w:gridCol w:w="1276"/>
      </w:tblGrid>
      <w:tr>
        <w:trPr>
          <w:tblHeader/>
        </w:trPr>
        <w:tc>
          <w:tcPr>
            <w:tcW w:type="dxa" w:w="8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7"/>
                <w:szCs w:val="17"/>
              </w:rPr>
              <w:t xml:space="preserve">Year</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7"/>
                <w:szCs w:val="17"/>
              </w:rPr>
              <w:t xml:space="preserve">Brand</w:t>
            </w:r>
          </w:p>
        </w:tc>
        <w:tc>
          <w:tcPr>
            <w:tcW w:type="dxa" w:w="223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7"/>
                <w:szCs w:val="17"/>
              </w:rPr>
              <w:t xml:space="preserve">Product</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7"/>
                <w:szCs w:val="17"/>
              </w:rPr>
              <w:t xml:space="preserve">Price / run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7"/>
                <w:szCs w:val="17"/>
              </w:rPr>
              <w:t xml:space="preserve">Channel</w:t>
            </w:r>
          </w:p>
        </w:tc>
        <w:tc>
          <w:tcPr>
            <w:tcW w:type="dxa" w:w="127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7"/>
                <w:szCs w:val="17"/>
              </w:rPr>
              <w:t xml:space="preserve">Tier</w:t>
            </w:r>
          </w:p>
        </w:tc>
      </w:tr>
      <w:tr>
        <w:trPr>
          <w:tblHeader w:val="false"/>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c.2010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Cartier</w:t>
            </w:r>
          </w:p>
        </w:tc>
        <w:tc>
          <w:tcPr>
            <w:tcW w:type="dxa" w:w="2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Santos 100 Taj Mahal watch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₹34.7 lakh; 10 pieces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India LE</w:t>
            </w:r>
          </w:p>
        </w:tc>
        <w:tc>
          <w:tcPr>
            <w:tcW w:type="dxa" w:w="1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Cosmetic</w:t>
            </w:r>
          </w:p>
        </w:tc>
      </w:tr>
      <w:tr>
        <w:trPr>
          <w:tblHeader w:val="false"/>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2010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Cartier</w:t>
            </w:r>
          </w:p>
        </w:tc>
        <w:tc>
          <w:tcPr>
            <w:tcW w:type="dxa" w:w="2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Inde Mystérieuse jewellery (Jaipur-style)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From ₹63,000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Delhi store</w:t>
            </w:r>
          </w:p>
        </w:tc>
        <w:tc>
          <w:tcPr>
            <w:tcW w:type="dxa" w:w="1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Cosmetic</w:t>
            </w:r>
          </w:p>
        </w:tc>
      </w:tr>
      <w:tr>
        <w:trPr>
          <w:tblHeader w:val="false"/>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2011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Hermès</w:t>
            </w:r>
          </w:p>
        </w:tc>
        <w:tc>
          <w:tcPr>
            <w:tcW w:type="dxa" w:w="2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Silk and cashmere saris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₹3–4 lakh; 28 pieces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Mumbai store only</w:t>
            </w:r>
          </w:p>
        </w:tc>
        <w:tc>
          <w:tcPr>
            <w:tcW w:type="dxa" w:w="1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Formal</w:t>
            </w:r>
          </w:p>
        </w:tc>
      </w:tr>
      <w:tr>
        <w:trPr>
          <w:tblHeader w:val="false"/>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n.d.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Canali</w:t>
            </w:r>
          </w:p>
        </w:tc>
        <w:tc>
          <w:tcPr>
            <w:tcW w:type="dxa" w:w="2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Bandhgala for weddings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[add]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[add]</w:t>
            </w:r>
          </w:p>
        </w:tc>
        <w:tc>
          <w:tcPr>
            <w:tcW w:type="dxa" w:w="1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Formal</w:t>
            </w:r>
          </w:p>
        </w:tc>
      </w:tr>
      <w:tr>
        <w:trPr>
          <w:tblHeader w:val="false"/>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n.d.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Giorgio Armani</w:t>
            </w:r>
          </w:p>
        </w:tc>
        <w:tc>
          <w:tcPr>
            <w:tcW w:type="dxa" w:w="2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Achkan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[add]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[add]</w:t>
            </w:r>
          </w:p>
        </w:tc>
        <w:tc>
          <w:tcPr>
            <w:tcW w:type="dxa" w:w="1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Formal</w:t>
            </w:r>
          </w:p>
        </w:tc>
      </w:tr>
      <w:tr>
        <w:trPr>
          <w:tblHeader w:val="false"/>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n.d.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Bottega Veneta</w:t>
            </w:r>
          </w:p>
        </w:tc>
        <w:tc>
          <w:tcPr>
            <w:tcW w:type="dxa" w:w="2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Knot clutch, India-exclusive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25 pieces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[add]</w:t>
            </w:r>
          </w:p>
        </w:tc>
        <w:tc>
          <w:tcPr>
            <w:tcW w:type="dxa" w:w="1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Cosmetic</w:t>
            </w:r>
          </w:p>
        </w:tc>
      </w:tr>
      <w:tr>
        <w:trPr>
          <w:tblHeader w:val="false"/>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n.d.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Coach</w:t>
            </w:r>
          </w:p>
        </w:tc>
        <w:tc>
          <w:tcPr>
            <w:tcW w:type="dxa" w:w="2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Diya monogram stamp for Diwali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[add]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[add]</w:t>
            </w:r>
          </w:p>
        </w:tc>
        <w:tc>
          <w:tcPr>
            <w:tcW w:type="dxa" w:w="1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Cosmetic</w:t>
            </w:r>
          </w:p>
        </w:tc>
      </w:tr>
      <w:tr>
        <w:trPr>
          <w:tblHeader w:val="false"/>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2020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Dior</w:t>
            </w:r>
          </w:p>
        </w:tc>
        <w:tc>
          <w:tcPr>
            <w:tcW w:type="dxa" w:w="2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Lady Dior by artist Bharti Kher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[add]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[add]</w:t>
            </w:r>
          </w:p>
        </w:tc>
        <w:tc>
          <w:tcPr>
            <w:tcW w:type="dxa" w:w="1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Cosmetic</w:t>
            </w:r>
          </w:p>
        </w:tc>
      </w:tr>
      <w:tr>
        <w:trPr>
          <w:tblHeader w:val="false"/>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2021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Bulgari</w:t>
            </w:r>
          </w:p>
        </w:tc>
        <w:tc>
          <w:tcPr>
            <w:tcW w:type="dxa" w:w="2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Mangalsutra (Bvlgari Bvlgari necklace)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₹3.49 lakh</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Online + stores</w:t>
            </w:r>
          </w:p>
        </w:tc>
        <w:tc>
          <w:tcPr>
            <w:tcW w:type="dxa" w:w="1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Formal</w:t>
            </w:r>
          </w:p>
        </w:tc>
      </w:tr>
      <w:tr>
        <w:trPr>
          <w:tblHeader w:val="false"/>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2022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Jimmy Choo</w:t>
            </w:r>
          </w:p>
        </w:tc>
        <w:tc>
          <w:tcPr>
            <w:tcW w:type="dxa" w:w="2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First India jewellery line; annual Diwali capsules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Bon Bon ~₹1 lakh (2024)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Stores</w:t>
            </w:r>
          </w:p>
        </w:tc>
        <w:tc>
          <w:tcPr>
            <w:tcW w:type="dxa" w:w="1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Cosmetic</w:t>
            </w:r>
          </w:p>
        </w:tc>
      </w:tr>
      <w:tr>
        <w:trPr>
          <w:tblHeader w:val="false"/>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2022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Louis Vuitton</w:t>
            </w:r>
          </w:p>
        </w:tc>
        <w:tc>
          <w:tcPr>
            <w:tcW w:type="dxa" w:w="2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Rani Pink shoe collection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[add]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[add]</w:t>
            </w:r>
          </w:p>
        </w:tc>
        <w:tc>
          <w:tcPr>
            <w:tcW w:type="dxa" w:w="1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Cosmetic</w:t>
            </w:r>
          </w:p>
        </w:tc>
      </w:tr>
      <w:tr>
        <w:trPr>
          <w:tblHeader w:val="false"/>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2023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Dior</w:t>
            </w:r>
          </w:p>
        </w:tc>
        <w:tc>
          <w:tcPr>
            <w:tcW w:type="dxa" w:w="2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Fall 2023 show with Chanakya School of Craft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n.a.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Show</w:t>
            </w:r>
          </w:p>
        </w:tc>
        <w:tc>
          <w:tcPr>
            <w:tcW w:type="dxa" w:w="1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Structural</w:t>
            </w:r>
          </w:p>
        </w:tc>
      </w:tr>
      <w:tr>
        <w:trPr>
          <w:tblHeader w:val="false"/>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2024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Bulgari</w:t>
            </w:r>
          </w:p>
        </w:tc>
        <w:tc>
          <w:tcPr>
            <w:tcW w:type="dxa" w:w="2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B.zero1 Kada bracelet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[add]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[add]</w:t>
            </w:r>
          </w:p>
        </w:tc>
        <w:tc>
          <w:tcPr>
            <w:tcW w:type="dxa" w:w="1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Formal</w:t>
            </w:r>
          </w:p>
        </w:tc>
      </w:tr>
      <w:tr>
        <w:trPr>
          <w:tblHeader w:val="false"/>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2024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Valentino</w:t>
            </w:r>
          </w:p>
        </w:tc>
        <w:tc>
          <w:tcPr>
            <w:tcW w:type="dxa" w:w="2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Vsling bag, India edition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₹4.25 lakh; 25 pieces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[add]</w:t>
            </w:r>
          </w:p>
        </w:tc>
        <w:tc>
          <w:tcPr>
            <w:tcW w:type="dxa" w:w="1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Cosmetic</w:t>
            </w:r>
          </w:p>
        </w:tc>
      </w:tr>
      <w:tr>
        <w:trPr>
          <w:tblHeader w:val="false"/>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2024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Christian Louboutin</w:t>
            </w:r>
          </w:p>
        </w:tc>
        <w:tc>
          <w:tcPr>
            <w:tcW w:type="dxa" w:w="2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Hand-embroidered festive range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60 pieces/item (30 Delhi, 30 Mumbai)</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Delhi, Mumbai</w:t>
            </w:r>
          </w:p>
        </w:tc>
        <w:tc>
          <w:tcPr>
            <w:tcW w:type="dxa" w:w="1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Cosmetic</w:t>
            </w:r>
          </w:p>
        </w:tc>
      </w:tr>
    </w:tbl>
    <w:p>
      <w:pPr>
        <w:spacing w:after="120"/>
      </w:pPr>
      <w:r>
        <w:rPr>
          <w:i/>
          <w:iCs/>
          <w:color w:val="595959"/>
          <w:sz w:val="17"/>
          <w:szCs w:val="17"/>
        </w:rPr>
        <w:t xml:space="preserve">Source: Business Standard, WWD, AFP/FashionNetwork, Elle India, Manifest, Luxury Connect, Retail Jeweller India; Bernstein analysis. n.d. = date to confirm.</w:t>
      </w:r>
    </w:p>
    <w:p>
      <w:pPr>
        <w:spacing w:after="120"/>
      </w:pPr>
      <w:r>
        <w:rPr>
          <w:b/>
          <w:bCs/>
        </w:rPr>
        <w:t xml:space="preserve">What the tracker tells us. </w:t>
      </w:r>
      <w:r>
        <w:t xml:space="preserve">Three patterns stand out. Most launches are Cosmetic, cheap to make and easy to reverse. The Formal tier is dominated by jewellery and wedding wear, which is where Indian willingness to pay for high-ticket, emotionally loaded products is strongest. And almost everything is rationed to 10–60 pieces, often split by city. These are not revenue lines; they are relationship tools aimed at a few hundred known clients.</w:t>
      </w:r>
    </w:p>
    <w:p>
      <w:pPr>
        <w:spacing w:after="120"/>
      </w:pPr>
      <w:r>
        <w:rPr>
          <w:b/>
          <w:bCs/>
        </w:rPr>
        <w:t xml:space="preserve">Redseer’s lens. </w:t>
      </w:r>
      <w:r>
        <w:t xml:space="preserve">Redseer’s 2025 report (‘Beyond Prestige’) puts India at ~2% of global personal luxury today, rising to 5–6% by FY29 (a US$24–26bn market), and notes that over half of sales on luxury marketplaces such as Tata CLiQ Luxury and Ajio Luxe now come from non-metro pincodes. Our read: Cosmetic-tier capsules are the SKUs that travel online to these newer buyers, while Formal-tier pieces stay in metro flagships for the core apex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227" w:sz="6"/>
              <w:left w:val="single" w:color="C9A227" w:sz="6"/>
              <w:bottom w:val="single" w:color="C9A227" w:sz="6"/>
              <w:right w:val="single" w:color="C9A227" w:sz="6"/>
            </w:tcBorders>
            <w:shd w:fill="FFF4D6" w:color="auto" w:val="clear"/>
            <w:tcMar>
              <w:top w:type="dxa" w:w="100"/>
              <w:left w:type="dxa" w:w="140"/>
              <w:bottom w:type="dxa" w:w="100"/>
              <w:right w:type="dxa" w:w="140"/>
            </w:tcMar>
          </w:tcPr>
          <w:p>
            <w:pPr>
              <w:spacing w:after="60"/>
            </w:pPr>
            <w:r>
              <w:rPr>
                <w:b/>
                <w:bCs/>
                <w:color w:val="1F3864"/>
                <w:sz w:val="18"/>
                <w:szCs w:val="18"/>
              </w:rPr>
              <w:t xml:space="preserve">DATA TO ADD</w:t>
            </w:r>
          </w:p>
          <w:p>
            <w:pPr>
              <w:pStyle w:val="ListParagraph"/>
              <w:numPr>
                <w:ilvl w:val="0"/>
                <w:numId w:val="2"/>
              </w:numPr>
              <w:spacing w:after="40"/>
            </w:pPr>
            <w:r>
              <w:rPr>
                <w:sz w:val="18"/>
                <w:szCs w:val="18"/>
              </w:rPr>
              <w:t xml:space="preserve">Redseer: category split (jewellery/watches share), occasion-led purchase data, and any commentary on India-specific products (from your copy of the report)</w:t>
            </w:r>
          </w:p>
          <w:p>
            <w:pPr>
              <w:pStyle w:val="ListParagraph"/>
              <w:numPr>
                <w:ilvl w:val="0"/>
                <w:numId w:val="2"/>
              </w:numPr>
              <w:spacing w:after="40"/>
            </w:pPr>
            <w:r>
              <w:rPr>
                <w:sz w:val="18"/>
                <w:szCs w:val="18"/>
              </w:rPr>
              <w:t xml:space="preserve">Redseer: check the market-size definition. Its public headline is ~US$8.8bn while Euromonitor puts 2025 at US$12.1bn; reconcile before using both</w:t>
            </w:r>
          </w:p>
          <w:p>
            <w:pPr>
              <w:pStyle w:val="ListParagraph"/>
              <w:numPr>
                <w:ilvl w:val="0"/>
                <w:numId w:val="2"/>
              </w:numPr>
              <w:spacing w:after="40"/>
            </w:pPr>
            <w:r>
              <w:rPr>
                <w:sz w:val="18"/>
                <w:szCs w:val="18"/>
              </w:rPr>
              <w:t xml:space="preserve">Fill [add] cells; confirm Cartier Taj Mahal year and Bulgari Kada price</w:t>
            </w:r>
          </w:p>
          <w:p>
            <w:pPr>
              <w:pStyle w:val="ListParagraph"/>
              <w:numPr>
                <w:ilvl w:val="0"/>
                <w:numId w:val="2"/>
              </w:numPr>
              <w:spacing w:after="40"/>
            </w:pPr>
            <w:r>
              <w:rPr>
                <w:sz w:val="18"/>
                <w:szCs w:val="18"/>
              </w:rPr>
              <w:t xml:space="preserve">Bloomberg (see chat for search list): sell-side and management commentary on India-specific product and India growth</w:t>
            </w:r>
          </w:p>
        </w:tc>
      </w:tr>
    </w:tbl>
    <w:p>
      <w:pPr>
        <w:spacing w:after="120"/>
      </w:pPr>
      <w:r>
        <w:t xml:space="preserve"/>
      </w:r>
    </w:p>
    <w:p>
      <w:pPr>
        <w:pStyle w:val="Heading1"/>
      </w:pPr>
      <w:r>
        <w:t xml:space="preserve">3. The staged entry ladder: product → multi-brand → flagship</w:t>
      </w:r>
    </w:p>
    <w:p>
      <w:pPr>
        <w:spacing w:after="120"/>
      </w:pPr>
      <w:r>
        <w:t xml:space="preserve">Luxury retail literature describes international entry as staged. Moore, Doherty &amp; Doyle (2010), based on interviews with 12 luxury fashion retailers, find flagships act as a market entry mechanism that supports and develops wholesale and partner distribution, rather than standing alone. India compresses this ladder and adds a rung at the bottom: with limited Grade-A mall space, an India-exclusive product sold through an existing door is the cheapest possible demand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7"/>
                <w:szCs w:val="17"/>
              </w:rPr>
              <w:t xml:space="preserve">Rung</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7"/>
                <w:szCs w:val="17"/>
              </w:rPr>
              <w:t xml:space="preserve">What the brand commits</w:t>
            </w:r>
          </w:p>
        </w:tc>
        <w:tc>
          <w:tcPr>
            <w:tcW w:type="dxa" w:w="4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7"/>
                <w:szCs w:val="17"/>
              </w:rPr>
              <w:t xml:space="preserve">India examples</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1. Product as research</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A limited India-only SKU through an existing door</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Hermès saris (Mumbai store only, 2011); Valentino Vsling (25 pieces); Louboutin festive range (60 per item); Bottega Veneta Knot (25 pieces)</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2. Multi-brand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Inventory and service inside a curated luxury platform</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Nykaa Luxe (largest: 5,500 sq ft, 80+ brands, Delhi) and Nykaa Fashion LUXE; ABFRL x Galeries Lafayette (200+ brands planned); Tata CLiQ Luxury; Ajio Luxe; Titan Helios Luxe; Ethos</w:t>
            </w:r>
          </w:p>
        </w:tc>
      </w:tr>
      <w:tr>
        <w:trPr>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3. Flagship / JV</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Standalone store, often via a JV or franchise partner</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LV (2002, first entrant); Gucci (franchise 2007, JV 2009); Bulgari (direct, 2014); Jio World Plaza (66 luxury brands, India debuts for Balenciaga and Dior Men)</w:t>
            </w:r>
          </w:p>
        </w:tc>
      </w:tr>
    </w:tbl>
    <w:p>
      <w:pPr>
        <w:spacing w:after="120"/>
      </w:pPr>
      <w:r>
        <w:t xml:space="preserve"/>
      </w:r>
    </w:p>
    <w:p>
      <w:pPr>
        <w:spacing w:after="120"/>
      </w:pPr>
      <w:r>
        <w:t xml:space="preserve">A second strand of the literature contrasts a French ‘dominance’ model (direct control) with an Italian ‘collaboration’ model (partners, licences, JVs). India fits loosely: LV entered directly, while Gucci moved from franchise to JV. The implication for our coverage is that the middle rung is structural, not transitional. Every brand passes through it, and many will stay, because India’s apex is concentrated enough that a handful of curated doors covers most of the demand.</w:t>
      </w:r>
    </w:p>
    <w:p>
      <w:pPr>
        <w:spacing w:after="40" w:before="120"/>
      </w:pPr>
      <w:r>
        <w:rPr>
          <w:b/>
          <w:bCs/>
          <w:color w:val="1F3864"/>
        </w:rPr>
        <w:t xml:space="preserve">Exhibit 2: </w:t>
      </w:r>
      <w:r>
        <w:rPr>
          <w:b/>
          <w:bCs/>
        </w:rPr>
        <w:t xml:space="preserve">The staged entry ladder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A9DB" w:sz="6"/>
              <w:left w:val="single" w:color="8EA9DB" w:sz="6"/>
              <w:bottom w:val="single" w:color="8EA9DB" w:sz="6"/>
              <w:right w:val="single" w:color="8EA9DB" w:sz="6"/>
            </w:tcBorders>
            <w:shd w:fill="EAF0F8" w:color="auto" w:val="clear"/>
            <w:tcMar>
              <w:top w:type="dxa" w:w="100"/>
              <w:left w:type="dxa" w:w="140"/>
              <w:bottom w:type="dxa" w:w="100"/>
              <w:right w:type="dxa" w:w="140"/>
            </w:tcMar>
          </w:tcPr>
          <w:p>
            <w:pPr>
              <w:spacing w:after="60"/>
            </w:pPr>
            <w:r>
              <w:rPr>
                <w:b/>
                <w:bCs/>
                <w:color w:val="1F3864"/>
                <w:sz w:val="18"/>
                <w:szCs w:val="18"/>
              </w:rPr>
              <w:t xml:space="preserve">[Placeholder] Three-step ladder graphic with brands plotted at their current rung; arrows for brands that have moved up.</w:t>
            </w:r>
          </w:p>
        </w:tc>
      </w:tr>
    </w:tbl>
    <w:p>
      <w:pPr>
        <w:spacing w:after="160"/>
      </w:pPr>
      <w:r>
        <w:rPr>
          <w:i/>
          <w:iCs/>
          <w:color w:val="595959"/>
          <w:sz w:val="16"/>
          <w:szCs w:val="16"/>
        </w:rPr>
        <w:t xml:space="preserve">Source: Moore, Doherty &amp; Doyle (2010); company disclosures; Bernstein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6"/>
              <w:left w:val="single" w:color="A6A6A6" w:sz="6"/>
              <w:bottom w:val="single" w:color="A6A6A6" w:sz="6"/>
              <w:right w:val="single" w:color="A6A6A6" w:sz="6"/>
            </w:tcBorders>
            <w:shd w:fill="F2F2F2" w:color="auto" w:val="clear"/>
            <w:tcMar>
              <w:top w:type="dxa" w:w="100"/>
              <w:left w:type="dxa" w:w="140"/>
              <w:bottom w:type="dxa" w:w="100"/>
              <w:right w:type="dxa" w:w="140"/>
            </w:tcMar>
          </w:tcPr>
          <w:p>
            <w:pPr>
              <w:spacing w:after="60"/>
            </w:pPr>
            <w:r>
              <w:rPr>
                <w:b/>
                <w:bCs/>
                <w:color w:val="1F3864"/>
                <w:sz w:val="18"/>
                <w:szCs w:val="18"/>
              </w:rPr>
              <w:t xml:space="preserve">[Image placeholder] Nykaa Luxe, Ambience Mall Delhi</w:t>
            </w:r>
          </w:p>
        </w:tc>
      </w:tr>
    </w:tbl>
    <w:p>
      <w:pPr>
        <w:spacing w:after="120"/>
      </w:pPr>
      <w:r>
        <w:rPr>
          <w:i/>
          <w:iCs/>
          <w:color w:val="595959"/>
          <w:sz w:val="16"/>
          <w:szCs w:val="16"/>
        </w:rPr>
        <w:t xml:space="preserve">Image source: Nykaa press release / investor presentation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6"/>
              <w:left w:val="single" w:color="A6A6A6" w:sz="6"/>
              <w:bottom w:val="single" w:color="A6A6A6" w:sz="6"/>
              <w:right w:val="single" w:color="A6A6A6" w:sz="6"/>
            </w:tcBorders>
            <w:shd w:fill="F2F2F2" w:color="auto" w:val="clear"/>
            <w:tcMar>
              <w:top w:type="dxa" w:w="100"/>
              <w:left w:type="dxa" w:w="140"/>
              <w:bottom w:type="dxa" w:w="100"/>
              <w:right w:type="dxa" w:w="140"/>
            </w:tcMar>
          </w:tcPr>
          <w:p>
            <w:pPr>
              <w:spacing w:after="60"/>
            </w:pPr>
            <w:r>
              <w:rPr>
                <w:b/>
                <w:bCs/>
                <w:color w:val="1F3864"/>
                <w:sz w:val="18"/>
                <w:szCs w:val="18"/>
              </w:rPr>
              <w:t xml:space="preserve">[Image placeholder] Jio World Plaza, Mumbai</w:t>
            </w:r>
          </w:p>
        </w:tc>
      </w:tr>
    </w:tbl>
    <w:p>
      <w:pPr>
        <w:spacing w:after="120"/>
      </w:pPr>
      <w:r>
        <w:rPr>
          <w:i/>
          <w:iCs/>
          <w:color w:val="595959"/>
          <w:sz w:val="16"/>
          <w:szCs w:val="16"/>
        </w:rPr>
        <w:t xml:space="preserve">Image source: jioworldplaza.com press images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6"/>
              <w:left w:val="single" w:color="A6A6A6" w:sz="6"/>
              <w:bottom w:val="single" w:color="A6A6A6" w:sz="6"/>
              <w:right w:val="single" w:color="A6A6A6" w:sz="6"/>
            </w:tcBorders>
            <w:shd w:fill="F2F2F2" w:color="auto" w:val="clear"/>
            <w:tcMar>
              <w:top w:type="dxa" w:w="100"/>
              <w:left w:type="dxa" w:w="140"/>
              <w:bottom w:type="dxa" w:w="100"/>
              <w:right w:type="dxa" w:w="140"/>
            </w:tcMar>
          </w:tcPr>
          <w:p>
            <w:pPr>
              <w:spacing w:after="60"/>
            </w:pPr>
            <w:r>
              <w:rPr>
                <w:b/>
                <w:bCs/>
                <w:color w:val="1F3864"/>
                <w:sz w:val="18"/>
                <w:szCs w:val="18"/>
              </w:rPr>
              <w:t xml:space="preserve">[Image placeholder] Galeries Lafayette India (render or opening)</w:t>
            </w:r>
          </w:p>
        </w:tc>
      </w:tr>
    </w:tbl>
    <w:p>
      <w:pPr>
        <w:spacing w:after="120"/>
      </w:pPr>
      <w:r>
        <w:rPr>
          <w:i/>
          <w:iCs/>
          <w:color w:val="595959"/>
          <w:sz w:val="16"/>
          <w:szCs w:val="16"/>
        </w:rPr>
        <w:t xml:space="preserve">Image source: ABFRL / Galeries Lafayette press release</w:t>
      </w:r>
    </w:p>
    <w:p>
      <w:pPr>
        <w:spacing w:after="120"/>
      </w:pPr>
      <w:r>
        <w:rPr>
          <w:i/>
          <w:iCs/>
          <w:color w:val="595959"/>
          <w:sz w:val="17"/>
          <w:szCs w:val="17"/>
        </w:rPr>
        <w:t xml:space="preserve">Reference: Moore, C.M., Doherty, A.M. and Doyle, S.A. (2010), ‘Flagship stores as a market entry method: the perspective of luxury fashion retailing’, European Journal of Marketing, 44(1/2), 139–161. doi:10.1108/03090561011008646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227" w:sz="6"/>
              <w:left w:val="single" w:color="C9A227" w:sz="6"/>
              <w:bottom w:val="single" w:color="C9A227" w:sz="6"/>
              <w:right w:val="single" w:color="C9A227" w:sz="6"/>
            </w:tcBorders>
            <w:shd w:fill="FFF4D6" w:color="auto" w:val="clear"/>
            <w:tcMar>
              <w:top w:type="dxa" w:w="100"/>
              <w:left w:type="dxa" w:w="140"/>
              <w:bottom w:type="dxa" w:w="100"/>
              <w:right w:type="dxa" w:w="140"/>
            </w:tcMar>
          </w:tcPr>
          <w:p>
            <w:pPr>
              <w:spacing w:after="60"/>
            </w:pPr>
            <w:r>
              <w:rPr>
                <w:b/>
                <w:bCs/>
                <w:color w:val="1F3864"/>
                <w:sz w:val="18"/>
                <w:szCs w:val="18"/>
              </w:rPr>
              <w:t xml:space="preserve">DATA TO ADD</w:t>
            </w:r>
          </w:p>
          <w:p>
            <w:pPr>
              <w:pStyle w:val="ListParagraph"/>
              <w:numPr>
                <w:ilvl w:val="0"/>
                <w:numId w:val="2"/>
              </w:numPr>
              <w:spacing w:after="40"/>
            </w:pPr>
            <w:r>
              <w:rPr>
                <w:sz w:val="18"/>
                <w:szCs w:val="18"/>
              </w:rPr>
              <w:t xml:space="preserve">Grade-A mall stock, India vs China (CBRE/JLL/Knight Frank public reports)</w:t>
            </w:r>
          </w:p>
          <w:p>
            <w:pPr>
              <w:pStyle w:val="ListParagraph"/>
              <w:numPr>
                <w:ilvl w:val="0"/>
                <w:numId w:val="2"/>
              </w:numPr>
              <w:spacing w:after="40"/>
            </w:pPr>
            <w:r>
              <w:rPr>
                <w:sz w:val="18"/>
                <w:szCs w:val="18"/>
              </w:rPr>
              <w:t xml:space="preserve">Confirm Galeries Lafayette Mumbai/Delhi opening status and which ABFRL entity holds it post-demerger</w:t>
            </w:r>
          </w:p>
          <w:p>
            <w:pPr>
              <w:pStyle w:val="ListParagraph"/>
              <w:numPr>
                <w:ilvl w:val="0"/>
                <w:numId w:val="2"/>
              </w:numPr>
              <w:spacing w:after="40"/>
            </w:pPr>
            <w:r>
              <w:rPr>
                <w:sz w:val="18"/>
                <w:szCs w:val="18"/>
              </w:rPr>
              <w:t xml:space="preserve">Brands that have visibly moved up a rung in the last 3–5 years</w:t>
            </w:r>
          </w:p>
        </w:tc>
      </w:tr>
    </w:tbl>
    <w:p>
      <w:pPr>
        <w:spacing w:after="120"/>
      </w:pPr>
      <w:r>
        <w:t xml:space="preserve"/>
      </w:r>
    </w:p>
    <w:p>
      <w:pPr>
        <w:pStyle w:val="Heading1"/>
      </w:pPr>
      <w:r>
        <w:t xml:space="preserve">4. Does it actually work?</w:t>
      </w:r>
    </w:p>
    <w:p>
      <w:pPr>
        <w:spacing w:after="120"/>
      </w:pPr>
      <w:r>
        <w:t xml:space="preserve">We cannot yet prove it. Volumes are tiny by design and rarely disclosed. Cultural risk is real: the Bulgari mangalsutra drew criticism from some who saw it as endorsing a patriarchal tradition. The stronger proof point is behavioural: brands keep doing it, and the cadence has risen. Our tracker shows launches clustered after 2020, and the 2024 Diwali season alone saw India-only pieces from Valentino, Louboutin and Jimmy Choo.</w:t>
      </w:r>
    </w:p>
    <w:p>
      <w:pPr>
        <w:spacing w:after="40" w:before="120"/>
      </w:pPr>
      <w:r>
        <w:rPr>
          <w:b/>
          <w:bCs/>
          <w:color w:val="1F3864"/>
        </w:rPr>
        <w:t xml:space="preserve">Exhibit 3: </w:t>
      </w:r>
      <w:r>
        <w:rPr>
          <w:b/>
          <w:bCs/>
        </w:rPr>
        <w:t xml:space="preserve">India-exclusive launches by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A9DB" w:sz="6"/>
              <w:left w:val="single" w:color="8EA9DB" w:sz="6"/>
              <w:bottom w:val="single" w:color="8EA9DB" w:sz="6"/>
              <w:right w:val="single" w:color="8EA9DB" w:sz="6"/>
            </w:tcBorders>
            <w:shd w:fill="EAF0F8" w:color="auto" w:val="clear"/>
            <w:tcMar>
              <w:top w:type="dxa" w:w="100"/>
              <w:left w:type="dxa" w:w="140"/>
              <w:bottom w:type="dxa" w:w="100"/>
              <w:right w:type="dxa" w:w="140"/>
            </w:tcMar>
          </w:tcPr>
          <w:p>
            <w:pPr>
              <w:spacing w:after="60"/>
            </w:pPr>
            <w:r>
              <w:rPr>
                <w:b/>
                <w:bCs/>
                <w:color w:val="1F3864"/>
                <w:sz w:val="18"/>
                <w:szCs w:val="18"/>
              </w:rPr>
              <w:t xml:space="preserve">[Placeholder] Bar chart built from the launch tracker in Section 2 (count by year, stacked by tier).</w:t>
            </w:r>
          </w:p>
        </w:tc>
      </w:tr>
    </w:tbl>
    <w:p>
      <w:pPr>
        <w:spacing w:after="160"/>
      </w:pPr>
      <w:r>
        <w:rPr>
          <w:i/>
          <w:iCs/>
          <w:color w:val="595959"/>
          <w:sz w:val="16"/>
          <w:szCs w:val="16"/>
        </w:rPr>
        <w:t xml:space="preserve">Source: Press coverage; Bernstein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227" w:sz="6"/>
              <w:left w:val="single" w:color="C9A227" w:sz="6"/>
              <w:bottom w:val="single" w:color="C9A227" w:sz="6"/>
              <w:right w:val="single" w:color="C9A227" w:sz="6"/>
            </w:tcBorders>
            <w:shd w:fill="FFF4D6" w:color="auto" w:val="clear"/>
            <w:tcMar>
              <w:top w:type="dxa" w:w="100"/>
              <w:left w:type="dxa" w:w="140"/>
              <w:bottom w:type="dxa" w:w="100"/>
              <w:right w:type="dxa" w:w="140"/>
            </w:tcMar>
          </w:tcPr>
          <w:p>
            <w:pPr>
              <w:spacing w:after="60"/>
            </w:pPr>
            <w:r>
              <w:rPr>
                <w:b/>
                <w:bCs/>
                <w:color w:val="1F3864"/>
                <w:sz w:val="18"/>
                <w:szCs w:val="18"/>
              </w:rPr>
              <w:t xml:space="preserve">DATA TO ADD</w:t>
            </w:r>
          </w:p>
          <w:p>
            <w:pPr>
              <w:pStyle w:val="ListParagraph"/>
              <w:numPr>
                <w:ilvl w:val="0"/>
                <w:numId w:val="2"/>
              </w:numPr>
              <w:spacing w:after="40"/>
            </w:pPr>
            <w:r>
              <w:rPr>
                <w:sz w:val="18"/>
                <w:szCs w:val="18"/>
              </w:rPr>
              <w:t xml:space="preserve">No public count exists. Extend the tracker using Business Standard, Mint, Vogue India and Elle India Diwali and wedding-season roundups (2019–2025)</w:t>
            </w:r>
          </w:p>
        </w:tc>
      </w:tr>
    </w:tbl>
    <w:p>
      <w:pPr>
        <w:spacing w:after="120"/>
      </w:pPr>
      <w:r>
        <w:t xml:space="preserve"/>
      </w:r>
    </w:p>
    <w:p>
      <w:pPr>
        <w:pStyle w:val="Heading1"/>
      </w:pPr>
      <w:r>
        <w:t xml:space="preserve">5. Sizing the apex: the top is not a footnote</w:t>
      </w:r>
    </w:p>
    <w:p>
      <w:pPr>
        <w:spacing w:after="120"/>
      </w:pPr>
      <w:r>
        <w:t xml:space="preserve">The conventional frame stops at India1 and treats it as the ceiling of what is investible. But India1 buys premium mass. The buyer of a ₹3.5 lakh mangalsutra from a Roman jeweller sits several rungs higher, in a group measured in thousands, not millions.</w:t>
      </w:r>
    </w:p>
    <w:p>
      <w:pPr>
        <w:spacing w:after="120"/>
      </w:pPr>
      <w:r>
        <w:t xml:space="preserve">Knight Frank estimates India had 19,877 UHNWIs (net worth above US$30mn) in early 2026, up 63% from ~12,000 in 2021, with a further 27% rise to ~25,000 expected by 2031. Billionaires are forecast to rise from 207 to 313 over the same period.</w:t>
      </w:r>
    </w:p>
    <w:p>
      <w:pPr>
        <w:spacing w:after="40" w:before="120"/>
      </w:pPr>
      <w:r>
        <w:rPr>
          <w:b/>
          <w:bCs/>
          <w:color w:val="1F3864"/>
        </w:rPr>
        <w:t xml:space="preserve">Exhibit 4: </w:t>
      </w:r>
      <w:r>
        <w:rPr>
          <w:b/>
          <w:bCs/>
        </w:rPr>
        <w:t xml:space="preserve">India consumer pyramid, zoomed into the 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A9DB" w:sz="6"/>
              <w:left w:val="single" w:color="8EA9DB" w:sz="6"/>
              <w:bottom w:val="single" w:color="8EA9DB" w:sz="6"/>
              <w:right w:val="single" w:color="8EA9DB" w:sz="6"/>
            </w:tcBorders>
            <w:shd w:fill="EAF0F8" w:color="auto" w:val="clear"/>
            <w:tcMar>
              <w:top w:type="dxa" w:w="100"/>
              <w:left w:type="dxa" w:w="140"/>
              <w:bottom w:type="dxa" w:w="100"/>
              <w:right w:type="dxa" w:w="140"/>
            </w:tcMar>
          </w:tcPr>
          <w:p>
            <w:pPr>
              <w:spacing w:after="60"/>
            </w:pPr>
            <w:r>
              <w:rPr>
                <w:b/>
                <w:bCs/>
                <w:color w:val="1F3864"/>
                <w:sz w:val="18"/>
                <w:szCs w:val="18"/>
              </w:rPr>
              <w:t xml:space="preserve">[Placeholder] Funnel: India1 households → HNIs → UHNWIs → billionaires, with share of luxury spend at each tier and example products mapped to the tier that can afford them.</w:t>
            </w:r>
          </w:p>
        </w:tc>
      </w:tr>
    </w:tbl>
    <w:p>
      <w:pPr>
        <w:spacing w:after="160"/>
      </w:pPr>
      <w:r>
        <w:rPr>
          <w:i/>
          <w:iCs/>
          <w:color w:val="595959"/>
          <w:sz w:val="16"/>
          <w:szCs w:val="16"/>
        </w:rPr>
        <w:t xml:space="preserve">Source: Redseer (2025); Knight Frank Wealth Report 2026; Blume; Bernstein analysis</w:t>
      </w:r>
    </w:p>
    <w:p>
      <w:pPr>
        <w:spacing w:after="120"/>
      </w:pPr>
      <w:r>
        <w:rPr>
          <w:b/>
          <w:bCs/>
        </w:rPr>
        <w:t xml:space="preserve">The arithmetic we want to show. </w:t>
      </w:r>
      <w:r>
        <w:t xml:space="preserve">Combining Redseer’s market size with Knight Frank’s population counts gives an implied luxury spend per apex household. A few thousand households spending low-crore amounts a year adds up to a market that supports multi-brand platforms, JV stores and dedicated product lines on its own.</w:t>
      </w:r>
    </w:p>
    <w:p>
      <w:pPr>
        <w:spacing w:after="120"/>
      </w:pPr>
      <w:r>
        <w:rPr>
          <w:b/>
          <w:bCs/>
        </w:rPr>
        <w:t xml:space="preserve">Two adjustments that make the pie bigger. </w:t>
      </w:r>
      <w:r>
        <w:t xml:space="preserve">Offshore leakage: a meaningful share of Indian luxury spend happens in Dubai, London and Singapore, so the Indian luxury consumer is larger than the India luxury market. Geographic concentration: the apex clusters in a few cities, so the market is more addressable per rupee of capex than its size implies.</w:t>
      </w:r>
    </w:p>
    <w:p>
      <w:pPr>
        <w:spacing w:after="40" w:before="120"/>
      </w:pPr>
      <w:r>
        <w:rPr>
          <w:b/>
          <w:bCs/>
          <w:color w:val="1F3864"/>
        </w:rPr>
        <w:t xml:space="preserve">Exhibit 5: </w:t>
      </w:r>
      <w:r>
        <w:rPr>
          <w:b/>
          <w:bCs/>
        </w:rPr>
        <w:t xml:space="preserve">Implied luxury spend per apex household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A9DB" w:sz="6"/>
              <w:left w:val="single" w:color="8EA9DB" w:sz="6"/>
              <w:bottom w:val="single" w:color="8EA9DB" w:sz="6"/>
              <w:right w:val="single" w:color="8EA9DB" w:sz="6"/>
            </w:tcBorders>
            <w:shd w:fill="EAF0F8" w:color="auto" w:val="clear"/>
            <w:tcMar>
              <w:top w:type="dxa" w:w="100"/>
              <w:left w:type="dxa" w:w="140"/>
              <w:bottom w:type="dxa" w:w="100"/>
              <w:right w:type="dxa" w:w="140"/>
            </w:tcMar>
          </w:tcPr>
          <w:p>
            <w:pPr>
              <w:spacing w:after="60"/>
            </w:pPr>
            <w:r>
              <w:rPr>
                <w:b/>
                <w:bCs/>
                <w:color w:val="1F3864"/>
                <w:sz w:val="18"/>
                <w:szCs w:val="18"/>
              </w:rPr>
              <w:t xml:space="preserve">[Placeholder] Bridge: market size ÷ addressable HNI/UHNWI households, with sensitivity to offshore leakage share.</w:t>
            </w:r>
          </w:p>
        </w:tc>
      </w:tr>
    </w:tbl>
    <w:p>
      <w:pPr>
        <w:spacing w:after="160"/>
      </w:pPr>
      <w:r>
        <w:rPr>
          <w:i/>
          <w:iCs/>
          <w:color w:val="595959"/>
          <w:sz w:val="16"/>
          <w:szCs w:val="16"/>
        </w:rPr>
        <w:t xml:space="preserve">Source: Redseer (2025); Knight Frank; Bernstein estimates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227" w:sz="6"/>
              <w:left w:val="single" w:color="C9A227" w:sz="6"/>
              <w:bottom w:val="single" w:color="C9A227" w:sz="6"/>
              <w:right w:val="single" w:color="C9A227" w:sz="6"/>
            </w:tcBorders>
            <w:shd w:fill="FFF4D6" w:color="auto" w:val="clear"/>
            <w:tcMar>
              <w:top w:type="dxa" w:w="100"/>
              <w:left w:type="dxa" w:w="140"/>
              <w:bottom w:type="dxa" w:w="100"/>
              <w:right w:type="dxa" w:w="140"/>
            </w:tcMar>
          </w:tcPr>
          <w:p>
            <w:pPr>
              <w:spacing w:after="60"/>
            </w:pPr>
            <w:r>
              <w:rPr>
                <w:b/>
                <w:bCs/>
                <w:color w:val="1F3864"/>
                <w:sz w:val="18"/>
                <w:szCs w:val="18"/>
              </w:rPr>
              <w:t xml:space="preserve">DATA TO ADD</w:t>
            </w:r>
          </w:p>
          <w:p>
            <w:pPr>
              <w:pStyle w:val="ListParagraph"/>
              <w:numPr>
                <w:ilvl w:val="0"/>
                <w:numId w:val="2"/>
              </w:numPr>
              <w:spacing w:after="40"/>
            </w:pPr>
            <w:r>
              <w:rPr>
                <w:sz w:val="18"/>
                <w:szCs w:val="18"/>
              </w:rPr>
              <w:t xml:space="preserve">Redseer: market size, CAGR, category split, buyer cohorts, city concentration (attribute to Redseer explicitly)</w:t>
            </w:r>
          </w:p>
          <w:p>
            <w:pPr>
              <w:pStyle w:val="ListParagraph"/>
              <w:numPr>
                <w:ilvl w:val="0"/>
                <w:numId w:val="2"/>
              </w:numPr>
              <w:spacing w:after="40"/>
            </w:pPr>
            <w:r>
              <w:rPr>
                <w:sz w:val="18"/>
                <w:szCs w:val="18"/>
              </w:rPr>
              <w:t xml:space="preserve">Knight Frank: HNI count (US$1mn+) alongside UHNWI and billionaire figures</w:t>
            </w:r>
          </w:p>
          <w:p>
            <w:pPr>
              <w:pStyle w:val="ListParagraph"/>
              <w:numPr>
                <w:ilvl w:val="0"/>
                <w:numId w:val="2"/>
              </w:numPr>
              <w:spacing w:after="40"/>
            </w:pPr>
            <w:r>
              <w:rPr>
                <w:sz w:val="18"/>
                <w:szCs w:val="18"/>
              </w:rPr>
              <w:t xml:space="preserve">Offshore luxury spend share</w:t>
            </w:r>
          </w:p>
          <w:p>
            <w:pPr>
              <w:pStyle w:val="ListParagraph"/>
              <w:numPr>
                <w:ilvl w:val="0"/>
                <w:numId w:val="2"/>
              </w:numPr>
              <w:spacing w:after="40"/>
            </w:pPr>
            <w:r>
              <w:rPr>
                <w:sz w:val="18"/>
                <w:szCs w:val="18"/>
              </w:rPr>
              <w:t xml:space="preserve">Optional: top-fractile MPCE from HCES 2023–24 (links to K-shaped work)</w:t>
            </w:r>
          </w:p>
        </w:tc>
      </w:tr>
    </w:tbl>
    <w:p>
      <w:pPr>
        <w:spacing w:after="120"/>
      </w:pPr>
      <w:r>
        <w:t xml:space="preserve"/>
      </w:r>
    </w:p>
    <w:p>
      <w:pPr>
        <w:pStyle w:val="Heading1"/>
      </w:pPr>
      <w:r>
        <w:t xml:space="preserve">6. Read-through for our coverage</w:t>
      </w:r>
    </w:p>
    <w:p>
      <w:pPr>
        <w:spacing w:after="120"/>
      </w:pPr>
      <w:r>
        <w:t xml:space="preserve">The best-placed companies are not the maisons but the gatekeepers of the ladder’s middle rung: those who control curated luxury doors, digital luxury storefronts and the brand relationships that go with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7"/>
                <w:szCs w:val="17"/>
              </w:rPr>
              <w:t xml:space="preserve">Company</w:t>
            </w:r>
          </w:p>
        </w:tc>
        <w:tc>
          <w:tcPr>
            <w:tcW w:type="dxa" w:w="366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7"/>
                <w:szCs w:val="17"/>
              </w:rPr>
              <w:t xml:space="preserve">Exposure to the theme</w:t>
            </w:r>
          </w:p>
        </w:tc>
        <w:tc>
          <w:tcPr>
            <w:tcW w:type="dxa" w:w="366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7"/>
                <w:szCs w:val="17"/>
              </w:rPr>
              <w:t xml:space="preserve">What to watch</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Nykaa</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Nykaa Luxe stores (largest: 5,500 sq ft, 80+ brands, Delhi); Nykaa Fashion LUXE (1,500+ international brands, 500+ Indian designers, Revolve partnership)</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Luxe store count and throughput; prestige share of GMV; exclusive brand launches</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Titan</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Helios Luxe; Montblanc India JV (49%); Tanishq in bridal jewellery, the Formal tier’s core category</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Luxury watch mix in Helios; FY25–26 watch margin gains were largely a wearables mix effect, so luxury mix is the structural lever</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ABFRL</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Galeries Lafayette partnership (department stores + e-commerce); The Collective</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17"/>
                <w:szCs w:val="17"/>
              </w:rPr>
              <w:t xml:space="preserve">Opening timeline and brand roster; confirm post-demerger entity</w:t>
            </w:r>
          </w:p>
        </w:tc>
      </w:tr>
    </w:tbl>
    <w:p>
      <w:pPr>
        <w:spacing w:after="120"/>
      </w:pPr>
      <w:r>
        <w:t xml:space="preserve"/>
      </w:r>
    </w:p>
    <w:p>
      <w:pPr>
        <w:pStyle w:val="Heading2"/>
      </w:pPr>
      <w:r>
        <w:t xml:space="preserve">Other names relevant to the theme (not all covered)</w:t>
      </w:r>
    </w:p>
    <w:p>
      <w:pPr>
        <w:pStyle w:val="ListParagraph"/>
        <w:numPr>
          <w:ilvl w:val="0"/>
          <w:numId w:val="2"/>
        </w:numPr>
        <w:spacing w:after="60"/>
      </w:pPr>
      <w:r>
        <w:rPr>
          <w:b/>
          <w:bCs/>
        </w:rPr>
        <w:t xml:space="preserve">Ethos: </w:t>
      </w:r>
      <w:r>
        <w:t xml:space="preserve">largest listed luxury watch retailer; the cleanest listed comparator for Helios Luxe.</w:t>
      </w:r>
    </w:p>
    <w:p>
      <w:pPr>
        <w:pStyle w:val="ListParagraph"/>
        <w:numPr>
          <w:ilvl w:val="0"/>
          <w:numId w:val="2"/>
        </w:numPr>
        <w:spacing w:after="60"/>
      </w:pPr>
      <w:r>
        <w:rPr>
          <w:b/>
          <w:bCs/>
        </w:rPr>
        <w:t xml:space="preserve">Reliance Brands / Jio World Plaza: </w:t>
      </w:r>
      <w:r>
        <w:t xml:space="preserve">the largest JV partner for global luxury and owner of India’s flagship luxury mall; the incumbent at rung 3.</w:t>
      </w:r>
    </w:p>
    <w:p>
      <w:pPr>
        <w:pStyle w:val="ListParagraph"/>
        <w:numPr>
          <w:ilvl w:val="0"/>
          <w:numId w:val="2"/>
        </w:numPr>
        <w:spacing w:after="60"/>
      </w:pPr>
      <w:r>
        <w:rPr>
          <w:b/>
          <w:bCs/>
        </w:rPr>
        <w:t xml:space="preserve">Tata CLiQ Luxury, Ajio Luxe: </w:t>
      </w:r>
      <w:r>
        <w:t xml:space="preserve">online luxury multi-brand competitors to Nykaa Fashion LUXE.</w:t>
      </w:r>
    </w:p>
    <w:p>
      <w:pPr>
        <w:pStyle w:val="ListParagraph"/>
        <w:numPr>
          <w:ilvl w:val="0"/>
          <w:numId w:val="2"/>
        </w:numPr>
        <w:spacing w:after="60"/>
      </w:pPr>
      <w:r>
        <w:rPr>
          <w:b/>
          <w:bCs/>
        </w:rPr>
        <w:t xml:space="preserve">DLF, Phoenix Mills: </w:t>
      </w:r>
      <w:r>
        <w:t xml:space="preserve">owners of the Grade-A space that constrains flagships.</w:t>
      </w:r>
    </w:p>
    <w:p>
      <w:pPr>
        <w:pStyle w:val="ListParagraph"/>
        <w:numPr>
          <w:ilvl w:val="0"/>
          <w:numId w:val="2"/>
        </w:numPr>
        <w:spacing w:after="60"/>
      </w:pPr>
      <w:r>
        <w:rPr>
          <w:b/>
          <w:bCs/>
        </w:rPr>
        <w:t xml:space="preserve">Kalyan Jewellers, Senco: </w:t>
      </w:r>
      <w:r>
        <w:t xml:space="preserve">bridal jewellery peers for the Formal-tier read-through.</w:t>
      </w:r>
    </w:p>
    <w:p>
      <w:pPr>
        <w:pStyle w:val="ListParagraph"/>
        <w:numPr>
          <w:ilvl w:val="0"/>
          <w:numId w:val="2"/>
        </w:numPr>
        <w:spacing w:after="60"/>
      </w:pPr>
      <w:r>
        <w:rPr>
          <w:b/>
          <w:bCs/>
        </w:rPr>
        <w:t xml:space="preserve">Global: </w:t>
      </w:r>
      <w:r>
        <w:t xml:space="preserve">LVMH, Richemont, Kering, Hermès; India as an under-allocated growth market, capped by infrastructure rather than demand.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227" w:sz="6"/>
              <w:left w:val="single" w:color="C9A227" w:sz="6"/>
              <w:bottom w:val="single" w:color="C9A227" w:sz="6"/>
              <w:right w:val="single" w:color="C9A227" w:sz="6"/>
            </w:tcBorders>
            <w:shd w:fill="FFF4D6" w:color="auto" w:val="clear"/>
            <w:tcMar>
              <w:top w:type="dxa" w:w="100"/>
              <w:left w:type="dxa" w:w="140"/>
              <w:bottom w:type="dxa" w:w="100"/>
              <w:right w:type="dxa" w:w="140"/>
            </w:tcMar>
          </w:tcPr>
          <w:p>
            <w:pPr>
              <w:spacing w:after="60"/>
            </w:pPr>
            <w:r>
              <w:rPr>
                <w:b/>
                <w:bCs/>
                <w:color w:val="1F3864"/>
                <w:sz w:val="18"/>
                <w:szCs w:val="18"/>
              </w:rPr>
              <w:t xml:space="preserve">DATA TO ADD</w:t>
            </w:r>
          </w:p>
          <w:p>
            <w:pPr>
              <w:pStyle w:val="ListParagraph"/>
              <w:numPr>
                <w:ilvl w:val="0"/>
                <w:numId w:val="2"/>
              </w:numPr>
              <w:spacing w:after="40"/>
            </w:pPr>
            <w:r>
              <w:rPr>
                <w:sz w:val="18"/>
                <w:szCs w:val="18"/>
              </w:rPr>
              <w:t xml:space="preserve">Nykaa: Luxe store count, prestige share of BPC GMV, Nykaa Fashion LUXE metrics</w:t>
            </w:r>
          </w:p>
          <w:p>
            <w:pPr>
              <w:pStyle w:val="ListParagraph"/>
              <w:numPr>
                <w:ilvl w:val="0"/>
                <w:numId w:val="2"/>
              </w:numPr>
              <w:spacing w:after="40"/>
            </w:pPr>
            <w:r>
              <w:rPr>
                <w:sz w:val="18"/>
                <w:szCs w:val="18"/>
              </w:rPr>
              <w:t xml:space="preserve">Titan: Helios Luxe store count, luxury share of watch revenue</w:t>
            </w:r>
          </w:p>
          <w:p>
            <w:pPr>
              <w:pStyle w:val="ListParagraph"/>
              <w:numPr>
                <w:ilvl w:val="0"/>
                <w:numId w:val="2"/>
              </w:numPr>
              <w:spacing w:after="40"/>
            </w:pPr>
            <w:r>
              <w:rPr>
                <w:sz w:val="18"/>
                <w:szCs w:val="18"/>
              </w:rPr>
              <w:t xml:space="preserve">ABFRL: Galeries Lafayette timeline and capex</w:t>
            </w:r>
          </w:p>
          <w:p>
            <w:pPr>
              <w:pStyle w:val="ListParagraph"/>
              <w:numPr>
                <w:ilvl w:val="0"/>
                <w:numId w:val="2"/>
              </w:numPr>
              <w:spacing w:after="40"/>
            </w:pPr>
            <w:r>
              <w:rPr>
                <w:sz w:val="18"/>
                <w:szCs w:val="18"/>
              </w:rPr>
              <w:t xml:space="preserve">Ethos: store count, brand roster, growth</w:t>
            </w:r>
          </w:p>
        </w:tc>
      </w:tr>
    </w:tbl>
    <w:p>
      <w:pPr>
        <w:spacing w:after="120"/>
      </w:pPr>
      <w:r>
        <w:t xml:space="preserve"/>
      </w:r>
    </w:p>
    <w:p>
      <w:pPr>
        <w:pStyle w:val="Heading1"/>
      </w:pPr>
      <w:r>
        <w:t xml:space="preserve">7. What to monitor</w:t>
      </w:r>
    </w:p>
    <w:p>
      <w:pPr>
        <w:pStyle w:val="ListParagraph"/>
        <w:numPr>
          <w:ilvl w:val="0"/>
          <w:numId w:val="2"/>
        </w:numPr>
        <w:spacing w:after="60"/>
      </w:pPr>
      <w:r>
        <w:t xml:space="preserve">Cadence of India-exclusive launches (our tracker), as a 2–3 year lead indicator of store and JV commitments</w:t>
      </w:r>
    </w:p>
    <w:p>
      <w:pPr>
        <w:pStyle w:val="ListParagraph"/>
        <w:numPr>
          <w:ilvl w:val="0"/>
          <w:numId w:val="2"/>
        </w:numPr>
        <w:spacing w:after="60"/>
      </w:pPr>
      <w:r>
        <w:t xml:space="preserve">Movement of named brands up the ladder (multi-brand → own store)</w:t>
      </w:r>
    </w:p>
    <w:p>
      <w:pPr>
        <w:pStyle w:val="ListParagraph"/>
        <w:numPr>
          <w:ilvl w:val="0"/>
          <w:numId w:val="2"/>
        </w:numPr>
        <w:spacing w:after="60"/>
      </w:pPr>
      <w:r>
        <w:t xml:space="preserve">Grade-A luxury mall supply additions in Mumbai, Delhi NCR and Bengaluru</w:t>
      </w:r>
    </w:p>
    <w:p>
      <w:pPr>
        <w:pStyle w:val="ListParagraph"/>
        <w:numPr>
          <w:ilvl w:val="0"/>
          <w:numId w:val="2"/>
        </w:numPr>
        <w:spacing w:after="60"/>
      </w:pPr>
      <w:r>
        <w:t xml:space="preserve">UHNWI growth and any narrowing of offshore spend leakage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4"/>
        <w:szCs w:val="14"/>
      </w:rPr>
      <w:t xml:space="preserve">Draft — not for distribution  |  </w:t>
    </w:r>
    <w:r>
      <w:rPr>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b/>
      <w:bCs/>
      <w:color w:val="1F3864"/>
      <w:sz w:val="26"/>
      <w:szCs w:val="26"/>
    </w:rPr>
  </w:style>
  <w:style w:type="paragraph" w:styleId="Heading2">
    <w:name w:val="Heading 2"/>
    <w:basedOn w:val="Normal"/>
    <w:next w:val="Normal"/>
    <w:qFormat/>
    <w:pPr>
      <w:spacing w:after="100" w:before="180"/>
      <w:outlineLvl w:val="1"/>
    </w:pPr>
    <w:rPr>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2026-09-21T07:20:31.589Z</dcterms:created>
  <dcterms:modified xsi:type="dcterms:W3CDTF">2026-09-21T07:20:31.590Z</dcterms:modified>
</cp:coreProperties>
</file>

<file path=docProps/custom.xml><?xml version="1.0" encoding="utf-8"?>
<Properties xmlns="http://schemas.openxmlformats.org/officeDocument/2006/custom-properties" xmlns:vt="http://schemas.openxmlformats.org/officeDocument/2006/docPropsVTypes"/>
</file>