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2FFA" w14:textId="77777777" w:rsidR="00CD7C3C" w:rsidRDefault="00CD7C3C" w:rsidP="00CD7C3C">
      <w:pPr>
        <w:pStyle w:val="font-claude-response-body"/>
      </w:pPr>
      <w:r>
        <w:rPr>
          <w:rStyle w:val="Strong"/>
          <w:rFonts w:eastAsiaTheme="majorEastAsia"/>
        </w:rPr>
        <w:t>Section 1: The Right Countries — Large consumer wallets, growing well</w:t>
      </w:r>
      <w:r>
        <w:t xml:space="preserve"> (final)</w:t>
      </w:r>
    </w:p>
    <w:p w14:paraId="6D135FD6" w14:textId="77777777" w:rsidR="00CD7C3C" w:rsidRDefault="00CD7C3C" w:rsidP="00CD7C3C">
      <w:pPr>
        <w:pStyle w:val="font-claude-response-body"/>
      </w:pPr>
      <w:r>
        <w:t>The first pillar of our thesis is Americana's markets. We believe the GCC offers a rare combination of rich-world incomes and emerging-market consumer growth, and that this combination is structural. Three data points support this view: (a) household consumption is outgrowing GDP in nearly every Americana market (b) consumption is still a small share of these economies, leaving a long runway for (a) to continue (c) non-oil diversification and government-funded tourism add new demand every year. We take these in turn.</w:t>
      </w:r>
    </w:p>
    <w:p w14:paraId="1B5082AA" w14:textId="77777777" w:rsidR="00CD7C3C" w:rsidRDefault="00CD7C3C" w:rsidP="00CD7C3C">
      <w:pPr>
        <w:pStyle w:val="font-claude-response-body"/>
      </w:pPr>
      <w:r>
        <w:rPr>
          <w:rStyle w:val="Strong"/>
          <w:rFonts w:eastAsiaTheme="majorEastAsia"/>
        </w:rPr>
        <w:t>Consumption is outgrowing GDP, nearly everywhere.</w:t>
      </w:r>
      <w:r>
        <w:t xml:space="preserve"> Over 2021-24, household consumption grew faster than GDP in 8 of Americana's 9 large markets (Exhibit 1). UAE consumption grew 12.0% p.a. vs. 5.1% GDP growth. Saudi was 5.9% vs. 5.4%, with Kazakhstan, Bahrain, Egypt, Oman, Iraq and Kuwait showing the same gap. This matters because Americana's revenue follows wallets, not barrels. Oil price shocks hit GDP, while the consumer keeps eating.</w:t>
      </w:r>
    </w:p>
    <w:p w14:paraId="7AB17937" w14:textId="77777777" w:rsidR="00CD7C3C" w:rsidRDefault="00CD7C3C" w:rsidP="00CD7C3C">
      <w:pPr>
        <w:pStyle w:val="font-claude-response-body"/>
      </w:pPr>
      <w:r>
        <w:rPr>
          <w:rStyle w:val="Strong"/>
          <w:rFonts w:eastAsiaTheme="majorEastAsia"/>
        </w:rPr>
        <w:t>High incomes, low consumption share. That is the headroom.</w:t>
      </w:r>
      <w:r>
        <w:t xml:space="preserve"> GCC consumers already earn at rich-world levels, with UAE GDP/capita at ~$50k in 2024 and Qatar at ~$76k vs. ~$86k for the US (Exhibit 2). However, private consumption is only 48% of GDP in Saudi and ~45% in Kuwait, Oman and Bahrain, vs. 69% in the US and 62% in the UK (Exhibit 3). Oil inflates the denominator. As oil's weight falls, the consumption share should drift toward rich-world levels, allowing consumption to outgrow GDP for years without any heroic assumptions.</w:t>
      </w:r>
    </w:p>
    <w:p w14:paraId="05841B6F" w14:textId="77777777" w:rsidR="00CD7C3C" w:rsidRDefault="00CD7C3C" w:rsidP="00CD7C3C">
      <w:pPr>
        <w:pStyle w:val="font-claude-response-body"/>
      </w:pPr>
      <w:r>
        <w:rPr>
          <w:rStyle w:val="Strong"/>
          <w:rFonts w:eastAsiaTheme="majorEastAsia"/>
        </w:rPr>
        <w:t>Non-oil diversification is the engine, and it is already delivering.</w:t>
      </w:r>
      <w:r>
        <w:t xml:space="preserve"> Non-oil activities went from 45% of Saudi real GDP in 2015 to 55% in 2025, with Vision 2030 targeting 65% (Exhibit 4). The stress tests have already run. In 2023, OPEC cuts held Saudi GDP growth to 0.5% while non-oil grew 7.0%. In 2024, the split was 2.7% vs. 6.0%. The UAE shows the same pattern (+5.0% total vs. +6.8% non-oil in 2025) and Kuwait is the extreme case, with total GDP shrinking in 2023 and 2024 while non-oil kept growing (Exhibit 5). Americana sells into the non-oil economy, which has not had a bad year since Covid.</w:t>
      </w:r>
    </w:p>
    <w:p w14:paraId="381D2CE5" w14:textId="77777777" w:rsidR="00CD7C3C" w:rsidRDefault="00CD7C3C" w:rsidP="00CD7C3C">
      <w:pPr>
        <w:pStyle w:val="font-claude-response-body"/>
      </w:pPr>
      <w:r>
        <w:rPr>
          <w:rStyle w:val="Strong"/>
          <w:rFonts w:eastAsiaTheme="majorEastAsia"/>
        </w:rPr>
        <w:t>Tourism adds a second wallet on top of the resident one.</w:t>
      </w:r>
      <w:r>
        <w:t xml:space="preserve"> Saudi hosted 123 Mn tourists in 2025 (vs. 65 Mn in 2019) with a 150 Mn target by 2030. Foreign tourist spend reached ~$47 Bn in 2025 (~3.7% of GDP), up from ~$28 Bn in 2019 (Exhibit 6). The UAE is further ahead, with Dubai alone drawing 20 Mn international visitors in 2025 and UAE-wide foreign tourist spend at ~$62 Bn, ~11% of GDP (Exhibit 7). None of this demand appears in household consumption data, yet it lands in the same malls and food courts where Americana operates.</w:t>
      </w:r>
    </w:p>
    <w:p w14:paraId="5250102D" w14:textId="77777777" w:rsidR="00CD7C3C" w:rsidRDefault="00CD7C3C" w:rsidP="00CD7C3C">
      <w:pPr>
        <w:pStyle w:val="font-claude-response-body"/>
      </w:pPr>
      <w:r>
        <w:rPr>
          <w:rStyle w:val="Strong"/>
          <w:rFonts w:eastAsiaTheme="majorEastAsia"/>
        </w:rPr>
        <w:t>Key risk: a sustained oil crash.</w:t>
      </w:r>
      <w:r>
        <w:t xml:space="preserve"> The bear case for this pillar is an oil price collapse that forces fiscal retrenchment and cuts the state spending that seeds the non-oil economy. We would note that the stress test has effectively been run. The 2023-24 production cuts were a meaningful oil revenue shock, and non-oil growth held at 6-7% through it. Americana's footprint also diversifies the risk, as Egypt (84% consumption share of GDP) and Kazakhstan respond to different cycles than the GCC. The thesis fails only if non-oil growth and oil revenue re-couple, and four years of data say they have not.</w:t>
      </w:r>
    </w:p>
    <w:p w14:paraId="64897705" w14:textId="77777777" w:rsidR="00CD7C3C" w:rsidRDefault="00CD7C3C" w:rsidP="00CD7C3C">
      <w:pPr>
        <w:pStyle w:val="font-claude-response-body"/>
      </w:pPr>
      <w:r>
        <w:rPr>
          <w:rStyle w:val="Strong"/>
          <w:rFonts w:eastAsiaTheme="majorEastAsia"/>
        </w:rPr>
        <w:t>Investment implications.</w:t>
      </w:r>
      <w:r>
        <w:t xml:space="preserve"> Americana's markets offer consumption growth ahead of GDP, a rising consumer share of the economy and a growing tourist wallet on top. We believe this </w:t>
      </w:r>
      <w:r>
        <w:lastRenderedPageBreak/>
        <w:t>backdrop can support volume growth for QSR operators for years without requiring market share gains. Whether the restaurant supply exists to capture this demand is the subject of Section 2.</w:t>
      </w:r>
    </w:p>
    <w:p w14:paraId="6B7CF4F2" w14:textId="77777777" w:rsidR="00D90ACD" w:rsidRDefault="00D90ACD"/>
    <w:sectPr w:rsidR="00D90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ACD"/>
    <w:rsid w:val="00554EAE"/>
    <w:rsid w:val="00CD7C3C"/>
    <w:rsid w:val="00D90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47AF8-7B30-4E88-AB57-778D41BA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ACD"/>
    <w:rPr>
      <w:rFonts w:eastAsiaTheme="majorEastAsia" w:cstheme="majorBidi"/>
      <w:color w:val="272727" w:themeColor="text1" w:themeTint="D8"/>
    </w:rPr>
  </w:style>
  <w:style w:type="paragraph" w:styleId="Title">
    <w:name w:val="Title"/>
    <w:basedOn w:val="Normal"/>
    <w:next w:val="Normal"/>
    <w:link w:val="TitleChar"/>
    <w:uiPriority w:val="10"/>
    <w:qFormat/>
    <w:rsid w:val="00D90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ACD"/>
    <w:pPr>
      <w:spacing w:before="160"/>
      <w:jc w:val="center"/>
    </w:pPr>
    <w:rPr>
      <w:i/>
      <w:iCs/>
      <w:color w:val="404040" w:themeColor="text1" w:themeTint="BF"/>
    </w:rPr>
  </w:style>
  <w:style w:type="character" w:customStyle="1" w:styleId="QuoteChar">
    <w:name w:val="Quote Char"/>
    <w:basedOn w:val="DefaultParagraphFont"/>
    <w:link w:val="Quote"/>
    <w:uiPriority w:val="29"/>
    <w:rsid w:val="00D90ACD"/>
    <w:rPr>
      <w:i/>
      <w:iCs/>
      <w:color w:val="404040" w:themeColor="text1" w:themeTint="BF"/>
    </w:rPr>
  </w:style>
  <w:style w:type="paragraph" w:styleId="ListParagraph">
    <w:name w:val="List Paragraph"/>
    <w:basedOn w:val="Normal"/>
    <w:uiPriority w:val="34"/>
    <w:qFormat/>
    <w:rsid w:val="00D90ACD"/>
    <w:pPr>
      <w:ind w:left="720"/>
      <w:contextualSpacing/>
    </w:pPr>
  </w:style>
  <w:style w:type="character" w:styleId="IntenseEmphasis">
    <w:name w:val="Intense Emphasis"/>
    <w:basedOn w:val="DefaultParagraphFont"/>
    <w:uiPriority w:val="21"/>
    <w:qFormat/>
    <w:rsid w:val="00D90ACD"/>
    <w:rPr>
      <w:i/>
      <w:iCs/>
      <w:color w:val="2F5496" w:themeColor="accent1" w:themeShade="BF"/>
    </w:rPr>
  </w:style>
  <w:style w:type="paragraph" w:styleId="IntenseQuote">
    <w:name w:val="Intense Quote"/>
    <w:basedOn w:val="Normal"/>
    <w:next w:val="Normal"/>
    <w:link w:val="IntenseQuoteChar"/>
    <w:uiPriority w:val="30"/>
    <w:qFormat/>
    <w:rsid w:val="00D90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ACD"/>
    <w:rPr>
      <w:i/>
      <w:iCs/>
      <w:color w:val="2F5496" w:themeColor="accent1" w:themeShade="BF"/>
    </w:rPr>
  </w:style>
  <w:style w:type="character" w:styleId="IntenseReference">
    <w:name w:val="Intense Reference"/>
    <w:basedOn w:val="DefaultParagraphFont"/>
    <w:uiPriority w:val="32"/>
    <w:qFormat/>
    <w:rsid w:val="00D90ACD"/>
    <w:rPr>
      <w:b/>
      <w:bCs/>
      <w:smallCaps/>
      <w:color w:val="2F5496" w:themeColor="accent1" w:themeShade="BF"/>
      <w:spacing w:val="5"/>
    </w:rPr>
  </w:style>
  <w:style w:type="paragraph" w:customStyle="1" w:styleId="font-claude-response-body">
    <w:name w:val="font-claude-response-body"/>
    <w:basedOn w:val="Normal"/>
    <w:rsid w:val="00CD7C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D7C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166_Dhruv Luthra</dc:creator>
  <cp:keywords/>
  <dc:description/>
  <cp:lastModifiedBy>166_Dhruv Luthra</cp:lastModifiedBy>
  <cp:revision>2</cp:revision>
  <dcterms:created xsi:type="dcterms:W3CDTF">2026-08-18T07:26:00Z</dcterms:created>
  <dcterms:modified xsi:type="dcterms:W3CDTF">2026-08-18T07:26:00Z</dcterms:modified>
</cp:coreProperties>
</file>