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4324C"/>
          <w:sz w:val="34"/>
          <w:szCs w:val="34"/>
        </w:rPr>
        <w:t xml:space="preserve">AMERICANA RESTAURANTS (AMR.AD / 6015.SE)</w:t>
      </w:r>
    </w:p>
    <w:p>
      <w:pPr>
        <w:spacing w:after="60"/>
      </w:pPr>
      <w:r>
        <w:rPr>
          <w:rFonts w:ascii="Arial" w:cs="Arial" w:eastAsia="Arial" w:hAnsi="Arial"/>
          <w:b/>
          <w:bCs/>
          <w:color w:val="1C7293"/>
          <w:sz w:val="25"/>
          <w:szCs w:val="25"/>
        </w:rPr>
        <w:t xml:space="preserve">Initiating at Outperform, TP SAR 3.0 (AED 2.9) — The boycott discount has outlived the boycott</w:t>
      </w:r>
    </w:p>
    <w:p>
      <w:pPr>
        <w:pBdr>
          <w:bottom w:val="single" w:color="14324C" w:sz="8"/>
        </w:pBdr>
        <w:spacing w:after="240"/>
      </w:pPr>
      <w:r>
        <w:rPr>
          <w:rFonts w:ascii="Arial" w:cs="Arial" w:eastAsia="Arial" w:hAnsi="Arial"/>
          <w:i/>
          <w:iCs/>
          <w:color w:val="6B7280"/>
          <w:sz w:val="18"/>
          <w:szCs w:val="18"/>
        </w:rPr>
        <w:t xml:space="preserve">Bernstein | Societe Generale Group — Draft for internal review, figures as noted per section</w:t>
      </w:r>
    </w:p>
    <w:p>
      <w:pPr>
        <w:pStyle w:val="Heading1"/>
        <w:spacing w:after="160" w:before="320"/>
      </w:pPr>
      <w:r>
        <w:rPr>
          <w:rFonts w:ascii="Arial" w:cs="Arial" w:eastAsia="Arial" w:hAnsi="Arial"/>
          <w:b/>
          <w:bCs/>
          <w:color w:val="14324C"/>
          <w:sz w:val="28"/>
          <w:szCs w:val="28"/>
        </w:rPr>
        <w:t xml:space="preserve">OVERVIEW</w:t>
      </w:r>
    </w:p>
    <w:p>
      <w:pPr>
        <w:pStyle w:val="Heading3"/>
        <w:spacing w:after="120" w:before="200"/>
      </w:pPr>
      <w:r>
        <w:rPr>
          <w:rFonts w:ascii="Arial" w:cs="Arial" w:eastAsia="Arial" w:hAnsi="Arial"/>
          <w:b/>
          <w:bCs/>
          <w:color w:val="1C7293"/>
          <w:sz w:val="22"/>
          <w:szCs w:val="22"/>
        </w:rPr>
        <w:t xml:space="preserve">Company Overview</w:t>
      </w:r>
    </w:p>
    <w:p>
      <w:pPr>
        <w:pStyle w:val="ListParagraph"/>
        <w:numPr>
          <w:ilvl w:val="0"/>
          <w:numId w:val="2"/>
        </w:numPr>
        <w:spacing w:after="120" w:line="276"/>
        <w:jc w:val="both"/>
      </w:pPr>
      <w:r>
        <w:rPr>
          <w:rFonts w:ascii="Arial" w:cs="Arial" w:eastAsia="Arial" w:hAnsi="Arial"/>
          <w:sz w:val="21"/>
          <w:szCs w:val="21"/>
        </w:rPr>
        <w:t xml:space="preserve">Americana is the largest QSR operator in the Middle East: 2,746 restaurants across 12 countries generating $2.7 Bn LTM revenue at a ~10% LTM PAT margin</w:t>
      </w:r>
    </w:p>
    <w:p>
      <w:pPr>
        <w:pStyle w:val="ListParagraph"/>
        <w:numPr>
          <w:ilvl w:val="0"/>
          <w:numId w:val="2"/>
        </w:numPr>
        <w:spacing w:after="120" w:line="276"/>
        <w:jc w:val="both"/>
      </w:pPr>
      <w:r>
        <w:rPr>
          <w:rFonts w:ascii="Arial" w:cs="Arial" w:eastAsia="Arial" w:hAnsi="Arial"/>
          <w:sz w:val="21"/>
          <w:szCs w:val="21"/>
        </w:rPr>
        <w:t xml:space="preserve">4 power brands are ~94% of revenue: KFC, Pizza Hut, Hardee's, Krispy Kreme. The rest of the portfolio: Peet's Coffee, Costa Coffee, TGI Fridays, Baskin-Robbins, own-IP brands (Wimpy, Chicken Tikka), Malak Al Tawouk (Arabic QSR, acquired Feb-26) and carpo (first stores from mid-2026)</w:t>
      </w:r>
    </w:p>
    <w:p>
      <w:pPr>
        <w:pStyle w:val="ListParagraph"/>
        <w:numPr>
          <w:ilvl w:val="0"/>
          <w:numId w:val="2"/>
        </w:numPr>
        <w:spacing w:after="120" w:line="276"/>
        <w:jc w:val="both"/>
      </w:pPr>
      <w:r>
        <w:rPr>
          <w:rFonts w:ascii="Arial" w:cs="Arial" w:eastAsia="Arial" w:hAnsi="Arial"/>
          <w:sz w:val="21"/>
          <w:szCs w:val="21"/>
        </w:rPr>
        <w:t xml:space="preserve">Long-standing brand relationships: KFC since 1973, Pizza Hut since 1979, operating history since 1969</w:t>
      </w:r>
    </w:p>
    <w:p>
      <w:pPr>
        <w:pStyle w:val="ListParagraph"/>
        <w:numPr>
          <w:ilvl w:val="0"/>
          <w:numId w:val="2"/>
        </w:numPr>
        <w:spacing w:after="120" w:line="276"/>
        <w:jc w:val="both"/>
      </w:pPr>
      <w:r>
        <w:rPr>
          <w:rFonts w:ascii="Arial" w:cs="Arial" w:eastAsia="Arial" w:hAnsi="Arial"/>
          <w:sz w:val="21"/>
          <w:szCs w:val="21"/>
        </w:rPr>
        <w:t xml:space="preserve">Owned 66.0% by Adeptio AD Investments, whose ultimate parent is equally held by Mohamed Alabbar and Gulf Food Investments, a subsidiary of Saudi Arabia's PIF. Free float 34.0%</w:t>
      </w:r>
    </w:p>
    <w:p>
      <w:pPr>
        <w:pStyle w:val="ListParagraph"/>
        <w:numPr>
          <w:ilvl w:val="0"/>
          <w:numId w:val="2"/>
        </w:numPr>
        <w:spacing w:after="120" w:line="276"/>
        <w:jc w:val="both"/>
      </w:pPr>
      <w:r>
        <w:rPr>
          <w:rFonts w:ascii="Arial" w:cs="Arial" w:eastAsia="Arial" w:hAnsi="Arial"/>
          <w:sz w:val="21"/>
          <w:szCs w:val="21"/>
        </w:rPr>
        <w:t xml:space="preserve">UAE, Saudi Arabia, Kuwait and Egypt are the needle movers at ~80% of revenue</w:t>
      </w:r>
    </w:p>
    <w:p>
      <w:pPr>
        <w:pStyle w:val="Heading3"/>
        <w:spacing w:after="120" w:before="200"/>
      </w:pPr>
      <w:r>
        <w:rPr>
          <w:rFonts w:ascii="Arial" w:cs="Arial" w:eastAsia="Arial" w:hAnsi="Arial"/>
          <w:b/>
          <w:bCs/>
          <w:color w:val="1C7293"/>
          <w:sz w:val="22"/>
          <w:szCs w:val="22"/>
        </w:rPr>
        <w:t xml:space="preserve">Investment Thesis</w:t>
      </w:r>
    </w:p>
    <w:p>
      <w:pPr>
        <w:pStyle w:val="ListParagraph"/>
        <w:numPr>
          <w:ilvl w:val="0"/>
          <w:numId w:val="2"/>
        </w:numPr>
        <w:spacing w:after="120" w:line="276"/>
        <w:jc w:val="both"/>
      </w:pPr>
      <w:r>
        <w:rPr>
          <w:rFonts w:ascii="Arial" w:cs="Arial" w:eastAsia="Arial" w:hAnsi="Arial"/>
          <w:b/>
          <w:bCs/>
          <w:sz w:val="21"/>
          <w:szCs w:val="21"/>
        </w:rPr>
        <w:t xml:space="preserve">✓ The Right Countries. </w:t>
      </w:r>
      <w:r>
        <w:rPr>
          <w:rFonts w:ascii="Arial" w:cs="Arial" w:eastAsia="Arial" w:hAnsi="Arial"/>
          <w:sz w:val="21"/>
          <w:szCs w:val="21"/>
        </w:rPr>
        <w:t xml:space="preserve">Household consumption is outgrowing GDP in 8 of Americana’s 9 large markets, and from a low base, the consumer is only 45-48% of Gulf GDP vs. 69% in the US. Tourism adds a second wallet on top, 123 Mn visitors in Saudi and $62 Bn of foreign tourist spend in the UAE</w:t>
      </w:r>
    </w:p>
    <w:p>
      <w:pPr>
        <w:pStyle w:val="ListParagraph"/>
        <w:numPr>
          <w:ilvl w:val="0"/>
          <w:numId w:val="2"/>
        </w:numPr>
        <w:spacing w:after="120" w:line="276"/>
        <w:jc w:val="both"/>
      </w:pPr>
      <w:r>
        <w:rPr>
          <w:rFonts w:ascii="Arial" w:cs="Arial" w:eastAsia="Arial" w:hAnsi="Arial"/>
          <w:b/>
          <w:bCs/>
          <w:sz w:val="21"/>
          <w:szCs w:val="21"/>
        </w:rPr>
        <w:t xml:space="preserve">✓ QSR is the right theme. </w:t>
      </w:r>
      <w:r>
        <w:rPr>
          <w:rFonts w:ascii="Arial" w:cs="Arial" w:eastAsia="Arial" w:hAnsi="Arial"/>
          <w:sz w:val="21"/>
          <w:szCs w:val="21"/>
        </w:rPr>
        <w:t xml:space="preserve">These markets have the best eating-out demographics anywhere, with median ages of 20-29 vs. 38 in the US. Yet global chains have only a third of US outlet density at comparable incomes. The market should double by 2031, with chains growing faster than the market everywhere</w:t>
      </w:r>
    </w:p>
    <w:p>
      <w:pPr>
        <w:pStyle w:val="ListParagraph"/>
        <w:numPr>
          <w:ilvl w:val="0"/>
          <w:numId w:val="2"/>
        </w:numPr>
        <w:spacing w:after="120" w:line="276"/>
        <w:jc w:val="both"/>
      </w:pPr>
      <w:r>
        <w:rPr>
          <w:rFonts w:ascii="Arial" w:cs="Arial" w:eastAsia="Arial" w:hAnsi="Arial"/>
          <w:b/>
          <w:bCs/>
          <w:sz w:val="21"/>
          <w:szCs w:val="21"/>
        </w:rPr>
        <w:t xml:space="preserve">✓ Americana is the best name in the space. </w:t>
      </w:r>
      <w:r>
        <w:rPr>
          <w:rFonts w:ascii="Arial" w:cs="Arial" w:eastAsia="Arial" w:hAnsi="Arial"/>
          <w:sz w:val="21"/>
          <w:szCs w:val="21"/>
        </w:rPr>
        <w:t xml:space="preserve">It runs double the store base of the next largest operator in its core markets, 2,142 stores vs. ~1,070 for the nearest chain. New stores cost ~$400k, pay back in 3 years and earn ~30% cash-on-cash returns, with the best economics in KFC where capital is concentrated. The balance sheet carries zero debt, suppliers fund the growth through negative working capital, and the payout ratio has risen from 39% to 92% in three years. The 2024 boycott proved the downside case, LfL fell ~20% for a full year, yet FCF stayed positive and the dividend was still paid</w:t>
      </w:r>
    </w:p>
    <w:p>
      <w:pPr>
        <w:pStyle w:val="ListParagraph"/>
        <w:numPr>
          <w:ilvl w:val="0"/>
          <w:numId w:val="2"/>
        </w:numPr>
        <w:spacing w:after="120" w:line="276"/>
        <w:jc w:val="both"/>
      </w:pPr>
      <w:r>
        <w:rPr>
          <w:rFonts w:ascii="Arial" w:cs="Arial" w:eastAsia="Arial" w:hAnsi="Arial"/>
          <w:b/>
          <w:bCs/>
          <w:sz w:val="21"/>
          <w:szCs w:val="21"/>
        </w:rPr>
        <w:t xml:space="preserve">? Right Valuation, Right time. </w:t>
      </w:r>
      <w:r>
        <w:rPr>
          <w:rFonts w:ascii="Arial" w:cs="Arial" w:eastAsia="Arial" w:hAnsi="Arial"/>
          <w:sz w:val="21"/>
          <w:szCs w:val="21"/>
        </w:rPr>
        <w:t xml:space="preserve">The market de-rated Americana to ~20x forward earnings during the boycott and never re-rated it back, the stock still trades a full standard deviation below its 24.6x average. Nothing in the business justifies that anymore: LfL has recovered, margins are above pre-crisis levels and H1 26 earnings are running ahead of our full-year estimate. Our numbers sit in line with consensus, so the call requires no earnings edge, just the multiple returning to its own average, which gives SAR 3.0, ~22% upside, a target our DCF independently confirms. We are paying a crisis price for a business that has already exited the crisis</w:t>
      </w:r>
    </w:p>
    <w:p>
      <w:pPr>
        <w:pStyle w:val="Heading3"/>
        <w:spacing w:after="120" w:before="200"/>
      </w:pPr>
      <w:r>
        <w:rPr>
          <w:rFonts w:ascii="Arial" w:cs="Arial" w:eastAsia="Arial" w:hAnsi="Arial"/>
          <w:b/>
          <w:bCs/>
          <w:color w:val="1C7293"/>
          <w:sz w:val="22"/>
          <w:szCs w:val="22"/>
        </w:rPr>
        <w:t xml:space="preserve">Valuation</w:t>
      </w:r>
    </w:p>
    <w:p>
      <w:pPr>
        <w:pStyle w:val="ListParagraph"/>
        <w:numPr>
          <w:ilvl w:val="0"/>
          <w:numId w:val="2"/>
        </w:numPr>
        <w:spacing w:after="120" w:line="276"/>
        <w:jc w:val="both"/>
      </w:pPr>
      <w:r>
        <w:rPr>
          <w:rFonts w:ascii="Arial" w:cs="Arial" w:eastAsia="Arial" w:hAnsi="Arial"/>
          <w:sz w:val="21"/>
          <w:szCs w:val="21"/>
        </w:rPr>
        <w:t xml:space="preserve">We forecast a ~10% revenue / ~16% EPS CAGR over F25-28</w:t>
      </w:r>
    </w:p>
    <w:p>
      <w:pPr>
        <w:pStyle w:val="ListParagraph"/>
        <w:numPr>
          <w:ilvl w:val="0"/>
          <w:numId w:val="2"/>
        </w:numPr>
        <w:spacing w:after="120" w:line="276"/>
        <w:jc w:val="both"/>
      </w:pPr>
      <w:r>
        <w:rPr>
          <w:rFonts w:ascii="Arial" w:cs="Arial" w:eastAsia="Arial" w:hAnsi="Arial"/>
          <w:sz w:val="21"/>
          <w:szCs w:val="21"/>
        </w:rPr>
        <w:t xml:space="preserve">With a 40%+ ROE profile (FY25 actual ~49%), we value it at an implied F27 P/E of 22x, giving a price target of SAR 3.0 (AED 2.9), ~22% upside</w:t>
      </w:r>
    </w:p>
    <w:p>
      <w:pPr>
        <w:pStyle w:val="Heading3"/>
        <w:spacing w:after="120" w:before="200"/>
      </w:pPr>
      <w:r>
        <w:rPr>
          <w:rFonts w:ascii="Arial" w:cs="Arial" w:eastAsia="Arial" w:hAnsi="Arial"/>
          <w:b/>
          <w:bCs/>
          <w:color w:val="1C7293"/>
          <w:sz w:val="22"/>
          <w:szCs w:val="22"/>
        </w:rPr>
        <w:t xml:space="preserve">Summary</w:t>
      </w:r>
    </w:p>
    <w:p>
      <w:pPr>
        <w:pStyle w:val="ListParagraph"/>
        <w:numPr>
          <w:ilvl w:val="0"/>
          <w:numId w:val="2"/>
        </w:numPr>
        <w:spacing w:after="120" w:line="276"/>
        <w:jc w:val="both"/>
      </w:pPr>
      <w:r>
        <w:rPr>
          <w:rFonts w:ascii="Arial" w:cs="Arial" w:eastAsia="Arial" w:hAnsi="Arial"/>
          <w:sz w:val="21"/>
          <w:szCs w:val="21"/>
        </w:rPr>
        <w:t xml:space="preserve">While the stop-start Middle East conflict may be a near-term headwind (e.g., low tourism), we like the structural drivers behind Americana’s sustained performance. The boycott year proved the downside case: $95m of FCF and a $127m dividend even with LfL at −20%</w:t>
      </w:r>
    </w:p>
    <w:p>
      <w:pPr>
        <w:pStyle w:val="Heading1"/>
        <w:spacing w:after="160" w:before="320"/>
      </w:pPr>
      <w:r>
        <w:rPr>
          <w:rFonts w:ascii="Arial" w:cs="Arial" w:eastAsia="Arial" w:hAnsi="Arial"/>
          <w:b/>
          <w:bCs/>
          <w:color w:val="14324C"/>
          <w:sz w:val="28"/>
          <w:szCs w:val="28"/>
        </w:rPr>
        <w:t xml:space="preserve">DETAILS</w:t>
      </w:r>
    </w:p>
    <w:p>
      <w:pPr>
        <w:pStyle w:val="Heading2"/>
        <w:spacing w:after="140" w:before="240"/>
      </w:pPr>
      <w:r>
        <w:rPr>
          <w:rFonts w:ascii="Arial" w:cs="Arial" w:eastAsia="Arial" w:hAnsi="Arial"/>
          <w:b/>
          <w:bCs/>
          <w:color w:val="14324C"/>
          <w:sz w:val="24"/>
          <w:szCs w:val="24"/>
        </w:rPr>
        <w:t xml:space="preserve">OUR THESIS IN FOUR CLAIMS</w:t>
      </w:r>
    </w:p>
    <w:p>
      <w:pPr>
        <w:spacing w:after="160" w:line="276"/>
        <w:jc w:val="both"/>
      </w:pPr>
      <w:r>
        <w:rPr>
          <w:rFonts w:ascii="Arial" w:cs="Arial" w:eastAsia="Arial" w:hAnsi="Arial"/>
          <w:sz w:val="21"/>
          <w:szCs w:val="21"/>
        </w:rPr>
        <w:t xml:space="preserve">We initiate coverage on Americana Restaurants (AMR.AD / 6015.SE) at Outperform with a target price of SAR 3.0 (AED 2.9), ~22% upside. Americana is the largest QSR operator in the Middle East, with 2,746 restaurants across 12 countries and $2.7 Bn of LTM revenue, running KFC, Pizza Hut, Hardee’s and Krispy Kreme under franchise relationships that go back five decades (Exhibit 1).</w:t>
      </w:r>
    </w:p>
    <w:p>
      <w:pPr>
        <w:spacing w:after="160" w:line="276"/>
        <w:jc w:val="both"/>
      </w:pPr>
      <w:r>
        <w:rPr>
          <w:rFonts w:ascii="Arial" w:cs="Arial" w:eastAsia="Arial" w:hAnsi="Arial"/>
          <w:sz w:val="21"/>
          <w:szCs w:val="21"/>
        </w:rPr>
        <w:t xml:space="preserve">Our thesis is that Americana is the best vehicle for the Gulf consumer story, and that the market is still pricing it as an oil-linked, boycott-scarred trade. That gap is the opportunity. Four claims carry the thesis.</w:t>
      </w:r>
    </w:p>
    <w:p>
      <w:pPr>
        <w:spacing w:after="160" w:line="276"/>
        <w:jc w:val="both"/>
      </w:pPr>
      <w:r>
        <w:rPr>
          <w:rFonts w:ascii="Arial" w:cs="Arial" w:eastAsia="Arial" w:hAnsi="Arial"/>
          <w:b/>
          <w:bCs/>
          <w:sz w:val="21"/>
          <w:szCs w:val="21"/>
        </w:rPr>
        <w:t xml:space="preserve">The right countries. </w:t>
      </w:r>
      <w:r>
        <w:rPr>
          <w:rFonts w:ascii="Arial" w:cs="Arial" w:eastAsia="Arial" w:hAnsi="Arial"/>
          <w:sz w:val="21"/>
          <w:szCs w:val="21"/>
        </w:rPr>
        <w:t xml:space="preserve">Household consumption has grown faster than GDP in 8 of Americana’s 9 large markets since 2021, and the runway is long, the consumer is only 45-48% of GDP in the Gulf vs. 69% in the US, a share that rises as oil’s weight falls. Tourism adds demand the consumption data never counts, 123 Mn visitors in Saudi and $62 Bn of foreign tourist spend in the UAE in 2025. In our view the Gulf consumer no longer moves with the oil price, but the market still trades the stock as if it does (Section 1).</w:t>
      </w:r>
    </w:p>
    <w:p>
      <w:pPr>
        <w:spacing w:after="160" w:line="276"/>
        <w:jc w:val="both"/>
      </w:pPr>
      <w:r>
        <w:rPr>
          <w:rFonts w:ascii="Arial" w:cs="Arial" w:eastAsia="Arial" w:hAnsi="Arial"/>
          <w:b/>
          <w:bCs/>
          <w:sz w:val="21"/>
          <w:szCs w:val="21"/>
        </w:rPr>
        <w:t xml:space="preserve">The right industry. </w:t>
      </w:r>
      <w:r>
        <w:rPr>
          <w:rFonts w:ascii="Arial" w:cs="Arial" w:eastAsia="Arial" w:hAnsi="Arial"/>
          <w:sz w:val="21"/>
          <w:szCs w:val="21"/>
        </w:rPr>
        <w:t xml:space="preserve">The demographics support eating out, with median ages of 20-29 across most of the footprint and Saudi female workforce participation up ~10pp in a decade. Yet global chains have only a third of the outlet density here that comparable incomes support. Forecasts see the market doubling by 2031, with chained restaurants outgrowing the total market in every key geography (Section 2).</w:t>
      </w:r>
    </w:p>
    <w:p>
      <w:pPr>
        <w:spacing w:after="160" w:line="276"/>
        <w:jc w:val="both"/>
      </w:pPr>
      <w:r>
        <w:rPr>
          <w:rFonts w:ascii="Arial" w:cs="Arial" w:eastAsia="Arial" w:hAnsi="Arial"/>
          <w:b/>
          <w:bCs/>
          <w:sz w:val="21"/>
          <w:szCs w:val="21"/>
        </w:rPr>
        <w:t xml:space="preserve">The right company. </w:t>
      </w:r>
      <w:r>
        <w:rPr>
          <w:rFonts w:ascii="Arial" w:cs="Arial" w:eastAsia="Arial" w:hAnsi="Arial"/>
          <w:sz w:val="21"/>
          <w:szCs w:val="21"/>
        </w:rPr>
        <w:t xml:space="preserve">Americana has double the store base of the next largest operator in its core markets, earns a ~30% cash-on-cash return on new stores, and carries zero debt with negative working capital, 96% FCF conversion and a 92% payout. The 2024 boycott cut LfL by ~20% for a full year, and the company still generated positive FCF and paid a dividend. The downside case has already been tested in practice (Section 3).</w:t>
      </w:r>
    </w:p>
    <w:p>
      <w:pPr>
        <w:spacing w:after="160" w:line="276"/>
        <w:jc w:val="both"/>
      </w:pPr>
      <w:r>
        <w:rPr>
          <w:rFonts w:ascii="Arial" w:cs="Arial" w:eastAsia="Arial" w:hAnsi="Arial"/>
          <w:b/>
          <w:bCs/>
          <w:sz w:val="21"/>
          <w:szCs w:val="21"/>
        </w:rPr>
        <w:t xml:space="preserve">The right price. </w:t>
      </w:r>
      <w:r>
        <w:rPr>
          <w:rFonts w:ascii="Arial" w:cs="Arial" w:eastAsia="Arial" w:hAnsi="Arial"/>
          <w:sz w:val="21"/>
          <w:szCs w:val="21"/>
        </w:rPr>
        <w:t xml:space="preserve">The stock trades at 20x forward earnings vs. its own average of ~25x. Our estimates are broadly in line with consensus, so the upside comes from the multiple normalising rather than from an earnings edge. Our target multiple and our DCF both give SAR 3.0, ~22% upside (Section 4).</w:t>
      </w:r>
    </w:p>
    <w:p>
      <w:pPr>
        <w:spacing w:after="160" w:line="276"/>
        <w:jc w:val="both"/>
      </w:pPr>
      <w:r>
        <w:rPr>
          <w:rFonts w:ascii="Arial" w:cs="Arial" w:eastAsia="Arial" w:hAnsi="Arial"/>
          <w:sz w:val="21"/>
          <w:szCs w:val="21"/>
        </w:rPr>
        <w:t xml:space="preserve">We start with the ten key charts from the note (Exhibits 3-12), followed by the four sections in detail. The full exhibit index below maps the argument.</w:t>
      </w:r>
    </w:p>
    <w:p>
      <w:pPr>
        <w:pStyle w:val="Heading2"/>
        <w:spacing w:after="140" w:before="240"/>
      </w:pPr>
      <w:r>
        <w:rPr>
          <w:rFonts w:ascii="Arial" w:cs="Arial" w:eastAsia="Arial" w:hAnsi="Arial"/>
          <w:b/>
          <w:bCs/>
          <w:color w:val="14324C"/>
          <w:sz w:val="24"/>
          <w:szCs w:val="24"/>
        </w:rPr>
        <w:t xml:space="preserve">EXHIBIT INDEX</w:t>
      </w:r>
    </w:p>
    <w:p>
      <w:pPr>
        <w:spacing w:after="20" w:line="260"/>
        <w:ind w:left="360" w:hanging="360"/>
      </w:pPr>
      <w:r>
        <w:rPr>
          <w:rFonts w:ascii="Arial" w:cs="Arial" w:eastAsia="Arial" w:hAnsi="Arial"/>
          <w:b/>
          <w:bCs/>
          <w:color w:val="1C7293"/>
          <w:sz w:val="19"/>
          <w:szCs w:val="19"/>
        </w:rPr>
        <w:t xml:space="preserve">Exhibit 1:  </w:t>
      </w:r>
      <w:r>
        <w:rPr>
          <w:rFonts w:ascii="Arial" w:cs="Arial" w:eastAsia="Arial" w:hAnsi="Arial"/>
          <w:b/>
          <w:bCs/>
          <w:sz w:val="19"/>
          <w:szCs w:val="19"/>
        </w:rPr>
        <w:t xml:space="preserve">We initiate on Americana at Outperform with 22% upside on estimates that sit broadly in line with consensus</w:t>
      </w:r>
    </w:p>
    <w:p>
      <w:pPr>
        <w:spacing w:after="90" w:line="250"/>
        <w:ind w:left="360"/>
      </w:pPr>
      <w:r>
        <w:rPr>
          <w:rFonts w:ascii="Arial" w:cs="Arial" w:eastAsia="Arial" w:hAnsi="Arial"/>
          <w:i/>
          <w:iCs/>
          <w:color w:val="6B7280"/>
          <w:sz w:val="17"/>
          <w:szCs w:val="17"/>
        </w:rPr>
        <w:t xml:space="preserve">Our QSR coverage: ratings, target prices and estimates vs. consensus</w:t>
      </w:r>
    </w:p>
    <w:p>
      <w:pPr>
        <w:spacing w:after="20" w:line="260"/>
        <w:ind w:left="360" w:hanging="360"/>
      </w:pPr>
      <w:r>
        <w:rPr>
          <w:rFonts w:ascii="Arial" w:cs="Arial" w:eastAsia="Arial" w:hAnsi="Arial"/>
          <w:b/>
          <w:bCs/>
          <w:color w:val="1C7293"/>
          <w:sz w:val="19"/>
          <w:szCs w:val="19"/>
        </w:rPr>
        <w:t xml:space="preserve">Exhibit 2:  </w:t>
      </w:r>
      <w:r>
        <w:rPr>
          <w:rFonts w:ascii="Arial" w:cs="Arial" w:eastAsia="Arial" w:hAnsi="Arial"/>
          <w:b/>
          <w:bCs/>
          <w:sz w:val="19"/>
          <w:szCs w:val="19"/>
        </w:rPr>
        <w:t xml:space="preserve">Americana trades in line with mature US franchisors despite growing earnings at twice their pace</w:t>
      </w:r>
    </w:p>
    <w:p>
      <w:pPr>
        <w:spacing w:after="90" w:line="250"/>
        <w:ind w:left="360"/>
      </w:pPr>
      <w:r>
        <w:rPr>
          <w:rFonts w:ascii="Arial" w:cs="Arial" w:eastAsia="Arial" w:hAnsi="Arial"/>
          <w:i/>
          <w:iCs/>
          <w:color w:val="6B7280"/>
          <w:sz w:val="17"/>
          <w:szCs w:val="17"/>
        </w:rPr>
        <w:t xml:space="preserve">Sector valuation comps: MENA, India, US and global QSR peers</w:t>
      </w:r>
    </w:p>
    <w:p>
      <w:pPr>
        <w:spacing w:after="20" w:line="260"/>
        <w:ind w:left="360" w:hanging="360"/>
      </w:pPr>
      <w:r>
        <w:rPr>
          <w:rFonts w:ascii="Arial" w:cs="Arial" w:eastAsia="Arial" w:hAnsi="Arial"/>
          <w:b/>
          <w:bCs/>
          <w:color w:val="1C7293"/>
          <w:sz w:val="19"/>
          <w:szCs w:val="19"/>
        </w:rPr>
        <w:t xml:space="preserve">Exhibit 3:  </w:t>
      </w:r>
      <w:r>
        <w:rPr>
          <w:rFonts w:ascii="Arial" w:cs="Arial" w:eastAsia="Arial" w:hAnsi="Arial"/>
          <w:b/>
          <w:bCs/>
          <w:sz w:val="19"/>
          <w:szCs w:val="19"/>
        </w:rPr>
        <w:t xml:space="preserve">Household consumption has grown faster than GDP in 8 of the 9 large markets where Americana operates</w:t>
      </w:r>
    </w:p>
    <w:p>
      <w:pPr>
        <w:spacing w:after="90" w:line="250"/>
        <w:ind w:left="360"/>
      </w:pPr>
      <w:r>
        <w:rPr>
          <w:rFonts w:ascii="Arial" w:cs="Arial" w:eastAsia="Arial" w:hAnsi="Arial"/>
          <w:i/>
          <w:iCs/>
          <w:color w:val="6B7280"/>
          <w:sz w:val="17"/>
          <w:szCs w:val="17"/>
        </w:rPr>
        <w:t xml:space="preserve">Real household consumption growth vs. real GDP growth, 2021-24</w:t>
      </w:r>
    </w:p>
    <w:p>
      <w:pPr>
        <w:spacing w:after="20" w:line="260"/>
        <w:ind w:left="360" w:hanging="360"/>
      </w:pPr>
      <w:r>
        <w:rPr>
          <w:rFonts w:ascii="Arial" w:cs="Arial" w:eastAsia="Arial" w:hAnsi="Arial"/>
          <w:b/>
          <w:bCs/>
          <w:color w:val="1C7293"/>
          <w:sz w:val="19"/>
          <w:szCs w:val="19"/>
        </w:rPr>
        <w:t xml:space="preserve">Exhibit 4:  </w:t>
      </w:r>
      <w:r>
        <w:rPr>
          <w:rFonts w:ascii="Arial" w:cs="Arial" w:eastAsia="Arial" w:hAnsi="Arial"/>
          <w:b/>
          <w:bCs/>
          <w:sz w:val="19"/>
          <w:szCs w:val="19"/>
        </w:rPr>
        <w:t xml:space="preserve">The consumer is still less than half of Gulf GDP against nearly 70% in the US which leaves years of catch-up growth</w:t>
      </w:r>
    </w:p>
    <w:p>
      <w:pPr>
        <w:spacing w:after="90" w:line="250"/>
        <w:ind w:left="360"/>
      </w:pPr>
      <w:r>
        <w:rPr>
          <w:rFonts w:ascii="Arial" w:cs="Arial" w:eastAsia="Arial" w:hAnsi="Arial"/>
          <w:i/>
          <w:iCs/>
          <w:color w:val="6B7280"/>
          <w:sz w:val="17"/>
          <w:szCs w:val="17"/>
        </w:rPr>
        <w:t xml:space="preserve">Private consumption as % of GDP, Gulf vs. developed markets</w:t>
      </w:r>
    </w:p>
    <w:p>
      <w:pPr>
        <w:spacing w:after="20" w:line="260"/>
        <w:ind w:left="360" w:hanging="360"/>
      </w:pPr>
      <w:r>
        <w:rPr>
          <w:rFonts w:ascii="Arial" w:cs="Arial" w:eastAsia="Arial" w:hAnsi="Arial"/>
          <w:b/>
          <w:bCs/>
          <w:color w:val="1C7293"/>
          <w:sz w:val="19"/>
          <w:szCs w:val="19"/>
        </w:rPr>
        <w:t xml:space="preserve">Exhibit 5:  </w:t>
      </w:r>
      <w:r>
        <w:rPr>
          <w:rFonts w:ascii="Arial" w:cs="Arial" w:eastAsia="Arial" w:hAnsi="Arial"/>
          <w:b/>
          <w:bCs/>
          <w:sz w:val="19"/>
          <w:szCs w:val="19"/>
        </w:rPr>
        <w:t xml:space="preserve">Saudi Arabia has nearly doubled its tourist count since 2019 and targets 150 Mn visitors by 2030</w:t>
      </w:r>
    </w:p>
    <w:p>
      <w:pPr>
        <w:spacing w:after="90" w:line="250"/>
        <w:ind w:left="360"/>
      </w:pPr>
      <w:r>
        <w:rPr>
          <w:rFonts w:ascii="Arial" w:cs="Arial" w:eastAsia="Arial" w:hAnsi="Arial"/>
          <w:i/>
          <w:iCs/>
          <w:color w:val="6B7280"/>
          <w:sz w:val="17"/>
          <w:szCs w:val="17"/>
        </w:rPr>
        <w:t xml:space="preserve">Saudi tourism: visitors and foreign tourist spend, 2015-25</w:t>
      </w:r>
    </w:p>
    <w:p>
      <w:pPr>
        <w:spacing w:after="20" w:line="260"/>
        <w:ind w:left="360" w:hanging="360"/>
      </w:pPr>
      <w:r>
        <w:rPr>
          <w:rFonts w:ascii="Arial" w:cs="Arial" w:eastAsia="Arial" w:hAnsi="Arial"/>
          <w:b/>
          <w:bCs/>
          <w:color w:val="1C7293"/>
          <w:sz w:val="19"/>
          <w:szCs w:val="19"/>
        </w:rPr>
        <w:t xml:space="preserve">Exhibit 6:  </w:t>
      </w:r>
      <w:r>
        <w:rPr>
          <w:rFonts w:ascii="Arial" w:cs="Arial" w:eastAsia="Arial" w:hAnsi="Arial"/>
          <w:b/>
          <w:bCs/>
          <w:sz w:val="19"/>
          <w:szCs w:val="19"/>
        </w:rPr>
        <w:t xml:space="preserve">Global restaurant chains have only a third of the outlet density in Saudi that comparable incomes support</w:t>
      </w:r>
    </w:p>
    <w:p>
      <w:pPr>
        <w:spacing w:after="90" w:line="250"/>
        <w:ind w:left="360"/>
      </w:pPr>
      <w:r>
        <w:rPr>
          <w:rFonts w:ascii="Arial" w:cs="Arial" w:eastAsia="Arial" w:hAnsi="Arial"/>
          <w:i/>
          <w:iCs/>
          <w:color w:val="6B7280"/>
          <w:sz w:val="17"/>
          <w:szCs w:val="17"/>
        </w:rPr>
        <w:t xml:space="preserve">Outlets of the 10 largest global chains per 10k people</w:t>
      </w:r>
    </w:p>
    <w:p>
      <w:pPr>
        <w:spacing w:after="20" w:line="260"/>
        <w:ind w:left="360" w:hanging="360"/>
      </w:pPr>
      <w:r>
        <w:rPr>
          <w:rFonts w:ascii="Arial" w:cs="Arial" w:eastAsia="Arial" w:hAnsi="Arial"/>
          <w:b/>
          <w:bCs/>
          <w:color w:val="1C7293"/>
          <w:sz w:val="19"/>
          <w:szCs w:val="19"/>
        </w:rPr>
        <w:t xml:space="preserve">Exhibit 7:  </w:t>
      </w:r>
      <w:r>
        <w:rPr>
          <w:rFonts w:ascii="Arial" w:cs="Arial" w:eastAsia="Arial" w:hAnsi="Arial"/>
          <w:b/>
          <w:bCs/>
          <w:sz w:val="19"/>
          <w:szCs w:val="19"/>
        </w:rPr>
        <w:t xml:space="preserve">Chained restaurants are forecast to grow faster than the total food-service market in every key geography</w:t>
      </w:r>
    </w:p>
    <w:p>
      <w:pPr>
        <w:spacing w:after="90" w:line="250"/>
        <w:ind w:left="360"/>
      </w:pPr>
      <w:r>
        <w:rPr>
          <w:rFonts w:ascii="Arial" w:cs="Arial" w:eastAsia="Arial" w:hAnsi="Arial"/>
          <w:i/>
          <w:iCs/>
          <w:color w:val="6B7280"/>
          <w:sz w:val="17"/>
          <w:szCs w:val="17"/>
        </w:rPr>
        <w:t xml:space="preserve">Forecast food-service CAGR to 2031, total vs. chained segment</w:t>
      </w:r>
    </w:p>
    <w:p>
      <w:pPr>
        <w:spacing w:after="20" w:line="260"/>
        <w:ind w:left="360" w:hanging="360"/>
      </w:pPr>
      <w:r>
        <w:rPr>
          <w:rFonts w:ascii="Arial" w:cs="Arial" w:eastAsia="Arial" w:hAnsi="Arial"/>
          <w:b/>
          <w:bCs/>
          <w:color w:val="1C7293"/>
          <w:sz w:val="19"/>
          <w:szCs w:val="19"/>
        </w:rPr>
        <w:t xml:space="preserve">Exhibit 8:  </w:t>
      </w:r>
      <w:r>
        <w:rPr>
          <w:rFonts w:ascii="Arial" w:cs="Arial" w:eastAsia="Arial" w:hAnsi="Arial"/>
          <w:b/>
          <w:bCs/>
          <w:sz w:val="19"/>
          <w:szCs w:val="19"/>
        </w:rPr>
        <w:t xml:space="preserve">Americana operates 2741 restaurants across 12 countries and no competitor comes close to this footprint</w:t>
      </w:r>
    </w:p>
    <w:p>
      <w:pPr>
        <w:spacing w:after="90" w:line="250"/>
        <w:ind w:left="360"/>
      </w:pPr>
      <w:r>
        <w:rPr>
          <w:rFonts w:ascii="Arial" w:cs="Arial" w:eastAsia="Arial" w:hAnsi="Arial"/>
          <w:i/>
          <w:iCs/>
          <w:color w:val="6B7280"/>
          <w:sz w:val="17"/>
          <w:szCs w:val="17"/>
        </w:rPr>
        <w:t xml:space="preserve">Americana footprint: stores by country, 12 markets</w:t>
      </w:r>
    </w:p>
    <w:p>
      <w:pPr>
        <w:spacing w:after="20" w:line="260"/>
        <w:ind w:left="360" w:hanging="360"/>
      </w:pPr>
      <w:r>
        <w:rPr>
          <w:rFonts w:ascii="Arial" w:cs="Arial" w:eastAsia="Arial" w:hAnsi="Arial"/>
          <w:b/>
          <w:bCs/>
          <w:color w:val="1C7293"/>
          <w:sz w:val="19"/>
          <w:szCs w:val="19"/>
        </w:rPr>
        <w:t xml:space="preserve">Exhibit 9:  </w:t>
      </w:r>
      <w:r>
        <w:rPr>
          <w:rFonts w:ascii="Arial" w:cs="Arial" w:eastAsia="Arial" w:hAnsi="Arial"/>
          <w:b/>
          <w:bCs/>
          <w:sz w:val="19"/>
          <w:szCs w:val="19"/>
        </w:rPr>
        <w:t xml:space="preserve">A new Americana store pays back its capital in about 3 years and a new KFC pays back in 2.3 years</w:t>
      </w:r>
    </w:p>
    <w:p>
      <w:pPr>
        <w:spacing w:after="90" w:line="250"/>
        <w:ind w:left="360"/>
      </w:pPr>
      <w:r>
        <w:rPr>
          <w:rFonts w:ascii="Arial" w:cs="Arial" w:eastAsia="Arial" w:hAnsi="Arial"/>
          <w:i/>
          <w:iCs/>
          <w:color w:val="6B7280"/>
          <w:sz w:val="17"/>
          <w:szCs w:val="17"/>
        </w:rPr>
        <w:t xml:space="preserve">New-store capex and payback by brand</w:t>
      </w:r>
    </w:p>
    <w:p>
      <w:pPr>
        <w:spacing w:after="20" w:line="260"/>
        <w:ind w:left="360" w:hanging="360"/>
      </w:pPr>
      <w:r>
        <w:rPr>
          <w:rFonts w:ascii="Arial" w:cs="Arial" w:eastAsia="Arial" w:hAnsi="Arial"/>
          <w:b/>
          <w:bCs/>
          <w:color w:val="1C7293"/>
          <w:sz w:val="19"/>
          <w:szCs w:val="19"/>
        </w:rPr>
        <w:t xml:space="preserve">Exhibit 10:  </w:t>
      </w:r>
      <w:r>
        <w:rPr>
          <w:rFonts w:ascii="Arial" w:cs="Arial" w:eastAsia="Arial" w:hAnsi="Arial"/>
          <w:b/>
          <w:bCs/>
          <w:sz w:val="19"/>
          <w:szCs w:val="19"/>
        </w:rPr>
        <w:t xml:space="preserve">The boycott cut like-for-like sales by a fifth for a full year and the recovery has now outlasted the crisis</w:t>
      </w:r>
    </w:p>
    <w:p>
      <w:pPr>
        <w:spacing w:after="90" w:line="250"/>
        <w:ind w:left="360"/>
      </w:pPr>
      <w:r>
        <w:rPr>
          <w:rFonts w:ascii="Arial" w:cs="Arial" w:eastAsia="Arial" w:hAnsi="Arial"/>
          <w:i/>
          <w:iCs/>
          <w:color w:val="6B7280"/>
          <w:sz w:val="17"/>
          <w:szCs w:val="17"/>
        </w:rPr>
        <w:t xml:space="preserve">Group LfL by quarter through the boycott and recovery</w:t>
      </w:r>
    </w:p>
    <w:p>
      <w:pPr>
        <w:spacing w:after="20" w:line="260"/>
        <w:ind w:left="360" w:hanging="360"/>
      </w:pPr>
      <w:r>
        <w:rPr>
          <w:rFonts w:ascii="Arial" w:cs="Arial" w:eastAsia="Arial" w:hAnsi="Arial"/>
          <w:b/>
          <w:bCs/>
          <w:color w:val="1C7293"/>
          <w:sz w:val="19"/>
          <w:szCs w:val="19"/>
        </w:rPr>
        <w:t xml:space="preserve">Exhibit 11:  </w:t>
      </w:r>
      <w:r>
        <w:rPr>
          <w:rFonts w:ascii="Arial" w:cs="Arial" w:eastAsia="Arial" w:hAnsi="Arial"/>
          <w:b/>
          <w:bCs/>
          <w:sz w:val="19"/>
          <w:szCs w:val="19"/>
        </w:rPr>
        <w:t xml:space="preserve">The balance sheet holds net cash with no debt while cash conversion and the payout ratio keep climbing</w:t>
      </w:r>
    </w:p>
    <w:p>
      <w:pPr>
        <w:spacing w:after="90" w:line="250"/>
        <w:ind w:left="360"/>
      </w:pPr>
      <w:r>
        <w:rPr>
          <w:rFonts w:ascii="Arial" w:cs="Arial" w:eastAsia="Arial" w:hAnsi="Arial"/>
          <w:i/>
          <w:iCs/>
          <w:color w:val="6B7280"/>
          <w:sz w:val="17"/>
          <w:szCs w:val="17"/>
        </w:rPr>
        <w:t xml:space="preserve">Net cash, FCF and dividend payout, FY21-H1 26</w:t>
      </w:r>
    </w:p>
    <w:p>
      <w:pPr>
        <w:spacing w:after="20" w:line="260"/>
        <w:ind w:left="360" w:hanging="360"/>
      </w:pPr>
      <w:r>
        <w:rPr>
          <w:rFonts w:ascii="Arial" w:cs="Arial" w:eastAsia="Arial" w:hAnsi="Arial"/>
          <w:b/>
          <w:bCs/>
          <w:color w:val="1C7293"/>
          <w:sz w:val="19"/>
          <w:szCs w:val="19"/>
        </w:rPr>
        <w:t xml:space="preserve">Exhibit 12:  </w:t>
      </w:r>
      <w:r>
        <w:rPr>
          <w:rFonts w:ascii="Arial" w:cs="Arial" w:eastAsia="Arial" w:hAnsi="Arial"/>
          <w:b/>
          <w:bCs/>
          <w:sz w:val="19"/>
          <w:szCs w:val="19"/>
        </w:rPr>
        <w:t xml:space="preserve">The stock still trades a full standard deviation below its own average forward multiple</w:t>
      </w:r>
    </w:p>
    <w:p>
      <w:pPr>
        <w:spacing w:after="90" w:line="250"/>
        <w:ind w:left="360"/>
      </w:pPr>
      <w:r>
        <w:rPr>
          <w:rFonts w:ascii="Arial" w:cs="Arial" w:eastAsia="Arial" w:hAnsi="Arial"/>
          <w:i/>
          <w:iCs/>
          <w:color w:val="6B7280"/>
          <w:sz w:val="17"/>
          <w:szCs w:val="17"/>
        </w:rPr>
        <w:t xml:space="preserve">Forward P/E band with average and target multiple</w:t>
      </w:r>
    </w:p>
    <w:p>
      <w:pPr>
        <w:spacing w:after="20" w:line="260"/>
        <w:ind w:left="360" w:hanging="360"/>
      </w:pPr>
      <w:r>
        <w:rPr>
          <w:rFonts w:ascii="Arial" w:cs="Arial" w:eastAsia="Arial" w:hAnsi="Arial"/>
          <w:b/>
          <w:bCs/>
          <w:color w:val="1C7293"/>
          <w:sz w:val="19"/>
          <w:szCs w:val="19"/>
        </w:rPr>
        <w:t xml:space="preserve">Exhibit 13:  </w:t>
      </w:r>
      <w:r>
        <w:rPr>
          <w:rFonts w:ascii="Arial" w:cs="Arial" w:eastAsia="Arial" w:hAnsi="Arial"/>
          <w:b/>
          <w:bCs/>
          <w:sz w:val="19"/>
          <w:szCs w:val="19"/>
        </w:rPr>
        <w:t xml:space="preserve">The wallet is growing faster than the economy in nearly every Americana market</w:t>
      </w:r>
    </w:p>
    <w:p>
      <w:pPr>
        <w:spacing w:after="90" w:line="250"/>
        <w:ind w:left="360"/>
      </w:pPr>
      <w:r>
        <w:rPr>
          <w:rFonts w:ascii="Arial" w:cs="Arial" w:eastAsia="Arial" w:hAnsi="Arial"/>
          <w:i/>
          <w:iCs/>
          <w:color w:val="6B7280"/>
          <w:sz w:val="17"/>
          <w:szCs w:val="17"/>
        </w:rPr>
        <w:t xml:space="preserve">Real household consumption growth vs. real GDP growth, 2021-24, Americana markets and benchmarks</w:t>
      </w:r>
    </w:p>
    <w:p>
      <w:pPr>
        <w:spacing w:after="20" w:line="260"/>
        <w:ind w:left="360" w:hanging="360"/>
      </w:pPr>
      <w:r>
        <w:rPr>
          <w:rFonts w:ascii="Arial" w:cs="Arial" w:eastAsia="Arial" w:hAnsi="Arial"/>
          <w:b/>
          <w:bCs/>
          <w:color w:val="1C7293"/>
          <w:sz w:val="19"/>
          <w:szCs w:val="19"/>
        </w:rPr>
        <w:t xml:space="preserve">Exhibit 14:  </w:t>
      </w:r>
      <w:r>
        <w:rPr>
          <w:rFonts w:ascii="Arial" w:cs="Arial" w:eastAsia="Arial" w:hAnsi="Arial"/>
          <w:b/>
          <w:bCs/>
          <w:sz w:val="19"/>
          <w:szCs w:val="19"/>
        </w:rPr>
        <w:t xml:space="preserve">Gulf consumers already earn at rich-world levels with the UAE at about $50k of GDP per head</w:t>
      </w:r>
    </w:p>
    <w:p>
      <w:pPr>
        <w:spacing w:after="90" w:line="250"/>
        <w:ind w:left="360"/>
      </w:pPr>
      <w:r>
        <w:rPr>
          <w:rFonts w:ascii="Arial" w:cs="Arial" w:eastAsia="Arial" w:hAnsi="Arial"/>
          <w:i/>
          <w:iCs/>
          <w:color w:val="6B7280"/>
          <w:sz w:val="17"/>
          <w:szCs w:val="17"/>
        </w:rPr>
        <w:t xml:space="preserve">GDP per capita 2024, Americana markets vs. US, UK and Qatar</w:t>
      </w:r>
    </w:p>
    <w:p>
      <w:pPr>
        <w:spacing w:after="20" w:line="260"/>
        <w:ind w:left="360" w:hanging="360"/>
      </w:pPr>
      <w:r>
        <w:rPr>
          <w:rFonts w:ascii="Arial" w:cs="Arial" w:eastAsia="Arial" w:hAnsi="Arial"/>
          <w:b/>
          <w:bCs/>
          <w:color w:val="1C7293"/>
          <w:sz w:val="19"/>
          <w:szCs w:val="19"/>
        </w:rPr>
        <w:t xml:space="preserve">Exhibit 15:  </w:t>
      </w:r>
      <w:r>
        <w:rPr>
          <w:rFonts w:ascii="Arial" w:cs="Arial" w:eastAsia="Arial" w:hAnsi="Arial"/>
          <w:b/>
          <w:bCs/>
          <w:sz w:val="19"/>
          <w:szCs w:val="19"/>
        </w:rPr>
        <w:t xml:space="preserve">Oil inflates the denominator and leaves private consumption at only 45-48% of Gulf GDP</w:t>
      </w:r>
    </w:p>
    <w:p>
      <w:pPr>
        <w:spacing w:after="90" w:line="250"/>
        <w:ind w:left="360"/>
      </w:pPr>
      <w:r>
        <w:rPr>
          <w:rFonts w:ascii="Arial" w:cs="Arial" w:eastAsia="Arial" w:hAnsi="Arial"/>
          <w:i/>
          <w:iCs/>
          <w:color w:val="6B7280"/>
          <w:sz w:val="17"/>
          <w:szCs w:val="17"/>
        </w:rPr>
        <w:t xml:space="preserve">Private consumption as % of GDP, Gulf vs. developed markets</w:t>
      </w:r>
    </w:p>
    <w:p>
      <w:pPr>
        <w:spacing w:after="20" w:line="260"/>
        <w:ind w:left="360" w:hanging="360"/>
      </w:pPr>
      <w:r>
        <w:rPr>
          <w:rFonts w:ascii="Arial" w:cs="Arial" w:eastAsia="Arial" w:hAnsi="Arial"/>
          <w:b/>
          <w:bCs/>
          <w:color w:val="1C7293"/>
          <w:sz w:val="19"/>
          <w:szCs w:val="19"/>
        </w:rPr>
        <w:t xml:space="preserve">Exhibit 16:  </w:t>
      </w:r>
      <w:r>
        <w:rPr>
          <w:rFonts w:ascii="Arial" w:cs="Arial" w:eastAsia="Arial" w:hAnsi="Arial"/>
          <w:b/>
          <w:bCs/>
          <w:sz w:val="19"/>
          <w:szCs w:val="19"/>
        </w:rPr>
        <w:t xml:space="preserve">Saudi non-oil activities have grown through every oil shock and now make 55% of GDP on the way to a 65% target</w:t>
      </w:r>
    </w:p>
    <w:p>
      <w:pPr>
        <w:spacing w:after="90" w:line="250"/>
        <w:ind w:left="360"/>
      </w:pPr>
      <w:r>
        <w:rPr>
          <w:rFonts w:ascii="Arial" w:cs="Arial" w:eastAsia="Arial" w:hAnsi="Arial"/>
          <w:i/>
          <w:iCs/>
          <w:color w:val="6B7280"/>
          <w:sz w:val="17"/>
          <w:szCs w:val="17"/>
        </w:rPr>
        <w:t xml:space="preserve">Saudi non-oil growth vs. total GDP growth, and non-oil share of GDP 2015-25</w:t>
      </w:r>
    </w:p>
    <w:p>
      <w:pPr>
        <w:spacing w:after="20" w:line="260"/>
        <w:ind w:left="360" w:hanging="360"/>
      </w:pPr>
      <w:r>
        <w:rPr>
          <w:rFonts w:ascii="Arial" w:cs="Arial" w:eastAsia="Arial" w:hAnsi="Arial"/>
          <w:b/>
          <w:bCs/>
          <w:color w:val="1C7293"/>
          <w:sz w:val="19"/>
          <w:szCs w:val="19"/>
        </w:rPr>
        <w:t xml:space="preserve">Exhibit 17:  </w:t>
      </w:r>
      <w:r>
        <w:rPr>
          <w:rFonts w:ascii="Arial" w:cs="Arial" w:eastAsia="Arial" w:hAnsi="Arial"/>
          <w:b/>
          <w:bCs/>
          <w:sz w:val="19"/>
          <w:szCs w:val="19"/>
        </w:rPr>
        <w:t xml:space="preserve">The UAE and Kuwait show the same split with the non-oil economy growing while oil GDP swings</w:t>
      </w:r>
    </w:p>
    <w:p>
      <w:pPr>
        <w:spacing w:after="90" w:line="250"/>
        <w:ind w:left="360"/>
      </w:pPr>
      <w:r>
        <w:rPr>
          <w:rFonts w:ascii="Arial" w:cs="Arial" w:eastAsia="Arial" w:hAnsi="Arial"/>
          <w:i/>
          <w:iCs/>
          <w:color w:val="6B7280"/>
          <w:sz w:val="17"/>
          <w:szCs w:val="17"/>
        </w:rPr>
        <w:t xml:space="preserve">UAE and Kuwait total vs. non-oil GDP growth</w:t>
      </w:r>
    </w:p>
    <w:p>
      <w:pPr>
        <w:spacing w:after="20" w:line="260"/>
        <w:ind w:left="360" w:hanging="360"/>
      </w:pPr>
      <w:r>
        <w:rPr>
          <w:rFonts w:ascii="Arial" w:cs="Arial" w:eastAsia="Arial" w:hAnsi="Arial"/>
          <w:b/>
          <w:bCs/>
          <w:color w:val="1C7293"/>
          <w:sz w:val="19"/>
          <w:szCs w:val="19"/>
        </w:rPr>
        <w:t xml:space="preserve">Exhibit 18:  </w:t>
      </w:r>
      <w:r>
        <w:rPr>
          <w:rFonts w:ascii="Arial" w:cs="Arial" w:eastAsia="Arial" w:hAnsi="Arial"/>
          <w:b/>
          <w:bCs/>
          <w:sz w:val="19"/>
          <w:szCs w:val="19"/>
        </w:rPr>
        <w:t xml:space="preserve">Saudi tourism has nearly doubled since 2019 and foreign visitor spend has reached $47 Bn</w:t>
      </w:r>
    </w:p>
    <w:p>
      <w:pPr>
        <w:spacing w:after="90" w:line="250"/>
        <w:ind w:left="360"/>
      </w:pPr>
      <w:r>
        <w:rPr>
          <w:rFonts w:ascii="Arial" w:cs="Arial" w:eastAsia="Arial" w:hAnsi="Arial"/>
          <w:i/>
          <w:iCs/>
          <w:color w:val="6B7280"/>
          <w:sz w:val="17"/>
          <w:szCs w:val="17"/>
        </w:rPr>
        <w:t xml:space="preserve">Saudi tourism: total and foreign visitors and foreign tourist spend, 2015-25</w:t>
      </w:r>
    </w:p>
    <w:p>
      <w:pPr>
        <w:spacing w:after="20" w:line="260"/>
        <w:ind w:left="360" w:hanging="360"/>
      </w:pPr>
      <w:r>
        <w:rPr>
          <w:rFonts w:ascii="Arial" w:cs="Arial" w:eastAsia="Arial" w:hAnsi="Arial"/>
          <w:b/>
          <w:bCs/>
          <w:color w:val="1C7293"/>
          <w:sz w:val="19"/>
          <w:szCs w:val="19"/>
        </w:rPr>
        <w:t xml:space="preserve">Exhibit 19:  </w:t>
      </w:r>
      <w:r>
        <w:rPr>
          <w:rFonts w:ascii="Arial" w:cs="Arial" w:eastAsia="Arial" w:hAnsi="Arial"/>
          <w:b/>
          <w:bCs/>
          <w:sz w:val="19"/>
          <w:szCs w:val="19"/>
        </w:rPr>
        <w:t xml:space="preserve">Dubai keeps setting visitor records and UAE foreign tourist spend has reached $62 Bn or 11% of GDP</w:t>
      </w:r>
    </w:p>
    <w:p>
      <w:pPr>
        <w:spacing w:after="90" w:line="250"/>
        <w:ind w:left="360"/>
      </w:pPr>
      <w:r>
        <w:rPr>
          <w:rFonts w:ascii="Arial" w:cs="Arial" w:eastAsia="Arial" w:hAnsi="Arial"/>
          <w:i/>
          <w:iCs/>
          <w:color w:val="6B7280"/>
          <w:sz w:val="17"/>
          <w:szCs w:val="17"/>
        </w:rPr>
        <w:t xml:space="preserve">UAE and Dubai international visitors and foreign tourist spend, 2019-25</w:t>
      </w:r>
    </w:p>
    <w:p>
      <w:pPr>
        <w:spacing w:after="20" w:line="260"/>
        <w:ind w:left="360" w:hanging="360"/>
      </w:pPr>
      <w:r>
        <w:rPr>
          <w:rFonts w:ascii="Arial" w:cs="Arial" w:eastAsia="Arial" w:hAnsi="Arial"/>
          <w:b/>
          <w:bCs/>
          <w:color w:val="1C7293"/>
          <w:sz w:val="19"/>
          <w:szCs w:val="19"/>
        </w:rPr>
        <w:t xml:space="preserve">Exhibit 20:  </w:t>
      </w:r>
      <w:r>
        <w:rPr>
          <w:rFonts w:ascii="Arial" w:cs="Arial" w:eastAsia="Arial" w:hAnsi="Arial"/>
          <w:b/>
          <w:bCs/>
          <w:sz w:val="19"/>
          <w:szCs w:val="19"/>
        </w:rPr>
        <w:t xml:space="preserve">Young and growing populations with more working women are built for eating out</w:t>
      </w:r>
    </w:p>
    <w:p>
      <w:pPr>
        <w:spacing w:after="90" w:line="250"/>
        <w:ind w:left="360"/>
      </w:pPr>
      <w:r>
        <w:rPr>
          <w:rFonts w:ascii="Arial" w:cs="Arial" w:eastAsia="Arial" w:hAnsi="Arial"/>
          <w:i/>
          <w:iCs/>
          <w:color w:val="6B7280"/>
          <w:sz w:val="17"/>
          <w:szCs w:val="17"/>
        </w:rPr>
        <w:t xml:space="preserve">Median age, population growth 2015-25 and female labour force participation</w:t>
      </w:r>
    </w:p>
    <w:p>
      <w:pPr>
        <w:spacing w:after="20" w:line="260"/>
        <w:ind w:left="360" w:hanging="360"/>
      </w:pPr>
      <w:r>
        <w:rPr>
          <w:rFonts w:ascii="Arial" w:cs="Arial" w:eastAsia="Arial" w:hAnsi="Arial"/>
          <w:b/>
          <w:bCs/>
          <w:color w:val="1C7293"/>
          <w:sz w:val="19"/>
          <w:szCs w:val="19"/>
        </w:rPr>
        <w:t xml:space="preserve">Exhibit 21:  </w:t>
      </w:r>
      <w:r>
        <w:rPr>
          <w:rFonts w:ascii="Arial" w:cs="Arial" w:eastAsia="Arial" w:hAnsi="Arial"/>
          <w:b/>
          <w:bCs/>
          <w:sz w:val="19"/>
          <w:szCs w:val="19"/>
        </w:rPr>
        <w:t xml:space="preserve">The share of food eaten away from home rises predictably with income and urbanization</w:t>
      </w:r>
    </w:p>
    <w:p>
      <w:pPr>
        <w:spacing w:after="90" w:line="250"/>
        <w:ind w:left="360"/>
      </w:pPr>
      <w:r>
        <w:rPr>
          <w:rFonts w:ascii="Arial" w:cs="Arial" w:eastAsia="Arial" w:hAnsi="Arial"/>
          <w:i/>
          <w:iCs/>
          <w:color w:val="6B7280"/>
          <w:sz w:val="17"/>
          <w:szCs w:val="17"/>
        </w:rPr>
        <w:t xml:space="preserve">Food-away-from-home share of food spend vs. income and urbanization, US history</w:t>
      </w:r>
    </w:p>
    <w:p>
      <w:pPr>
        <w:spacing w:after="20" w:line="260"/>
        <w:ind w:left="360" w:hanging="360"/>
      </w:pPr>
      <w:r>
        <w:rPr>
          <w:rFonts w:ascii="Arial" w:cs="Arial" w:eastAsia="Arial" w:hAnsi="Arial"/>
          <w:b/>
          <w:bCs/>
          <w:color w:val="1C7293"/>
          <w:sz w:val="19"/>
          <w:szCs w:val="19"/>
        </w:rPr>
        <w:t xml:space="preserve">Exhibit 22:  </w:t>
      </w:r>
      <w:r>
        <w:rPr>
          <w:rFonts w:ascii="Arial" w:cs="Arial" w:eastAsia="Arial" w:hAnsi="Arial"/>
          <w:b/>
          <w:bCs/>
          <w:sz w:val="19"/>
          <w:szCs w:val="19"/>
        </w:rPr>
        <w:t xml:space="preserve">Forecasters see the GCC and Egypt food-service market doubling to $123 Bn by 2031</w:t>
      </w:r>
    </w:p>
    <w:p>
      <w:pPr>
        <w:spacing w:after="90" w:line="250"/>
        <w:ind w:left="360"/>
      </w:pPr>
      <w:r>
        <w:rPr>
          <w:rFonts w:ascii="Arial" w:cs="Arial" w:eastAsia="Arial" w:hAnsi="Arial"/>
          <w:i/>
          <w:iCs/>
          <w:color w:val="6B7280"/>
          <w:sz w:val="17"/>
          <w:szCs w:val="17"/>
        </w:rPr>
        <w:t xml:space="preserve">Food-service market size 2025 vs. 2031E and CAGR by market (Mordor Intelligence)</w:t>
      </w:r>
    </w:p>
    <w:p>
      <w:pPr>
        <w:spacing w:after="20" w:line="260"/>
        <w:ind w:left="360" w:hanging="360"/>
      </w:pPr>
      <w:r>
        <w:rPr>
          <w:rFonts w:ascii="Arial" w:cs="Arial" w:eastAsia="Arial" w:hAnsi="Arial"/>
          <w:b/>
          <w:bCs/>
          <w:color w:val="1C7293"/>
          <w:sz w:val="19"/>
          <w:szCs w:val="19"/>
        </w:rPr>
        <w:t xml:space="preserve">Exhibit 23:  </w:t>
      </w:r>
      <w:r>
        <w:rPr>
          <w:rFonts w:ascii="Arial" w:cs="Arial" w:eastAsia="Arial" w:hAnsi="Arial"/>
          <w:b/>
          <w:bCs/>
          <w:sz w:val="19"/>
          <w:szCs w:val="19"/>
        </w:rPr>
        <w:t xml:space="preserve">Egypt has 0.06 chain outlets per 10k people against 2.57 in the US and even the UAE is half the US level</w:t>
      </w:r>
    </w:p>
    <w:p>
      <w:pPr>
        <w:spacing w:after="90" w:line="250"/>
        <w:ind w:left="360"/>
      </w:pPr>
      <w:r>
        <w:rPr>
          <w:rFonts w:ascii="Arial" w:cs="Arial" w:eastAsia="Arial" w:hAnsi="Arial"/>
          <w:i/>
          <w:iCs/>
          <w:color w:val="6B7280"/>
          <w:sz w:val="17"/>
          <w:szCs w:val="17"/>
        </w:rPr>
        <w:t xml:space="preserve">Outlets of the 10 largest global chains per 10k people, 13 countries</w:t>
      </w:r>
    </w:p>
    <w:p>
      <w:pPr>
        <w:spacing w:after="20" w:line="260"/>
        <w:ind w:left="360" w:hanging="360"/>
      </w:pPr>
      <w:r>
        <w:rPr>
          <w:rFonts w:ascii="Arial" w:cs="Arial" w:eastAsia="Arial" w:hAnsi="Arial"/>
          <w:b/>
          <w:bCs/>
          <w:color w:val="1C7293"/>
          <w:sz w:val="19"/>
          <w:szCs w:val="19"/>
        </w:rPr>
        <w:t xml:space="preserve">Exhibit 24:  </w:t>
      </w:r>
      <w:r>
        <w:rPr>
          <w:rFonts w:ascii="Arial" w:cs="Arial" w:eastAsia="Arial" w:hAnsi="Arial"/>
          <w:b/>
          <w:bCs/>
          <w:sz w:val="19"/>
          <w:szCs w:val="19"/>
        </w:rPr>
        <w:t xml:space="preserve">Chains are taking share from independents in every market just as they did in the US and UK</w:t>
      </w:r>
    </w:p>
    <w:p>
      <w:pPr>
        <w:spacing w:after="90" w:line="250"/>
        <w:ind w:left="360"/>
      </w:pPr>
      <w:r>
        <w:rPr>
          <w:rFonts w:ascii="Arial" w:cs="Arial" w:eastAsia="Arial" w:hAnsi="Arial"/>
          <w:i/>
          <w:iCs/>
          <w:color w:val="6B7280"/>
          <w:sz w:val="17"/>
          <w:szCs w:val="17"/>
        </w:rPr>
        <w:t xml:space="preserve">Chained vs. independent revenue share and chained vs. total forecast CAGR</w:t>
      </w:r>
    </w:p>
    <w:p>
      <w:pPr>
        <w:spacing w:after="20" w:line="260"/>
        <w:ind w:left="360" w:hanging="360"/>
      </w:pPr>
      <w:r>
        <w:rPr>
          <w:rFonts w:ascii="Arial" w:cs="Arial" w:eastAsia="Arial" w:hAnsi="Arial"/>
          <w:b/>
          <w:bCs/>
          <w:color w:val="1C7293"/>
          <w:sz w:val="19"/>
          <w:szCs w:val="19"/>
        </w:rPr>
        <w:t xml:space="preserve">Exhibit 25:  </w:t>
      </w:r>
      <w:r>
        <w:rPr>
          <w:rFonts w:ascii="Arial" w:cs="Arial" w:eastAsia="Arial" w:hAnsi="Arial"/>
          <w:b/>
          <w:bCs/>
          <w:sz w:val="19"/>
          <w:szCs w:val="19"/>
        </w:rPr>
        <w:t xml:space="preserve">Americana is the only listed operator of scale in its markets and regional peers are a tenth of its size</w:t>
      </w:r>
    </w:p>
    <w:p>
      <w:pPr>
        <w:spacing w:after="90" w:line="250"/>
        <w:ind w:left="360"/>
      </w:pPr>
      <w:r>
        <w:rPr>
          <w:rFonts w:ascii="Arial" w:cs="Arial" w:eastAsia="Arial" w:hAnsi="Arial"/>
          <w:i/>
          <w:iCs/>
          <w:color w:val="6B7280"/>
          <w:sz w:val="17"/>
          <w:szCs w:val="17"/>
        </w:rPr>
        <w:t xml:space="preserve">Listed QSR operator revenue ladder, global and regional</w:t>
      </w:r>
    </w:p>
    <w:p>
      <w:pPr>
        <w:spacing w:after="20" w:line="260"/>
        <w:ind w:left="360" w:hanging="360"/>
      </w:pPr>
      <w:r>
        <w:rPr>
          <w:rFonts w:ascii="Arial" w:cs="Arial" w:eastAsia="Arial" w:hAnsi="Arial"/>
          <w:b/>
          <w:bCs/>
          <w:color w:val="1C7293"/>
          <w:sz w:val="19"/>
          <w:szCs w:val="19"/>
        </w:rPr>
        <w:t xml:space="preserve">Exhibit 26:  </w:t>
      </w:r>
      <w:r>
        <w:rPr>
          <w:rFonts w:ascii="Arial" w:cs="Arial" w:eastAsia="Arial" w:hAnsi="Arial"/>
          <w:b/>
          <w:bCs/>
          <w:sz w:val="19"/>
          <w:szCs w:val="19"/>
        </w:rPr>
        <w:t xml:space="preserve">12 countries and 2741 restaurants and $2.6 Bn of revenue with nobody within half the footprint</w:t>
      </w:r>
    </w:p>
    <w:p>
      <w:pPr>
        <w:spacing w:after="90" w:line="250"/>
        <w:ind w:left="360"/>
      </w:pPr>
      <w:r>
        <w:rPr>
          <w:rFonts w:ascii="Arial" w:cs="Arial" w:eastAsia="Arial" w:hAnsi="Arial"/>
          <w:i/>
          <w:iCs/>
          <w:color w:val="6B7280"/>
          <w:sz w:val="17"/>
          <w:szCs w:val="17"/>
        </w:rPr>
        <w:t xml:space="preserve">Americana footprint: 12 countries, stores by market, LTM revenue</w:t>
      </w:r>
    </w:p>
    <w:p>
      <w:pPr>
        <w:spacing w:after="20" w:line="260"/>
        <w:ind w:left="360" w:hanging="360"/>
      </w:pPr>
      <w:r>
        <w:rPr>
          <w:rFonts w:ascii="Arial" w:cs="Arial" w:eastAsia="Arial" w:hAnsi="Arial"/>
          <w:b/>
          <w:bCs/>
          <w:color w:val="1C7293"/>
          <w:sz w:val="19"/>
          <w:szCs w:val="19"/>
        </w:rPr>
        <w:t xml:space="preserve">Exhibit 27:  </w:t>
      </w:r>
      <w:r>
        <w:rPr>
          <w:rFonts w:ascii="Arial" w:cs="Arial" w:eastAsia="Arial" w:hAnsi="Arial"/>
          <w:b/>
          <w:bCs/>
          <w:sz w:val="19"/>
          <w:szCs w:val="19"/>
        </w:rPr>
        <w:t xml:space="preserve">Four power brands drive 94% of revenue while the new brands add optionality</w:t>
      </w:r>
    </w:p>
    <w:p>
      <w:pPr>
        <w:spacing w:after="90" w:line="250"/>
        <w:ind w:left="360"/>
      </w:pPr>
      <w:r>
        <w:rPr>
          <w:rFonts w:ascii="Arial" w:cs="Arial" w:eastAsia="Arial" w:hAnsi="Arial"/>
          <w:i/>
          <w:iCs/>
          <w:color w:val="6B7280"/>
          <w:sz w:val="17"/>
          <w:szCs w:val="17"/>
        </w:rPr>
        <w:t xml:space="preserve">Brand portfolio: power brands, growth and niche brands, store and revenue mix</w:t>
      </w:r>
    </w:p>
    <w:p>
      <w:pPr>
        <w:spacing w:after="20" w:line="260"/>
        <w:ind w:left="360" w:hanging="360"/>
      </w:pPr>
      <w:r>
        <w:rPr>
          <w:rFonts w:ascii="Arial" w:cs="Arial" w:eastAsia="Arial" w:hAnsi="Arial"/>
          <w:b/>
          <w:bCs/>
          <w:color w:val="1C7293"/>
          <w:sz w:val="19"/>
          <w:szCs w:val="19"/>
        </w:rPr>
        <w:t xml:space="preserve">Exhibit 28:  </w:t>
      </w:r>
      <w:r>
        <w:rPr>
          <w:rFonts w:ascii="Arial" w:cs="Arial" w:eastAsia="Arial" w:hAnsi="Arial"/>
          <w:b/>
          <w:bCs/>
          <w:sz w:val="19"/>
          <w:szCs w:val="19"/>
        </w:rPr>
        <w:t xml:space="preserve">New stores return their capital in about 3 years at a 32% cash-on-cash return</w:t>
      </w:r>
    </w:p>
    <w:p>
      <w:pPr>
        <w:spacing w:after="90" w:line="250"/>
        <w:ind w:left="360"/>
      </w:pPr>
      <w:r>
        <w:rPr>
          <w:rFonts w:ascii="Arial" w:cs="Arial" w:eastAsia="Arial" w:hAnsi="Arial"/>
          <w:i/>
          <w:iCs/>
          <w:color w:val="6B7280"/>
          <w:sz w:val="17"/>
          <w:szCs w:val="17"/>
        </w:rPr>
        <w:t xml:space="preserve">New-store capex, cash-on-cash return and payback by brand</w:t>
      </w:r>
    </w:p>
    <w:p>
      <w:pPr>
        <w:spacing w:after="20" w:line="260"/>
        <w:ind w:left="360" w:hanging="360"/>
      </w:pPr>
      <w:r>
        <w:rPr>
          <w:rFonts w:ascii="Arial" w:cs="Arial" w:eastAsia="Arial" w:hAnsi="Arial"/>
          <w:b/>
          <w:bCs/>
          <w:color w:val="1C7293"/>
          <w:sz w:val="19"/>
          <w:szCs w:val="19"/>
        </w:rPr>
        <w:t xml:space="preserve">Exhibit 29:  </w:t>
      </w:r>
      <w:r>
        <w:rPr>
          <w:rFonts w:ascii="Arial" w:cs="Arial" w:eastAsia="Arial" w:hAnsi="Arial"/>
          <w:b/>
          <w:bCs/>
          <w:sz w:val="19"/>
          <w:szCs w:val="19"/>
        </w:rPr>
        <w:t xml:space="preserve">Like-for-like sales fell about 20% for four straight quarters and have now recovered to mid-single digits</w:t>
      </w:r>
    </w:p>
    <w:p>
      <w:pPr>
        <w:spacing w:after="90" w:line="250"/>
        <w:ind w:left="360"/>
      </w:pPr>
      <w:r>
        <w:rPr>
          <w:rFonts w:ascii="Arial" w:cs="Arial" w:eastAsia="Arial" w:hAnsi="Arial"/>
          <w:i/>
          <w:iCs/>
          <w:color w:val="6B7280"/>
          <w:sz w:val="17"/>
          <w:szCs w:val="17"/>
        </w:rPr>
        <w:t xml:space="preserve">Group LfL by quarter, 1Q23-1Q26</w:t>
      </w:r>
    </w:p>
    <w:p>
      <w:pPr>
        <w:spacing w:after="20" w:line="260"/>
        <w:ind w:left="360" w:hanging="360"/>
      </w:pPr>
      <w:r>
        <w:rPr>
          <w:rFonts w:ascii="Arial" w:cs="Arial" w:eastAsia="Arial" w:hAnsi="Arial"/>
          <w:b/>
          <w:bCs/>
          <w:color w:val="1C7293"/>
          <w:sz w:val="19"/>
          <w:szCs w:val="19"/>
        </w:rPr>
        <w:t xml:space="preserve">Exhibit 30:  </w:t>
      </w:r>
      <w:r>
        <w:rPr>
          <w:rFonts w:ascii="Arial" w:cs="Arial" w:eastAsia="Arial" w:hAnsi="Arial"/>
          <w:b/>
          <w:bCs/>
          <w:sz w:val="19"/>
          <w:szCs w:val="19"/>
        </w:rPr>
        <w:t xml:space="preserve">Revenue and EBITDA and profit all exceed pre-boycott levels and margins are at record highs</w:t>
      </w:r>
    </w:p>
    <w:p>
      <w:pPr>
        <w:spacing w:after="90" w:line="250"/>
        <w:ind w:left="360"/>
      </w:pPr>
      <w:r>
        <w:rPr>
          <w:rFonts w:ascii="Arial" w:cs="Arial" w:eastAsia="Arial" w:hAnsi="Arial"/>
          <w:i/>
          <w:iCs/>
          <w:color w:val="6B7280"/>
          <w:sz w:val="17"/>
          <w:szCs w:val="17"/>
        </w:rPr>
        <w:t xml:space="preserve">Revenue, EBITDA and PAT with 4-wall and EBITDA margin recovery</w:t>
      </w:r>
    </w:p>
    <w:p>
      <w:pPr>
        <w:spacing w:after="20" w:line="260"/>
        <w:ind w:left="360" w:hanging="360"/>
      </w:pPr>
      <w:r>
        <w:rPr>
          <w:rFonts w:ascii="Arial" w:cs="Arial" w:eastAsia="Arial" w:hAnsi="Arial"/>
          <w:b/>
          <w:bCs/>
          <w:color w:val="1C7293"/>
          <w:sz w:val="19"/>
          <w:szCs w:val="19"/>
        </w:rPr>
        <w:t xml:space="preserve">Exhibit 31:  </w:t>
      </w:r>
      <w:r>
        <w:rPr>
          <w:rFonts w:ascii="Arial" w:cs="Arial" w:eastAsia="Arial" w:hAnsi="Arial"/>
          <w:b/>
          <w:bCs/>
          <w:sz w:val="19"/>
          <w:szCs w:val="19"/>
        </w:rPr>
        <w:t xml:space="preserve">Zero debt with rising cash conversion and a payout ratio that has climbed from 39% to 92%</w:t>
      </w:r>
    </w:p>
    <w:p>
      <w:pPr>
        <w:spacing w:after="90" w:line="250"/>
        <w:ind w:left="360"/>
      </w:pPr>
      <w:r>
        <w:rPr>
          <w:rFonts w:ascii="Arial" w:cs="Arial" w:eastAsia="Arial" w:hAnsi="Arial"/>
          <w:i/>
          <w:iCs/>
          <w:color w:val="6B7280"/>
          <w:sz w:val="17"/>
          <w:szCs w:val="17"/>
        </w:rPr>
        <w:t xml:space="preserve">Net cash, FCF, conversion ratios and dividend payout, FY21-H1 26</w:t>
      </w:r>
    </w:p>
    <w:p>
      <w:pPr>
        <w:spacing w:after="20" w:line="260"/>
        <w:ind w:left="360" w:hanging="360"/>
      </w:pPr>
      <w:r>
        <w:rPr>
          <w:rFonts w:ascii="Arial" w:cs="Arial" w:eastAsia="Arial" w:hAnsi="Arial"/>
          <w:b/>
          <w:bCs/>
          <w:color w:val="1C7293"/>
          <w:sz w:val="19"/>
          <w:szCs w:val="19"/>
        </w:rPr>
        <w:t xml:space="preserve">Exhibit 32:  </w:t>
      </w:r>
      <w:r>
        <w:rPr>
          <w:rFonts w:ascii="Arial" w:cs="Arial" w:eastAsia="Arial" w:hAnsi="Arial"/>
          <w:b/>
          <w:bCs/>
          <w:sz w:val="19"/>
          <w:szCs w:val="19"/>
        </w:rPr>
        <w:t xml:space="preserve">Suppliers fund the growth because working capital runs at about minus 10% of revenue and the float exceeds the capex bill</w:t>
      </w:r>
    </w:p>
    <w:p>
      <w:pPr>
        <w:spacing w:after="90" w:line="250"/>
        <w:ind w:left="360"/>
      </w:pPr>
      <w:r>
        <w:rPr>
          <w:rFonts w:ascii="Arial" w:cs="Arial" w:eastAsia="Arial" w:hAnsi="Arial"/>
          <w:i/>
          <w:iCs/>
          <w:color w:val="6B7280"/>
          <w:sz w:val="17"/>
          <w:szCs w:val="17"/>
        </w:rPr>
        <w:t xml:space="preserve">Negative working capital and gross capex</w:t>
      </w:r>
    </w:p>
    <w:p>
      <w:pPr>
        <w:spacing w:after="20" w:line="260"/>
        <w:ind w:left="360" w:hanging="360"/>
      </w:pPr>
      <w:r>
        <w:rPr>
          <w:rFonts w:ascii="Arial" w:cs="Arial" w:eastAsia="Arial" w:hAnsi="Arial"/>
          <w:b/>
          <w:bCs/>
          <w:color w:val="1C7293"/>
          <w:sz w:val="19"/>
          <w:szCs w:val="19"/>
        </w:rPr>
        <w:t xml:space="preserve">Exhibit 33:  </w:t>
      </w:r>
      <w:r>
        <w:rPr>
          <w:rFonts w:ascii="Arial" w:cs="Arial" w:eastAsia="Arial" w:hAnsi="Arial"/>
          <w:b/>
          <w:bCs/>
          <w:sz w:val="19"/>
          <w:szCs w:val="19"/>
        </w:rPr>
        <w:t xml:space="preserve">No listed peer combines franchisee growth economics with franchisor-grade cash returns</w:t>
      </w:r>
    </w:p>
    <w:p>
      <w:pPr>
        <w:spacing w:after="90" w:line="250"/>
        <w:ind w:left="360"/>
      </w:pPr>
      <w:r>
        <w:rPr>
          <w:rFonts w:ascii="Arial" w:cs="Arial" w:eastAsia="Arial" w:hAnsi="Arial"/>
          <w:i/>
          <w:iCs/>
          <w:color w:val="6B7280"/>
          <w:sz w:val="17"/>
          <w:szCs w:val="17"/>
        </w:rPr>
        <w:t xml:space="preserve">Peer scorecard: Americana vs. global franchisees and franchisors, seven metrics</w:t>
      </w:r>
    </w:p>
    <w:p>
      <w:pPr>
        <w:spacing w:after="20" w:line="260"/>
        <w:ind w:left="360" w:hanging="360"/>
      </w:pPr>
      <w:r>
        <w:rPr>
          <w:rFonts w:ascii="Arial" w:cs="Arial" w:eastAsia="Arial" w:hAnsi="Arial"/>
          <w:b/>
          <w:bCs/>
          <w:color w:val="1C7293"/>
          <w:sz w:val="19"/>
          <w:szCs w:val="19"/>
        </w:rPr>
        <w:t xml:space="preserve">Exhibit 34:  </w:t>
      </w:r>
      <w:r>
        <w:rPr>
          <w:rFonts w:ascii="Arial" w:cs="Arial" w:eastAsia="Arial" w:hAnsi="Arial"/>
          <w:b/>
          <w:bCs/>
          <w:sz w:val="19"/>
          <w:szCs w:val="19"/>
        </w:rPr>
        <w:t xml:space="preserve">Our store and revenue forecasts sit at or slightly below consensus</w:t>
      </w:r>
    </w:p>
    <w:p>
      <w:pPr>
        <w:spacing w:after="90" w:line="250"/>
        <w:ind w:left="360"/>
      </w:pPr>
      <w:r>
        <w:rPr>
          <w:rFonts w:ascii="Arial" w:cs="Arial" w:eastAsia="Arial" w:hAnsi="Arial"/>
          <w:i/>
          <w:iCs/>
          <w:color w:val="6B7280"/>
          <w:sz w:val="17"/>
          <w:szCs w:val="17"/>
        </w:rPr>
        <w:t xml:space="preserve">Bernstein estimates vs. consensus: net store openings, revenue, gross profit</w:t>
      </w:r>
    </w:p>
    <w:p>
      <w:pPr>
        <w:spacing w:after="20" w:line="260"/>
        <w:ind w:left="360" w:hanging="360"/>
      </w:pPr>
      <w:r>
        <w:rPr>
          <w:rFonts w:ascii="Arial" w:cs="Arial" w:eastAsia="Arial" w:hAnsi="Arial"/>
          <w:b/>
          <w:bCs/>
          <w:color w:val="1C7293"/>
          <w:sz w:val="19"/>
          <w:szCs w:val="19"/>
        </w:rPr>
        <w:t xml:space="preserve">Exhibit 35:  </w:t>
      </w:r>
      <w:r>
        <w:rPr>
          <w:rFonts w:ascii="Arial" w:cs="Arial" w:eastAsia="Arial" w:hAnsi="Arial"/>
          <w:b/>
          <w:bCs/>
          <w:sz w:val="19"/>
          <w:szCs w:val="19"/>
        </w:rPr>
        <w:t xml:space="preserve">Our EBITDA and EPS forecasts are broadly in line with the street</w:t>
      </w:r>
    </w:p>
    <w:p>
      <w:pPr>
        <w:spacing w:after="90" w:line="250"/>
        <w:ind w:left="360"/>
      </w:pPr>
      <w:r>
        <w:rPr>
          <w:rFonts w:ascii="Arial" w:cs="Arial" w:eastAsia="Arial" w:hAnsi="Arial"/>
          <w:i/>
          <w:iCs/>
          <w:color w:val="6B7280"/>
          <w:sz w:val="17"/>
          <w:szCs w:val="17"/>
        </w:rPr>
        <w:t xml:space="preserve">Bernstein estimates vs. consensus: EBITDA, PAT, diluted EPS</w:t>
      </w:r>
    </w:p>
    <w:p>
      <w:pPr>
        <w:spacing w:after="20" w:line="260"/>
        <w:ind w:left="360" w:hanging="360"/>
      </w:pPr>
      <w:r>
        <w:rPr>
          <w:rFonts w:ascii="Arial" w:cs="Arial" w:eastAsia="Arial" w:hAnsi="Arial"/>
          <w:b/>
          <w:bCs/>
          <w:color w:val="1C7293"/>
          <w:sz w:val="19"/>
          <w:szCs w:val="19"/>
        </w:rPr>
        <w:t xml:space="preserve">Exhibit 36:  </w:t>
      </w:r>
      <w:r>
        <w:rPr>
          <w:rFonts w:ascii="Arial" w:cs="Arial" w:eastAsia="Arial" w:hAnsi="Arial"/>
          <w:b/>
          <w:bCs/>
          <w:sz w:val="19"/>
          <w:szCs w:val="19"/>
        </w:rPr>
        <w:t xml:space="preserve">The stock trades at 20x forward earnings against its own average of 24.6x</w:t>
      </w:r>
    </w:p>
    <w:p>
      <w:pPr>
        <w:spacing w:after="90" w:line="250"/>
        <w:ind w:left="360"/>
      </w:pPr>
      <w:r>
        <w:rPr>
          <w:rFonts w:ascii="Arial" w:cs="Arial" w:eastAsia="Arial" w:hAnsi="Arial"/>
          <w:i/>
          <w:iCs/>
          <w:color w:val="6B7280"/>
          <w:sz w:val="17"/>
          <w:szCs w:val="17"/>
        </w:rPr>
        <w:t xml:space="preserve">Forward P/E: average 24.6x, one-standard-deviation band, current 20.4x</w:t>
      </w:r>
    </w:p>
    <w:p>
      <w:pPr>
        <w:spacing w:after="20" w:line="260"/>
        <w:ind w:left="360" w:hanging="360"/>
      </w:pPr>
      <w:r>
        <w:rPr>
          <w:rFonts w:ascii="Arial" w:cs="Arial" w:eastAsia="Arial" w:hAnsi="Arial"/>
          <w:b/>
          <w:bCs/>
          <w:color w:val="1C7293"/>
          <w:sz w:val="19"/>
          <w:szCs w:val="19"/>
        </w:rPr>
        <w:t xml:space="preserve">Exhibit 37:  </w:t>
      </w:r>
      <w:r>
        <w:rPr>
          <w:rFonts w:ascii="Arial" w:cs="Arial" w:eastAsia="Arial" w:hAnsi="Arial"/>
          <w:b/>
          <w:bCs/>
          <w:sz w:val="19"/>
          <w:szCs w:val="19"/>
        </w:rPr>
        <w:t xml:space="preserve">Returning to its own average multiple takes the stock to SAR 3.0</w:t>
      </w:r>
    </w:p>
    <w:p>
      <w:pPr>
        <w:spacing w:after="90" w:line="250"/>
        <w:ind w:left="360"/>
      </w:pPr>
      <w:r>
        <w:rPr>
          <w:rFonts w:ascii="Arial" w:cs="Arial" w:eastAsia="Arial" w:hAnsi="Arial"/>
          <w:i/>
          <w:iCs/>
          <w:color w:val="6B7280"/>
          <w:sz w:val="17"/>
          <w:szCs w:val="17"/>
        </w:rPr>
        <w:t xml:space="preserve">Multiple-based valuation: 25x FY26E EPS, TP SAR 3.0 / AED 2.9</w:t>
      </w:r>
    </w:p>
    <w:p>
      <w:pPr>
        <w:spacing w:after="20" w:line="260"/>
        <w:ind w:left="360" w:hanging="360"/>
      </w:pPr>
      <w:r>
        <w:rPr>
          <w:rFonts w:ascii="Arial" w:cs="Arial" w:eastAsia="Arial" w:hAnsi="Arial"/>
          <w:b/>
          <w:bCs/>
          <w:color w:val="1C7293"/>
          <w:sz w:val="19"/>
          <w:szCs w:val="19"/>
        </w:rPr>
        <w:t xml:space="preserve">Exhibit 38:  </w:t>
      </w:r>
      <w:r>
        <w:rPr>
          <w:rFonts w:ascii="Arial" w:cs="Arial" w:eastAsia="Arial" w:hAnsi="Arial"/>
          <w:b/>
          <w:bCs/>
          <w:sz w:val="19"/>
          <w:szCs w:val="19"/>
        </w:rPr>
        <w:t xml:space="preserve">Our DCF independently arrives within 1% of the multiple-based target</w:t>
      </w:r>
    </w:p>
    <w:p>
      <w:pPr>
        <w:spacing w:after="90" w:line="250"/>
        <w:ind w:left="360"/>
      </w:pPr>
      <w:r>
        <w:rPr>
          <w:rFonts w:ascii="Arial" w:cs="Arial" w:eastAsia="Arial" w:hAnsi="Arial"/>
          <w:i/>
          <w:iCs/>
          <w:color w:val="6B7280"/>
          <w:sz w:val="17"/>
          <w:szCs w:val="17"/>
        </w:rPr>
        <w:t xml:space="preserve">DCF: ten-year explicit forecast, WACC 9.9%, terminal growth 2.5%</w:t>
      </w:r>
    </w:p>
    <w:p>
      <w:pPr>
        <w:pStyle w:val="Heading1"/>
        <w:spacing w:after="160" w:before="320"/>
      </w:pPr>
      <w:r>
        <w:rPr>
          <w:rFonts w:ascii="Arial" w:cs="Arial" w:eastAsia="Arial" w:hAnsi="Arial"/>
          <w:b/>
          <w:bCs/>
          <w:color w:val="14324C"/>
          <w:sz w:val="28"/>
          <w:szCs w:val="28"/>
        </w:rPr>
        <w:t xml:space="preserve">SECTION 1: THE RIGHT COUNTRIES — Large consumer wallets, growing well</w:t>
      </w:r>
    </w:p>
    <w:p>
      <w:pPr>
        <w:spacing w:after="160" w:line="276"/>
        <w:jc w:val="both"/>
      </w:pPr>
      <w:r>
        <w:rPr>
          <w:rFonts w:ascii="Arial" w:cs="Arial" w:eastAsia="Arial" w:hAnsi="Arial"/>
          <w:sz w:val="21"/>
          <w:szCs w:val="21"/>
        </w:rPr>
        <w:t xml:space="preserve">The first pillar of our thesis is Americana’s markets. We believe the GCC offers a rare combination of rich-world incomes and emerging-market consumer growth, and that this combination is structural. Three data points support this view: (a) household consumption is outgrowing GDP in nearly every Americana market (b) consumption is still a small share of these economies, leaving a long runway for (a) to continue (c) non-oil diversification and government-funded tourism add new demand every year. We take these in turn.</w:t>
      </w:r>
    </w:p>
    <w:p>
      <w:pPr>
        <w:spacing w:after="160" w:line="276"/>
        <w:jc w:val="both"/>
      </w:pPr>
      <w:r>
        <w:rPr>
          <w:rFonts w:ascii="Arial" w:cs="Arial" w:eastAsia="Arial" w:hAnsi="Arial"/>
          <w:b/>
          <w:bCs/>
          <w:sz w:val="21"/>
          <w:szCs w:val="21"/>
        </w:rPr>
        <w:t xml:space="preserve">Consumption is outgrowing GDP, nearly everywhere. </w:t>
      </w:r>
      <w:r>
        <w:rPr>
          <w:rFonts w:ascii="Arial" w:cs="Arial" w:eastAsia="Arial" w:hAnsi="Arial"/>
          <w:sz w:val="21"/>
          <w:szCs w:val="21"/>
        </w:rPr>
        <w:t xml:space="preserve">Over 2021-24, household consumption grew faster than GDP in 8 of Americana’s 9 large markets (Exhibit 13). UAE consumption grew 12.0% p.a. vs. 5.1% GDP growth. Saudi was 5.9% vs. 5.4%, with Kazakhstan, Bahrain, Egypt, Oman, Iraq and Kuwait showing the same gap. This matters because Americana’s revenue follows wallets, not barrels. Oil price shocks hit GDP, while the consumer keeps eating.</w:t>
      </w:r>
    </w:p>
    <w:p>
      <w:pPr>
        <w:spacing w:after="160" w:line="276"/>
        <w:jc w:val="both"/>
      </w:pPr>
      <w:r>
        <w:rPr>
          <w:rFonts w:ascii="Arial" w:cs="Arial" w:eastAsia="Arial" w:hAnsi="Arial"/>
          <w:b/>
          <w:bCs/>
          <w:sz w:val="21"/>
          <w:szCs w:val="21"/>
        </w:rPr>
        <w:t xml:space="preserve">High incomes, low consumption share. That is the headroom. </w:t>
      </w:r>
      <w:r>
        <w:rPr>
          <w:rFonts w:ascii="Arial" w:cs="Arial" w:eastAsia="Arial" w:hAnsi="Arial"/>
          <w:sz w:val="21"/>
          <w:szCs w:val="21"/>
        </w:rPr>
        <w:t xml:space="preserve">GCC consumers already earn at rich-world levels, with UAE GDP/capita at ~$50k in 2024 and Qatar at ~$76k vs. ~$86k for the US (Exhibit 14). However, private consumption is only 48% of GDP in Saudi and ~45% in Kuwait, Oman and Bahrain, vs. 69% in the US and 62% in the UK (Exhibit 15). Oil inflates the denominator. As oil’s weight falls, the consumption share should drift toward rich-world levels, allowing consumption to outgrow GDP for years without any heroic assumptions.</w:t>
      </w:r>
    </w:p>
    <w:p>
      <w:pPr>
        <w:spacing w:after="160" w:line="276"/>
        <w:jc w:val="both"/>
      </w:pPr>
      <w:r>
        <w:rPr>
          <w:rFonts w:ascii="Arial" w:cs="Arial" w:eastAsia="Arial" w:hAnsi="Arial"/>
          <w:b/>
          <w:bCs/>
          <w:sz w:val="21"/>
          <w:szCs w:val="21"/>
        </w:rPr>
        <w:t xml:space="preserve">Non-oil diversification is the engine, and it is already delivering. </w:t>
      </w:r>
      <w:r>
        <w:rPr>
          <w:rFonts w:ascii="Arial" w:cs="Arial" w:eastAsia="Arial" w:hAnsi="Arial"/>
          <w:sz w:val="21"/>
          <w:szCs w:val="21"/>
        </w:rPr>
        <w:t xml:space="preserve">Non-oil activities went from 45% of Saudi real GDP in 2015 to 55% in 2025, with Vision 2030 targeting 65% (Exhibit 16). The stress tests have already run. In 2023, OPEC cuts held Saudi GDP growth to 0.5% while non-oil grew 7.0%. In 2024, the split was 2.7% vs. 6.0%. The UAE shows the same pattern (+5.0% total vs. +6.8% non-oil in 2025) and Kuwait is the extreme case, with total GDP shrinking in 2023 and 2024 while non-oil kept growing (Exhibit 17). Americana sells into the non-oil economy, which has not had a bad year since Covid.</w:t>
      </w:r>
    </w:p>
    <w:p>
      <w:pPr>
        <w:spacing w:after="160" w:line="276"/>
        <w:jc w:val="both"/>
      </w:pPr>
      <w:r>
        <w:rPr>
          <w:rFonts w:ascii="Arial" w:cs="Arial" w:eastAsia="Arial" w:hAnsi="Arial"/>
          <w:b/>
          <w:bCs/>
          <w:sz w:val="21"/>
          <w:szCs w:val="21"/>
        </w:rPr>
        <w:t xml:space="preserve">Tourism adds a second wallet on top of the resident one. </w:t>
      </w:r>
      <w:r>
        <w:rPr>
          <w:rFonts w:ascii="Arial" w:cs="Arial" w:eastAsia="Arial" w:hAnsi="Arial"/>
          <w:sz w:val="21"/>
          <w:szCs w:val="21"/>
        </w:rPr>
        <w:t xml:space="preserve">Saudi hosted 123 Mn tourists in 2025 (vs. 65 Mn in 2019) with a 150 Mn target by 2030. Foreign tourist spend reached ~$47 Bn in 2025 (~3.7% of GDP), up from ~$28 Bn in 2019 (Exhibit 18). The UAE is further ahead, with Dubai alone drawing 20 Mn international visitors in 2025 and UAE-wide foreign tourist spend at ~$62 Bn, ~11% of GDP (Exhibit 19). None of this demand appears in household consumption data, yet it lands in the same malls and food courts where Americana operates.</w:t>
      </w:r>
    </w:p>
    <w:p>
      <w:pPr>
        <w:spacing w:after="160" w:line="276"/>
        <w:jc w:val="both"/>
      </w:pPr>
      <w:r>
        <w:rPr>
          <w:rFonts w:ascii="Arial" w:cs="Arial" w:eastAsia="Arial" w:hAnsi="Arial"/>
          <w:b/>
          <w:bCs/>
          <w:sz w:val="21"/>
          <w:szCs w:val="21"/>
        </w:rPr>
        <w:t xml:space="preserve">Key risk: a sustained oil crash. </w:t>
      </w:r>
      <w:r>
        <w:rPr>
          <w:rFonts w:ascii="Arial" w:cs="Arial" w:eastAsia="Arial" w:hAnsi="Arial"/>
          <w:sz w:val="21"/>
          <w:szCs w:val="21"/>
        </w:rPr>
        <w:t xml:space="preserve">The bear case for this pillar is an oil price collapse that forces fiscal retrenchment and cuts the state spending that seeds the non-oil economy. We would note that the stress test has effectively been run. The 2023-24 production cuts were a meaningful oil revenue shock, and non-oil growth held at 6-7% through it. Americana’s footprint also diversifies the risk, as Egypt (84% consumption share of GDP) and Kazakhstan respond to different cycles than the GCC. The thesis fails only if non-oil growth and oil revenue re-couple, and four years of data say they have not.</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Americana’s markets offer consumption growth ahead of GDP, a rising consumer share of the economy and a growing tourist wallet on top. We believe this backdrop can support volume growth for QSR operators for years without requiring market share gains. Whether the restaurant supply exists to capture this demand is the subject of Section 2.</w:t>
      </w:r>
    </w:p>
    <w:p>
      <w:pPr>
        <w:pStyle w:val="Heading1"/>
        <w:spacing w:after="160" w:before="320"/>
      </w:pPr>
      <w:r>
        <w:rPr>
          <w:rFonts w:ascii="Arial" w:cs="Arial" w:eastAsia="Arial" w:hAnsi="Arial"/>
          <w:b/>
          <w:bCs/>
          <w:color w:val="14324C"/>
          <w:sz w:val="28"/>
          <w:szCs w:val="28"/>
        </w:rPr>
        <w:t xml:space="preserve">SECTION 2: THE RIGHT INDUSTRY — Tailwinds and headroom driving QSR penetration</w:t>
      </w:r>
    </w:p>
    <w:p>
      <w:pPr>
        <w:spacing w:after="160" w:line="276"/>
        <w:jc w:val="both"/>
      </w:pPr>
      <w:r>
        <w:rPr>
          <w:rFonts w:ascii="Arial" w:cs="Arial" w:eastAsia="Arial" w:hAnsi="Arial"/>
          <w:sz w:val="21"/>
          <w:szCs w:val="21"/>
        </w:rPr>
        <w:t xml:space="preserve">The second pillar of our thesis is the industry. We believe QSR penetration in Americana’s markets is low and will keep rising. Three data points support this view: (a) demographics favour eating out, with young and growing populations and rising female workforce participation (b) global QSR chains have far fewer outlets per person in these markets than income levels justify (c) forecasts see the market doubling by 2031, with chained restaurants growing faster than the overall market. We take these in turn.</w:t>
      </w:r>
    </w:p>
    <w:p>
      <w:pPr>
        <w:spacing w:after="160" w:line="276"/>
        <w:jc w:val="both"/>
      </w:pPr>
      <w:r>
        <w:rPr>
          <w:rFonts w:ascii="Arial" w:cs="Arial" w:eastAsia="Arial" w:hAnsi="Arial"/>
          <w:b/>
          <w:bCs/>
          <w:sz w:val="21"/>
          <w:szCs w:val="21"/>
        </w:rPr>
        <w:t xml:space="preserve">Demographics favour eating out. </w:t>
      </w:r>
      <w:r>
        <w:rPr>
          <w:rFonts w:ascii="Arial" w:cs="Arial" w:eastAsia="Arial" w:hAnsi="Arial"/>
          <w:sz w:val="21"/>
          <w:szCs w:val="21"/>
        </w:rPr>
        <w:t xml:space="preserve">The median age in Americana’s markets is 20 in Iraq, 24 in Egypt and 29 in Saudi, vs. 38 in the US, 40 in the UK and 49 in Japan (Exhibit 20). The population across the footprint grew by 49 Mn over the last decade, with Egypt adding ~18 Mn. Female workforce participation is also rising, 53% in the UAE and up from ~23% to 34% in Saudi within a decade. Younger populations, more people and more working women all increase eating out. Every developed food-service market has followed this pattern.</w:t>
      </w:r>
    </w:p>
    <w:p>
      <w:pPr>
        <w:spacing w:after="160" w:line="276"/>
        <w:jc w:val="both"/>
      </w:pPr>
      <w:r>
        <w:rPr>
          <w:rFonts w:ascii="Arial" w:cs="Arial" w:eastAsia="Arial" w:hAnsi="Arial"/>
          <w:b/>
          <w:bCs/>
          <w:sz w:val="21"/>
          <w:szCs w:val="21"/>
        </w:rPr>
        <w:t xml:space="preserve">Incomes are high, habits are changing. </w:t>
      </w:r>
      <w:r>
        <w:rPr>
          <w:rFonts w:ascii="Arial" w:cs="Arial" w:eastAsia="Arial" w:hAnsi="Arial"/>
          <w:sz w:val="21"/>
          <w:szCs w:val="21"/>
        </w:rPr>
        <w:t xml:space="preserve">The share of food-away-from-home in the food wallet rises with income and urbanization. In the US it went from under 30% to over 50% of food spend as incomes grew (Exhibit 21). Gulf incomes are already at rich-world levels while the habit shift is still under way. The frequency data confirms it, ~40% of Middle East consumers eat out weekly vs. ~25% globally (PwC Voice of Consumer 2025).</w:t>
      </w:r>
    </w:p>
    <w:p>
      <w:pPr>
        <w:spacing w:after="160" w:line="276"/>
        <w:jc w:val="both"/>
      </w:pPr>
      <w:r>
        <w:rPr>
          <w:rFonts w:ascii="Arial" w:cs="Arial" w:eastAsia="Arial" w:hAnsi="Arial"/>
          <w:b/>
          <w:bCs/>
          <w:sz w:val="21"/>
          <w:szCs w:val="21"/>
        </w:rPr>
        <w:t xml:space="preserve">The market should double by 2031. </w:t>
      </w:r>
      <w:r>
        <w:rPr>
          <w:rFonts w:ascii="Arial" w:cs="Arial" w:eastAsia="Arial" w:hAnsi="Arial"/>
          <w:sz w:val="21"/>
          <w:szCs w:val="21"/>
        </w:rPr>
        <w:t xml:space="preserve">Mordor Intelligence sizes the GCC + Egypt food-service market at ~$62 Bn in 2025, growing to ~$123 Bn by 2031, a 12% CAGR (Exhibit 22). The UAE is the fastest at ~18% and Egypt ~14%, with Saudi at ~8%. Vendor estimates differ, Euromonitor is more conservative on the UAE, but all providers agree on the direction, and our Americana model does not depend on these forecasts (more below).</w:t>
      </w:r>
    </w:p>
    <w:p>
      <w:pPr>
        <w:spacing w:after="160" w:line="276"/>
        <w:jc w:val="both"/>
      </w:pPr>
      <w:r>
        <w:rPr>
          <w:rFonts w:ascii="Arial" w:cs="Arial" w:eastAsia="Arial" w:hAnsi="Arial"/>
          <w:b/>
          <w:bCs/>
          <w:sz w:val="21"/>
          <w:szCs w:val="21"/>
        </w:rPr>
        <w:t xml:space="preserve">Chains are under-represented. </w:t>
      </w:r>
      <w:r>
        <w:rPr>
          <w:rFonts w:ascii="Arial" w:cs="Arial" w:eastAsia="Arial" w:hAnsi="Arial"/>
          <w:sz w:val="21"/>
          <w:szCs w:val="21"/>
        </w:rPr>
        <w:t xml:space="preserve">The 10 largest global chains have 2.57 outlets per 10k people in the US, 1.73 in Australia and 1.23 in the UK. The UAE has 1.37, Kuwait 1.26, Saudi 0.89 and Egypt 0.06 (Exhibit 23). Saudi has a third of the US chain density at a comparable income per head. Demand is not the constraint, KFC is the most considered brand in the UAE, the stores simply have not been built yet. This density gap is the whitespace for operators like Americana.</w:t>
      </w:r>
    </w:p>
    <w:p>
      <w:pPr>
        <w:spacing w:after="160" w:line="276"/>
        <w:jc w:val="both"/>
      </w:pPr>
      <w:r>
        <w:rPr>
          <w:rFonts w:ascii="Arial" w:cs="Arial" w:eastAsia="Arial" w:hAnsi="Arial"/>
          <w:b/>
          <w:bCs/>
          <w:sz w:val="21"/>
          <w:szCs w:val="21"/>
        </w:rPr>
        <w:t xml:space="preserve">Chained restaurants grow faster than the market. </w:t>
      </w:r>
      <w:r>
        <w:rPr>
          <w:rFonts w:ascii="Arial" w:cs="Arial" w:eastAsia="Arial" w:hAnsi="Arial"/>
          <w:sz w:val="21"/>
          <w:szCs w:val="21"/>
        </w:rPr>
        <w:t xml:space="preserve">Chains are 25-51% of food-service revenue in these markets, with Saudi at 42%, the UAE at 40% and Egypt at 29% (Exhibit 24). The chained segment is forecast to outgrow the total market in every key geography, 11.2% vs. 8.1% in Saudi and 10.1% vs. 8.1% in Kuwait (Exhibit 24). The US and UK saw the same shift from independents to chains. Chained operators therefore compound above the market rate even without taking share from each other.</w:t>
      </w:r>
    </w:p>
    <w:p>
      <w:pPr>
        <w:spacing w:after="160" w:line="276"/>
        <w:jc w:val="both"/>
      </w:pPr>
      <w:r>
        <w:rPr>
          <w:rFonts w:ascii="Arial" w:cs="Arial" w:eastAsia="Arial" w:hAnsi="Arial"/>
          <w:b/>
          <w:bCs/>
          <w:sz w:val="21"/>
          <w:szCs w:val="21"/>
        </w:rPr>
        <w:t xml:space="preserve">Key risk: reliance on vendor forecasts. </w:t>
      </w:r>
      <w:r>
        <w:rPr>
          <w:rFonts w:ascii="Arial" w:cs="Arial" w:eastAsia="Arial" w:hAnsi="Arial"/>
          <w:sz w:val="21"/>
          <w:szCs w:val="21"/>
        </w:rPr>
        <w:t xml:space="preserve">The market-size and chaining numbers come from Mordor Intelligence, and providers disagree, Euromonitor sees much slower UAE growth. Two mitigants. The demographic and density data (Exhibits 20, 23) come from UN, ILO and audited store counts, not market-research models, and they support the headroom argument on their own. And our revenue model for Americana assumes mid-single-digit LfL plus company store openings, not an 18% UAE market CAGR, so our estimates do not need Mordor to be right.</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Americana’s markets combine favourable demographics, low chain density and a rising chained share of the market. The industry gives a chained QSR operator growth from three sources at once: market growth, share shift toward chains, and new store whitespace. Which operator is best placed to capture this is the subject of Section 3.</w:t>
      </w:r>
    </w:p>
    <w:p>
      <w:pPr>
        <w:pStyle w:val="Heading1"/>
        <w:spacing w:after="160" w:before="320"/>
      </w:pPr>
      <w:r>
        <w:rPr>
          <w:rFonts w:ascii="Arial" w:cs="Arial" w:eastAsia="Arial" w:hAnsi="Arial"/>
          <w:b/>
          <w:bCs/>
          <w:color w:val="14324C"/>
          <w:sz w:val="28"/>
          <w:szCs w:val="28"/>
        </w:rPr>
        <w:t xml:space="preserve">SECTION 3: THE RIGHT COMPANY — Americana is the best player in this market</w:t>
      </w:r>
    </w:p>
    <w:p>
      <w:pPr>
        <w:spacing w:after="160" w:line="276"/>
        <w:jc w:val="both"/>
      </w:pPr>
      <w:r>
        <w:rPr>
          <w:rFonts w:ascii="Arial" w:cs="Arial" w:eastAsia="Arial" w:hAnsi="Arial"/>
          <w:sz w:val="21"/>
          <w:szCs w:val="21"/>
        </w:rPr>
        <w:t xml:space="preserve">The third pillar of our thesis is the company itself. We believe Americana is the only listed vehicle that captures the whole theme, and the best operator in it. Four data points support this view: (a) no listed competitor in its markets comes close on scale (b) unit economics deliver a ~30% cash-on-cash return on new stores (c) the business passed a severe real-world stress test in 2024 and came back stronger (d) the balance sheet carries zero debt, converts profit to cash at 96% and pays most of it out. We take these in turn.</w:t>
      </w:r>
    </w:p>
    <w:p>
      <w:pPr>
        <w:spacing w:after="160" w:line="276"/>
        <w:jc w:val="both"/>
      </w:pPr>
      <w:r>
        <w:rPr>
          <w:rFonts w:ascii="Arial" w:cs="Arial" w:eastAsia="Arial" w:hAnsi="Arial"/>
          <w:b/>
          <w:bCs/>
          <w:sz w:val="21"/>
          <w:szCs w:val="21"/>
        </w:rPr>
        <w:t xml:space="preserve">Nobody matches the scale. </w:t>
      </w:r>
      <w:r>
        <w:rPr>
          <w:rFonts w:ascii="Arial" w:cs="Arial" w:eastAsia="Arial" w:hAnsi="Arial"/>
          <w:sz w:val="21"/>
          <w:szCs w:val="21"/>
        </w:rPr>
        <w:t xml:space="preserve">Americana runs 2,741 restaurants across 12 countries with $2.6bn of LTM revenue (Exhibit 26). Among listed operators in its footprint, the next largest is AmRest at $2.8bn globally, but with no Middle East overlap, while the regional listed names, Herfy and Alamar, are a tenth of Americana’s size (Exhibit 25). Count stores in its four core markets and Americana has 2,142, roughly double Alshaya’s Starbucks network at 1,069 and more than the four McDonald’s franchisees combined at 932. Scale matters in QSR because supply chain, marketing and app economics all improve with density. Americana has it and nobody else does.</w:t>
      </w:r>
    </w:p>
    <w:p>
      <w:pPr>
        <w:spacing w:after="160" w:line="276"/>
        <w:jc w:val="both"/>
      </w:pPr>
      <w:r>
        <w:rPr>
          <w:rFonts w:ascii="Arial" w:cs="Arial" w:eastAsia="Arial" w:hAnsi="Arial"/>
          <w:b/>
          <w:bCs/>
          <w:sz w:val="21"/>
          <w:szCs w:val="21"/>
        </w:rPr>
        <w:t xml:space="preserve">The portfolio is concentrated where it should be. </w:t>
      </w:r>
      <w:r>
        <w:rPr>
          <w:rFonts w:ascii="Arial" w:cs="Arial" w:eastAsia="Arial" w:hAnsi="Arial"/>
          <w:sz w:val="21"/>
          <w:szCs w:val="21"/>
        </w:rPr>
        <w:t xml:space="preserve">Four power brands, KFC, Hardee’s, Pizza Hut and Krispy Kreme, are 89% of stores and ~94% of revenue, with KFC alone at 60% of revenue (Exhibit 27). The growth brands are small but deliberate: carpo opens from mid-2026, and Malak Al Tawouk, acquired in Feb-26 with 75-year rights across 13 markets, gives Americana entry into Arabic QSR, the largest cuisine category it did not yet play in. Fifty years of operating heritage sits underneath, KFC since 1973 and Wimpy since 1970.</w:t>
      </w:r>
    </w:p>
    <w:p>
      <w:pPr>
        <w:spacing w:after="160" w:line="276"/>
        <w:jc w:val="both"/>
      </w:pPr>
      <w:r>
        <w:rPr>
          <w:rFonts w:ascii="Arial" w:cs="Arial" w:eastAsia="Arial" w:hAnsi="Arial"/>
          <w:b/>
          <w:bCs/>
          <w:sz w:val="21"/>
          <w:szCs w:val="21"/>
        </w:rPr>
        <w:t xml:space="preserve">New stores return their capital in ~3 years. </w:t>
      </w:r>
      <w:r>
        <w:rPr>
          <w:rFonts w:ascii="Arial" w:cs="Arial" w:eastAsia="Arial" w:hAnsi="Arial"/>
          <w:sz w:val="21"/>
          <w:szCs w:val="21"/>
        </w:rPr>
        <w:t xml:space="preserve">The last two years’ openings cost $379k per store on average and generate a 32% cash-on-cash return, a 3.1-year payback (Exhibit 28). KFC is the standout at 2.3 years and 43%. The discipline shows in where capital goes: KFC and Hardee’s, with the best returns, get the store growth, while Pizza Hut and Krispy Kreme, below 20% returns, get repair work rather than expansion. We would rather own an operator that starves its weak brands than one that grows them.</w:t>
      </w:r>
    </w:p>
    <w:p>
      <w:pPr>
        <w:spacing w:after="160" w:line="276"/>
        <w:jc w:val="both"/>
      </w:pPr>
      <w:r>
        <w:rPr>
          <w:rFonts w:ascii="Arial" w:cs="Arial" w:eastAsia="Arial" w:hAnsi="Arial"/>
          <w:b/>
          <w:bCs/>
          <w:sz w:val="21"/>
          <w:szCs w:val="21"/>
        </w:rPr>
        <w:t xml:space="preserve">The boycott was the stress test, and Americana passed. </w:t>
      </w:r>
      <w:r>
        <w:rPr>
          <w:rFonts w:ascii="Arial" w:cs="Arial" w:eastAsia="Arial" w:hAnsi="Arial"/>
          <w:sz w:val="21"/>
          <w:szCs w:val="21"/>
        </w:rPr>
        <w:t xml:space="preserve">Regional boycotts of Western brands cut group LfL by roughly −20% for four consecutive quarters from 4Q23 (Exhibit 29). Revenue fell 9% in FY24 and net profit dropped to $151m. The recovery has now outlasted the crisis: LfL swung to +13-14% through the recovery quarters and has settled at mid-single digits, revenue, EBITDA and margins all exceed pre-boycott levels, and 4-wall margins reached 31% in 1Q26 vs. 28-30% before the crisis (Exhibit 30). Most tellingly, even in the boycott year the company generated $95m of FCF and paid a dividend. Few consumer businesses anywhere have demonstrated their downside case this cleanly.</w:t>
      </w:r>
    </w:p>
    <w:p>
      <w:pPr>
        <w:spacing w:after="160" w:line="276"/>
        <w:jc w:val="both"/>
      </w:pPr>
      <w:r>
        <w:rPr>
          <w:rFonts w:ascii="Arial" w:cs="Arial" w:eastAsia="Arial" w:hAnsi="Arial"/>
          <w:b/>
          <w:bCs/>
          <w:sz w:val="21"/>
          <w:szCs w:val="21"/>
        </w:rPr>
        <w:t xml:space="preserve">The balance sheet is a cash machine. </w:t>
      </w:r>
      <w:r>
        <w:rPr>
          <w:rFonts w:ascii="Arial" w:cs="Arial" w:eastAsia="Arial" w:hAnsi="Arial"/>
          <w:sz w:val="21"/>
          <w:szCs w:val="21"/>
        </w:rPr>
        <w:t xml:space="preserve">Americana holds $383m of net cash and zero bank debt (Exhibit 31). Working capital runs at −9.9% of revenue, suppliers effectively fund the stores before customers pay, and the payables float exceeds the entire capex bill (Exhibit 32). FCF conversion reached 96% of net profit in FY25 and 109% in H1 26. The board pays it out: dividends have climbed from $104m to $202m in three years, a 92% payout, and FY26 brought the first interim dividend. For a company still growing its network at 4-5% a year, this combination of growth, returns and distribution is rare.</w:t>
      </w:r>
    </w:p>
    <w:p>
      <w:pPr>
        <w:spacing w:after="160" w:line="276"/>
        <w:jc w:val="both"/>
      </w:pPr>
      <w:r>
        <w:rPr>
          <w:rFonts w:ascii="Arial" w:cs="Arial" w:eastAsia="Arial" w:hAnsi="Arial"/>
          <w:b/>
          <w:bCs/>
          <w:sz w:val="21"/>
          <w:szCs w:val="21"/>
        </w:rPr>
        <w:t xml:space="preserve">No listed peer offers this combination. </w:t>
      </w:r>
      <w:r>
        <w:rPr>
          <w:rFonts w:ascii="Arial" w:cs="Arial" w:eastAsia="Arial" w:hAnsi="Arial"/>
          <w:sz w:val="21"/>
          <w:szCs w:val="21"/>
        </w:rPr>
        <w:t xml:space="preserve">Franchisee peers (Devyani, Sapphire, AmRest, Alsea) carry net debt and pay little out. Franchisors (Yum, McDonald’s) have the margins but not the store-level growth exposure. Americana sits in the middle with franchisee growth economics and franchisor-grade cash returns (Exhibit 33). We benchmark this fully in the exhibit, including new-store paybacks against US franchise disclosure documents.</w:t>
      </w:r>
    </w:p>
    <w:p>
      <w:pPr>
        <w:spacing w:after="160" w:line="276"/>
        <w:jc w:val="both"/>
      </w:pPr>
      <w:r>
        <w:rPr>
          <w:rFonts w:ascii="Arial" w:cs="Arial" w:eastAsia="Arial" w:hAnsi="Arial"/>
          <w:b/>
          <w:bCs/>
          <w:sz w:val="21"/>
          <w:szCs w:val="21"/>
        </w:rPr>
        <w:t xml:space="preserve">Key risk: concentration. </w:t>
      </w:r>
      <w:r>
        <w:rPr>
          <w:rFonts w:ascii="Arial" w:cs="Arial" w:eastAsia="Arial" w:hAnsi="Arial"/>
          <w:sz w:val="21"/>
          <w:szCs w:val="21"/>
        </w:rPr>
        <w:t xml:space="preserve">KFC is 60% of revenue, Yum is the franchisor behind ~75% of it, and a repeat boycott is always possible in this region. Three responses. The 2024 episode showed the downside case is survivable with positive FCF. The multi-brand build-out (MAT, carpo, own-IP brands) is gradually diluting the KFC weight. And the franchisor relationships are 50 years old with Americana holding development rights the franchisors cannot cheaply replace.</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 pairs the industry’s growth with best-in-class unit economics, a proven downside case and a shareholder-return profile normally found in mature franchisors. The operator question is settled in our view. What remains is the price, which is Section 4.</w:t>
      </w:r>
    </w:p>
    <w:p>
      <w:pPr>
        <w:pStyle w:val="Heading1"/>
        <w:spacing w:after="160" w:before="320"/>
      </w:pPr>
      <w:r>
        <w:rPr>
          <w:rFonts w:ascii="Arial" w:cs="Arial" w:eastAsia="Arial" w:hAnsi="Arial"/>
          <w:b/>
          <w:bCs/>
          <w:color w:val="14324C"/>
          <w:sz w:val="28"/>
          <w:szCs w:val="28"/>
        </w:rPr>
        <w:t xml:space="preserve">SECTION 4: THE RIGHT VALUATION — Right time and right price to buy</w:t>
      </w:r>
    </w:p>
    <w:p>
      <w:pPr>
        <w:spacing w:after="160" w:line="276"/>
        <w:jc w:val="both"/>
      </w:pPr>
      <w:r>
        <w:rPr>
          <w:rFonts w:ascii="Arial" w:cs="Arial" w:eastAsia="Arial" w:hAnsi="Arial"/>
          <w:sz w:val="21"/>
          <w:szCs w:val="21"/>
        </w:rPr>
        <w:t xml:space="preserve">The final pillar is price. We initiate with an Outperform rating and a target price of SAR 3.0 (AED 2.9), ~22% upside. Three points support this view: (a) our estimates need nothing heroic, they sit broadly in line with consensus (b) the stock trades at 20.4x forward earnings, a standard deviation below its own history (c) both our valuation approaches, target multiple and DCF, land within a few percent of each other. We take these in turn.</w:t>
      </w:r>
    </w:p>
    <w:p>
      <w:pPr>
        <w:spacing w:after="160" w:line="276"/>
        <w:jc w:val="both"/>
      </w:pPr>
      <w:r>
        <w:rPr>
          <w:rFonts w:ascii="Arial" w:cs="Arial" w:eastAsia="Arial" w:hAnsi="Arial"/>
          <w:b/>
          <w:bCs/>
          <w:sz w:val="21"/>
          <w:szCs w:val="21"/>
        </w:rPr>
        <w:t xml:space="preserve">Our estimates are not the bull case. </w:t>
      </w:r>
      <w:r>
        <w:rPr>
          <w:rFonts w:ascii="Arial" w:cs="Arial" w:eastAsia="Arial" w:hAnsi="Arial"/>
          <w:sz w:val="21"/>
          <w:szCs w:val="21"/>
        </w:rPr>
        <w:t xml:space="preserve">We forecast revenue of $2.8/3.0/3.3 Bn and EPS of $0.03/0.04/0.04 for FY26/27/28, on 125/130/135 net store openings and EBITDA margins rising from 24.6% toward 25% (Exhibits 34-35). That assumes mid-single-digit LfL in line with management guidance, store additions at the bottom of the company’s 120-130 guided range, and no help from Mordor’s market forecasts. Consensus is at nearly the same numbers with slightly more store openings. The upside case here does not require us to be smarter than the street on earnings. It requires the multiple to normalise. H1 26 supports the estimates, with EPS annualising ahead of our FY26 number.</w:t>
      </w:r>
    </w:p>
    <w:p>
      <w:pPr>
        <w:spacing w:after="160" w:line="276"/>
        <w:jc w:val="both"/>
      </w:pPr>
      <w:r>
        <w:rPr>
          <w:rFonts w:ascii="Arial" w:cs="Arial" w:eastAsia="Arial" w:hAnsi="Arial"/>
          <w:b/>
          <w:bCs/>
          <w:sz w:val="21"/>
          <w:szCs w:val="21"/>
        </w:rPr>
        <w:t xml:space="preserve">The multiple is a standard deviation below its history. </w:t>
      </w:r>
      <w:r>
        <w:rPr>
          <w:rFonts w:ascii="Arial" w:cs="Arial" w:eastAsia="Arial" w:hAnsi="Arial"/>
          <w:sz w:val="21"/>
          <w:szCs w:val="21"/>
        </w:rPr>
        <w:t xml:space="preserve">Americana has traded at an average of 24.6x forward earnings since listing-era coverage began in 2023, within a 20.1x to 29.1x one-standard-deviation band (Exhibit 36). It trades at 20.4x today, at the bottom of that band, despite the boycott being fully recovered, margins above pre-crisis levels and the payout at 92%. The de-rating made sense in 2024 when LfL was −20%. It does not now. Our target multiple of 25x simply returns the stock to its own average, no premium argued, and applied to FY26E EPS of $0.03 it gives SAR 3.0 / AED 2.9 (Exhibit 37). At target the stock would trade at 22x FY27 and 20x FY28. The cross-sectional comparison says the same thing: Americana trades in line with mature US franchisors like McDonald’s and Yum despite growing EPS at twice their rate, and at a 1.4x PEG vs. 2x+ for global peers (Exhibit 2).</w:t>
      </w:r>
    </w:p>
    <w:p>
      <w:pPr>
        <w:spacing w:after="160" w:line="276"/>
        <w:jc w:val="both"/>
      </w:pPr>
      <w:r>
        <w:rPr>
          <w:rFonts w:ascii="Arial" w:cs="Arial" w:eastAsia="Arial" w:hAnsi="Arial"/>
          <w:b/>
          <w:bCs/>
          <w:sz w:val="21"/>
          <w:szCs w:val="21"/>
        </w:rPr>
        <w:t xml:space="preserve">The DCF says the same thing. </w:t>
      </w:r>
      <w:r>
        <w:rPr>
          <w:rFonts w:ascii="Arial" w:cs="Arial" w:eastAsia="Arial" w:hAnsi="Arial"/>
          <w:sz w:val="21"/>
          <w:szCs w:val="21"/>
        </w:rPr>
        <w:t xml:space="preserve">Our ten-year DCF (WACC 9.9%, zero debt, terminal growth 2.5%) values the equity at $6.8 Bn, or AED 2.97 per share, within 1% of the multiple-based target (Exhibit 38). Terminal value is 58% of EV, in the normal range for a compounder, and the explicit years carry the store build to ~3,900 restaurants by FY35 with margins peaking at 25.5%. The two methods use different assumptions and arrive at the same place, which is what conviction should look like.</w:t>
      </w:r>
    </w:p>
    <w:p>
      <w:pPr>
        <w:spacing w:after="160" w:line="276"/>
        <w:jc w:val="both"/>
      </w:pPr>
      <w:r>
        <w:rPr>
          <w:rFonts w:ascii="Arial" w:cs="Arial" w:eastAsia="Arial" w:hAnsi="Arial"/>
          <w:b/>
          <w:bCs/>
          <w:sz w:val="21"/>
          <w:szCs w:val="21"/>
        </w:rPr>
        <w:t xml:space="preserve">Key risk: the multiple, not the earnings. </w:t>
      </w:r>
      <w:r>
        <w:rPr>
          <w:rFonts w:ascii="Arial" w:cs="Arial" w:eastAsia="Arial" w:hAnsi="Arial"/>
          <w:sz w:val="21"/>
          <w:szCs w:val="21"/>
        </w:rPr>
        <w:t xml:space="preserve">The obvious challenge is that a GCC consumer stock may never re-rate to its old average in a higher-rate world, and at 20x with ~9% earnings growth the stock would still only compound at its earnings rate plus the ~4% dividend yield. Two responses. That bear case still returns low-double digits annually, which is not much of a bear case. And every fundamental in this note, LfL recovered, margins at records, first interim dividend, MAT optionality, argues the earnings base is more resilient than the trough multiple implies. A repeat regional boycott is the scenario that breaks both earnings and multiple at once, and Section 3 showed the company generated cash straight through the last one.</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 offers the region’s consumer growth (Section 1), an under-penetrated industry (Section 2) and its best operator (Section 3), at a valuation that asks only for a return to its own average multiple. We initiate at Outperform, TP SAR 3.0 / AED 2.9. The right time is now, the boycott discount has outlived the boycott.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2026-08-19T09:01:09.477Z</dcterms:created>
  <dcterms:modified xsi:type="dcterms:W3CDTF">2026-08-19T09:01:09.478Z</dcterms:modified>
</cp:coreProperties>
</file>

<file path=docProps/custom.xml><?xml version="1.0" encoding="utf-8"?>
<Properties xmlns="http://schemas.openxmlformats.org/officeDocument/2006/custom-properties" xmlns:vt="http://schemas.openxmlformats.org/officeDocument/2006/docPropsVTypes"/>
</file>