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497D"/>
          <w:sz w:val="36"/>
        </w:rPr>
        <w:t>ShadowBrief – Security Signal Engine (SSE):</w:t>
        <w:br/>
        <w:t>An Intelligent, LLM-Augmented Cybersecurity Analysis and</w:t>
        <w:br/>
        <w:t>Prioritization Framework for Startup Ecosystems</w:t>
        <w:br/>
      </w:r>
      <w:r>
        <w:rPr>
          <w:rFonts w:ascii="Calibri" w:hAnsi="Calibri"/>
          <w:i/>
          <w:color w:val="505050"/>
          <w:sz w:val="24"/>
        </w:rPr>
        <w:t>— Extended Research Paper, Implementation Analysis and Empirical Evaluation —</w:t>
        <w:br/>
      </w:r>
    </w:p>
    <w:p>
      <w:pPr>
        <w:spacing w:after="280"/>
        <w:jc w:val="center"/>
      </w:pPr>
      <w:r>
        <w:rPr>
          <w:rFonts w:ascii="Calibri" w:hAnsi="Calibri"/>
          <w:sz w:val="21"/>
        </w:rPr>
        <w:t>Dhruv Navadiya  •  Purushottam Nar  •  Shreya Patil</w:t>
        <w:br/>
        <w:t>Guided by Prof. Sejal Shah</w:t>
        <w:br/>
        <w:t>Department of Artificial Intelligence &amp; Data Science</w:t>
        <w:br/>
        <w:t>K. J. Somaiya Institute of Technology, Mumbai — University of Mumbai</w:t>
        <w:br/>
        <w:t>Academic Year 2025–26</w:t>
      </w:r>
    </w:p>
    <w:p>
      <w:pPr>
        <w:pStyle w:val="Heading1"/>
        <w:spacing w:before="240" w:after="80"/>
      </w:pPr>
      <w:r>
        <w:rPr>
          <w:rFonts w:ascii="Calibri" w:hAnsi="Calibri"/>
          <w:b/>
          <w:color w:val="1F497D"/>
          <w:sz w:val="32"/>
        </w:rPr>
        <w:t>Abstract</w:t>
      </w:r>
    </w:p>
    <w:p>
      <w:pPr>
        <w:spacing w:before="40" w:after="120" w:line="276" w:lineRule="auto"/>
      </w:pPr>
      <w:r>
        <w:rPr>
          <w:rFonts w:ascii="Calibri" w:hAnsi="Calibri"/>
          <w:i w:val="0"/>
          <w:sz w:val="21"/>
        </w:rPr>
        <w:t>Modern startups and small development teams deploy internet-facing applications rapidly but rarely maintain a dedicated security function. Automated scanners such as Semgrep, OWASP ZAP or Burp Suite continuously surface vulnerabilities, but the raw output is voluminous, repetitive across tools, and expressed in terminology that is opaque to developers who are not security specialists. This paper presents ShadowBrief – Security Signal Engine (SSE), an extensible, open-source pipeline that aggregates findings from static and dynamic analysis engines, normalizes them into a unified 18-field schema, deduplicates near-identical findings using composite keys, applies a weighted context-aware risk-scoring formula with anti-suppression category floors, and enriches the surviving findings with natural-language explanations, remediation advice and business impact statements generated by a locally hosted Llama 3.1 8B model. Beyond prior heuristic triage systems, SSE introduces empirical threshold calibration, contextual AST/sanitizer false-positive suppression, and profile-based fine-tuning (Precision-Optimized, Balanced-Tuned, and Recall-Optimized). We evaluate the system across its automated test suite (76 unit and integration tests, 100% passing) and a standardized benchmark corpus of 1,230 test cases from the versioned OWASP Benchmark for Python v0.1 suite (452 vulnerable, 778 clean) spanning 14 CWE vulnerability categories, supplemented by 54 historical scan runs across real and synthetic targets. Under the Precision-Optimized profile, SSE achieves 100% precision (1.000) with 0 false positives across 151 true positive findings. Under the Balanced-Tuned profile, false negatives are reduced by 35.6%, achieving a recall of 76.77% (347 true positives), a precision of 59.01%, an F1-score of 0.6673, and a PR-AUC of 0.4578, representing a +109.0% increase in true positive yield over raw scanner baselines. Across real-world scans, deduplication reduces alert volume by a mean of 34.2% per scan and by up to 76.9% on static codebases. We discuss the architectural implementation (~8,700 lines of Python across 24 modules), empirical scorecards, visual operating characteristics, and implications for autonomous DevSecOps.</w:t>
      </w:r>
    </w:p>
    <w:p>
      <w:pPr>
        <w:spacing w:before="40" w:after="120" w:line="276" w:lineRule="auto"/>
      </w:pPr>
      <w:r>
        <w:rPr>
          <w:rFonts w:ascii="Calibri" w:hAnsi="Calibri"/>
          <w:b/>
          <w:sz w:val="21"/>
        </w:rPr>
        <w:t xml:space="preserve">Keywords: </w:t>
      </w:r>
      <w:r>
        <w:rPr>
          <w:rFonts w:ascii="Calibri" w:hAnsi="Calibri"/>
          <w:i/>
          <w:sz w:val="21"/>
        </w:rPr>
        <w:t>DevSecOps; vulnerability triage; alert fatigue; Large Language Models; risk scoring; deduplication; Semgrep; OWASP Benchmark; threshold calibration; startup security tooling.</w:t>
      </w:r>
    </w:p>
    <w:p>
      <w:pPr>
        <w:pStyle w:val="Heading1"/>
        <w:spacing w:before="240" w:after="80"/>
      </w:pPr>
      <w:r>
        <w:rPr>
          <w:rFonts w:ascii="Calibri" w:hAnsi="Calibri"/>
          <w:b/>
          <w:color w:val="1F497D"/>
          <w:sz w:val="32"/>
        </w:rPr>
        <w:t>1. Introduction</w:t>
      </w:r>
    </w:p>
    <w:p>
      <w:pPr>
        <w:spacing w:before="40" w:after="120" w:line="276" w:lineRule="auto"/>
      </w:pPr>
      <w:r>
        <w:rPr>
          <w:rFonts w:ascii="Calibri" w:hAnsi="Calibri"/>
          <w:i w:val="0"/>
          <w:sz w:val="21"/>
        </w:rPr>
        <w:t>The attack surface exposed by a typical web-facing startup has expanded faster than its security staffing. Cloud infrastructure, third-party dependencies and rapid release cycles routinely introduce vulnerabilities such as injection flaws, broken authentication, and misconfiguration, yet most early-stage teams have no dedicated security engineer to interpret scanner output. Two broad classes of tooling exist to close this gap. Manual assessment — penetration testing and red-teaming — produces high-confidence, contextual findings but is expensive, point-in-time, and requires scarce expertise. Automated scanning — Static Application Security Testing (SAST) tools such as Semgrep, and Dynamic Application Security Testing (DAST) tools such as OWASP ZAP or Burp Suite — is cheap and continuous but is well documented to over-generate low-value alerts, a phenomenon commonly termed alert fatigue.</w:t>
      </w:r>
    </w:p>
    <w:p>
      <w:pPr>
        <w:spacing w:before="40" w:after="120" w:line="276" w:lineRule="auto"/>
      </w:pPr>
      <w:r>
        <w:rPr>
          <w:rFonts w:ascii="Calibri" w:hAnsi="Calibri"/>
          <w:i w:val="0"/>
          <w:sz w:val="21"/>
        </w:rPr>
        <w:t>ShadowBrief – Security Signal Engine (SSE) is proposed as a middle layer that sits above existing scanners rather than replacing them. It aggregates multi-tool outputs, removes duplication across and within tools, re-ranks findings using a context-aware formula that goes beyond static CVSS-style severity, and hands the surviving findings to a locally hosted LLM for developer-facing explanation. Because the LLM runs locally via Ollama rather than a cloud API, no source code or scan data leaves the developer's machine — a deliberate design choice for a tool aimed at startups that may be contractually or competitively unable to send proprietary code to a third-party inference endpoint.</w:t>
      </w:r>
    </w:p>
    <w:p>
      <w:pPr>
        <w:pStyle w:val="Heading1"/>
        <w:spacing w:before="240" w:after="80"/>
      </w:pPr>
      <w:r>
        <w:rPr>
          <w:rFonts w:ascii="Calibri" w:hAnsi="Calibri"/>
          <w:b/>
          <w:color w:val="1F497D"/>
          <w:sz w:val="32"/>
        </w:rPr>
        <w:t>2. Literature Survey</w:t>
      </w:r>
    </w:p>
    <w:p>
      <w:pPr>
        <w:spacing w:before="40" w:after="120" w:line="276" w:lineRule="auto"/>
      </w:pPr>
      <w:r>
        <w:rPr>
          <w:rFonts w:ascii="Calibri" w:hAnsi="Calibri"/>
          <w:i w:val="0"/>
          <w:sz w:val="21"/>
        </w:rPr>
        <w:t>Recent work at the intersection of LLMs and cybersecurity automation clusters into four strands: (a) using LLMs to improve scanner accuracy and reduce false positives, (b) hybrid SAST+LLM triage frameworks, (c) LLM-driven automated remediation, and (d) LLM-generated developer-facing reports. Table 1 summarizes the most directly relevant studies and the specific limitations each leaves open.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1F497D"/>
          </w:tcPr>
          <w:p>
            <w:pPr>
              <w:spacing w:before="60" w:after="60"/>
            </w:pPr>
            <w:r>
              <w:rPr>
                <w:rFonts w:ascii="Calibri" w:hAnsi="Calibri"/>
                <w:b/>
                <w:color w:val="FFFFFF"/>
                <w:sz w:val="19"/>
              </w:rPr>
              <w:t>Study</w:t>
            </w:r>
          </w:p>
        </w:tc>
        <w:tc>
          <w:tcPr>
            <w:tcW w:type="dxa" w:w="1872"/>
            <w:vAlign w:val="center"/>
            <w:shd w:fill="1F497D"/>
          </w:tcPr>
          <w:p>
            <w:pPr>
              <w:spacing w:before="60" w:after="60"/>
            </w:pPr>
            <w:r>
              <w:rPr>
                <w:rFonts w:ascii="Calibri" w:hAnsi="Calibri"/>
                <w:b/>
                <w:color w:val="FFFFFF"/>
                <w:sz w:val="19"/>
              </w:rPr>
              <w:t>Technique / Core Idea</w:t>
            </w:r>
          </w:p>
        </w:tc>
        <w:tc>
          <w:tcPr>
            <w:tcW w:type="dxa" w:w="1872"/>
            <w:vAlign w:val="center"/>
            <w:shd w:fill="1F497D"/>
          </w:tcPr>
          <w:p>
            <w:pPr>
              <w:spacing w:before="60" w:after="60"/>
            </w:pPr>
            <w:r>
              <w:rPr>
                <w:rFonts w:ascii="Calibri" w:hAnsi="Calibri"/>
                <w:b/>
                <w:color w:val="FFFFFF"/>
                <w:sz w:val="19"/>
              </w:rPr>
              <w:t>Primary Strengths</w:t>
            </w:r>
          </w:p>
        </w:tc>
        <w:tc>
          <w:tcPr>
            <w:tcW w:type="dxa" w:w="1872"/>
            <w:vAlign w:val="center"/>
            <w:shd w:fill="1F497D"/>
          </w:tcPr>
          <w:p>
            <w:pPr>
              <w:spacing w:before="60" w:after="60"/>
            </w:pPr>
            <w:r>
              <w:rPr>
                <w:rFonts w:ascii="Calibri" w:hAnsi="Calibri"/>
                <w:b/>
                <w:color w:val="FFFFFF"/>
                <w:sz w:val="19"/>
              </w:rPr>
              <w:t>Reported Metrics</w:t>
            </w:r>
          </w:p>
        </w:tc>
        <w:tc>
          <w:tcPr>
            <w:tcW w:type="dxa" w:w="1872"/>
            <w:vAlign w:val="center"/>
            <w:shd w:fill="1F497D"/>
          </w:tcPr>
          <w:p>
            <w:pPr>
              <w:spacing w:before="60" w:after="60"/>
            </w:pPr>
            <w:r>
              <w:rPr>
                <w:rFonts w:ascii="Calibri" w:hAnsi="Calibri"/>
                <w:b/>
                <w:color w:val="FFFFFF"/>
                <w:sz w:val="19"/>
              </w:rPr>
              <w:t>Identified Limitation / Open Gap</w:t>
            </w:r>
          </w:p>
        </w:tc>
      </w:tr>
      <w:tr>
        <w:tc>
          <w:tcPr>
            <w:tcW w:type="dxa" w:w="1872"/>
            <w:vAlign w:val="center"/>
            <w:shd w:fill="F2F5F9"/>
          </w:tcPr>
          <w:p>
            <w:pPr>
              <w:spacing w:before="60" w:after="60"/>
            </w:pPr>
            <w:r>
              <w:rPr>
                <w:rFonts w:ascii="Calibri" w:hAnsi="Calibri"/>
                <w:sz w:val="19"/>
              </w:rPr>
              <w:t>Keltek et al. [1] (2024)</w:t>
            </w:r>
          </w:p>
        </w:tc>
        <w:tc>
          <w:tcPr>
            <w:tcW w:type="dxa" w:w="1872"/>
            <w:vAlign w:val="center"/>
            <w:shd w:fill="F2F5F9"/>
          </w:tcPr>
          <w:p>
            <w:pPr>
              <w:spacing w:before="60" w:after="60"/>
            </w:pPr>
            <w:r>
              <w:rPr>
                <w:rFonts w:ascii="Calibri" w:hAnsi="Calibri"/>
                <w:sz w:val="19"/>
              </w:rPr>
              <w:t>LLM-assisted SAST post-processing</w:t>
            </w:r>
          </w:p>
        </w:tc>
        <w:tc>
          <w:tcPr>
            <w:tcW w:type="dxa" w:w="1872"/>
            <w:vAlign w:val="center"/>
            <w:shd w:fill="F2F5F9"/>
          </w:tcPr>
          <w:p>
            <w:pPr>
              <w:spacing w:before="60" w:after="60"/>
            </w:pPr>
            <w:r>
              <w:rPr>
                <w:rFonts w:ascii="Calibri" w:hAnsi="Calibri"/>
                <w:sz w:val="19"/>
              </w:rPr>
              <w:t>Demonstrates LLM can filter AST-based false positives</w:t>
            </w:r>
          </w:p>
        </w:tc>
        <w:tc>
          <w:tcPr>
            <w:tcW w:type="dxa" w:w="1872"/>
            <w:vAlign w:val="center"/>
            <w:shd w:fill="F2F5F9"/>
          </w:tcPr>
          <w:p>
            <w:pPr>
              <w:spacing w:before="60" w:after="60"/>
            </w:pPr>
            <w:r>
              <w:rPr>
                <w:rFonts w:ascii="Calibri" w:hAnsi="Calibri"/>
                <w:sz w:val="19"/>
              </w:rPr>
              <w:t>42% FP reduction on synthetic tests</w:t>
            </w:r>
          </w:p>
        </w:tc>
        <w:tc>
          <w:tcPr>
            <w:tcW w:type="dxa" w:w="1872"/>
            <w:vAlign w:val="center"/>
            <w:shd w:fill="F2F5F9"/>
          </w:tcPr>
          <w:p>
            <w:pPr>
              <w:spacing w:before="60" w:after="60"/>
            </w:pPr>
            <w:r>
              <w:rPr>
                <w:rFonts w:ascii="Calibri" w:hAnsi="Calibri"/>
                <w:sz w:val="19"/>
              </w:rPr>
              <w:t>Evaluated only on small static snippets; no multi-tool aggregation or dynamic analysis</w:t>
            </w:r>
          </w:p>
        </w:tc>
      </w:tr>
      <w:tr>
        <w:tc>
          <w:tcPr>
            <w:tcW w:type="dxa" w:w="1872"/>
            <w:vAlign w:val="center"/>
          </w:tcPr>
          <w:p>
            <w:pPr>
              <w:spacing w:before="60" w:after="60"/>
            </w:pPr>
            <w:r>
              <w:rPr>
                <w:rFonts w:ascii="Calibri" w:hAnsi="Calibri"/>
                <w:sz w:val="19"/>
              </w:rPr>
              <w:t>Agrawal &amp; Ahi [2] (2025)</w:t>
            </w:r>
          </w:p>
        </w:tc>
        <w:tc>
          <w:tcPr>
            <w:tcW w:type="dxa" w:w="1872"/>
            <w:vAlign w:val="center"/>
          </w:tcPr>
          <w:p>
            <w:pPr>
              <w:spacing w:before="60" w:after="60"/>
            </w:pPr>
            <w:r>
              <w:rPr>
                <w:rFonts w:ascii="Calibri" w:hAnsi="Calibri"/>
                <w:sz w:val="19"/>
              </w:rPr>
              <w:t>SAST-Genius: Hybrid SAST + LLM</w:t>
            </w:r>
          </w:p>
        </w:tc>
        <w:tc>
          <w:tcPr>
            <w:tcW w:type="dxa" w:w="1872"/>
            <w:vAlign w:val="center"/>
          </w:tcPr>
          <w:p>
            <w:pPr>
              <w:spacing w:before="60" w:after="60"/>
            </w:pPr>
            <w:r>
              <w:rPr>
                <w:rFonts w:ascii="Calibri" w:hAnsi="Calibri"/>
                <w:sz w:val="19"/>
              </w:rPr>
              <w:t>Integrates rule matching with LLM verification</w:t>
            </w:r>
          </w:p>
        </w:tc>
        <w:tc>
          <w:tcPr>
            <w:tcW w:type="dxa" w:w="1872"/>
            <w:vAlign w:val="center"/>
          </w:tcPr>
          <w:p>
            <w:pPr>
              <w:spacing w:before="60" w:after="60"/>
            </w:pPr>
            <w:r>
              <w:rPr>
                <w:rFonts w:ascii="Calibri" w:hAnsi="Calibri"/>
                <w:sz w:val="19"/>
              </w:rPr>
              <w:t>88.4% precision on selected CWEs</w:t>
            </w:r>
          </w:p>
        </w:tc>
        <w:tc>
          <w:tcPr>
            <w:tcW w:type="dxa" w:w="1872"/>
            <w:vAlign w:val="center"/>
          </w:tcPr>
          <w:p>
            <w:pPr>
              <w:spacing w:before="60" w:after="60"/>
            </w:pPr>
            <w:r>
              <w:rPr>
                <w:rFonts w:ascii="Calibri" w:hAnsi="Calibri"/>
                <w:sz w:val="19"/>
              </w:rPr>
              <w:t>Requires hosted cloud API; lacks deduplication and deterministic anti-suppression floors</w:t>
            </w:r>
          </w:p>
        </w:tc>
      </w:tr>
      <w:tr>
        <w:tc>
          <w:tcPr>
            <w:tcW w:type="dxa" w:w="1872"/>
            <w:vAlign w:val="center"/>
            <w:shd w:fill="F2F5F9"/>
          </w:tcPr>
          <w:p>
            <w:pPr>
              <w:spacing w:before="60" w:after="60"/>
            </w:pPr>
            <w:r>
              <w:rPr>
                <w:rFonts w:ascii="Calibri" w:hAnsi="Calibri"/>
                <w:sz w:val="19"/>
              </w:rPr>
              <w:t>AbdelAziz [3] (2024)</w:t>
            </w:r>
          </w:p>
        </w:tc>
        <w:tc>
          <w:tcPr>
            <w:tcW w:type="dxa" w:w="1872"/>
            <w:vAlign w:val="center"/>
            <w:shd w:fill="F2F5F9"/>
          </w:tcPr>
          <w:p>
            <w:pPr>
              <w:spacing w:before="60" w:after="60"/>
            </w:pPr>
            <w:r>
              <w:rPr>
                <w:rFonts w:ascii="Calibri" w:hAnsi="Calibri"/>
                <w:sz w:val="19"/>
              </w:rPr>
              <w:t>AI-driven vulnerability assessment</w:t>
            </w:r>
          </w:p>
        </w:tc>
        <w:tc>
          <w:tcPr>
            <w:tcW w:type="dxa" w:w="1872"/>
            <w:vAlign w:val="center"/>
            <w:shd w:fill="F2F5F9"/>
          </w:tcPr>
          <w:p>
            <w:pPr>
              <w:spacing w:before="60" w:after="60"/>
            </w:pPr>
            <w:r>
              <w:rPr>
                <w:rFonts w:ascii="Calibri" w:hAnsi="Calibri"/>
                <w:sz w:val="19"/>
              </w:rPr>
              <w:t>Automated patch suggestion pipeline</w:t>
            </w:r>
          </w:p>
        </w:tc>
        <w:tc>
          <w:tcPr>
            <w:tcW w:type="dxa" w:w="1872"/>
            <w:vAlign w:val="center"/>
            <w:shd w:fill="F2F5F9"/>
          </w:tcPr>
          <w:p>
            <w:pPr>
              <w:spacing w:before="60" w:after="60"/>
            </w:pPr>
            <w:r>
              <w:rPr>
                <w:rFonts w:ascii="Calibri" w:hAnsi="Calibri"/>
                <w:sz w:val="19"/>
              </w:rPr>
              <w:t>74% developer acceptance of patches</w:t>
            </w:r>
          </w:p>
        </w:tc>
        <w:tc>
          <w:tcPr>
            <w:tcW w:type="dxa" w:w="1872"/>
            <w:vAlign w:val="center"/>
            <w:shd w:fill="F2F5F9"/>
          </w:tcPr>
          <w:p>
            <w:pPr>
              <w:spacing w:before="60" w:after="60"/>
            </w:pPr>
            <w:r>
              <w:rPr>
                <w:rFonts w:ascii="Calibri" w:hAnsi="Calibri"/>
                <w:sz w:val="19"/>
              </w:rPr>
              <w:t>Focuses on patch synthesis rather than multi-source triage; vulnerable to silent false negatives</w:t>
            </w:r>
          </w:p>
        </w:tc>
      </w:tr>
      <w:tr>
        <w:tc>
          <w:tcPr>
            <w:tcW w:type="dxa" w:w="1872"/>
            <w:vAlign w:val="center"/>
          </w:tcPr>
          <w:p>
            <w:pPr>
              <w:spacing w:before="60" w:after="60"/>
            </w:pPr>
            <w:r>
              <w:rPr>
                <w:rFonts w:ascii="Calibri" w:hAnsi="Calibri"/>
                <w:sz w:val="19"/>
              </w:rPr>
              <w:t>Lykousas et al. [4] (2024)</w:t>
            </w:r>
          </w:p>
        </w:tc>
        <w:tc>
          <w:tcPr>
            <w:tcW w:type="dxa" w:w="1872"/>
            <w:vAlign w:val="center"/>
          </w:tcPr>
          <w:p>
            <w:pPr>
              <w:spacing w:before="60" w:after="60"/>
            </w:pPr>
            <w:r>
              <w:rPr>
                <w:rFonts w:ascii="Calibri" w:hAnsi="Calibri"/>
                <w:sz w:val="19"/>
              </w:rPr>
              <w:t>LLM report generation in DevSecOps</w:t>
            </w:r>
          </w:p>
        </w:tc>
        <w:tc>
          <w:tcPr>
            <w:tcW w:type="dxa" w:w="1872"/>
            <w:vAlign w:val="center"/>
          </w:tcPr>
          <w:p>
            <w:pPr>
              <w:spacing w:before="60" w:after="60"/>
            </w:pPr>
            <w:r>
              <w:rPr>
                <w:rFonts w:ascii="Calibri" w:hAnsi="Calibri"/>
                <w:sz w:val="19"/>
              </w:rPr>
              <w:t>Natural language executive summaries</w:t>
            </w:r>
          </w:p>
        </w:tc>
        <w:tc>
          <w:tcPr>
            <w:tcW w:type="dxa" w:w="1872"/>
            <w:vAlign w:val="center"/>
          </w:tcPr>
          <w:p>
            <w:pPr>
              <w:spacing w:before="60" w:after="60"/>
            </w:pPr>
            <w:r>
              <w:rPr>
                <w:rFonts w:ascii="Calibri" w:hAnsi="Calibri"/>
                <w:sz w:val="19"/>
              </w:rPr>
              <w:t>User study confirms high readability</w:t>
            </w:r>
          </w:p>
        </w:tc>
        <w:tc>
          <w:tcPr>
            <w:tcW w:type="dxa" w:w="1872"/>
            <w:vAlign w:val="center"/>
          </w:tcPr>
          <w:p>
            <w:pPr>
              <w:spacing w:before="60" w:after="60"/>
            </w:pPr>
            <w:r>
              <w:rPr>
                <w:rFonts w:ascii="Calibri" w:hAnsi="Calibri"/>
                <w:sz w:val="19"/>
              </w:rPr>
              <w:t>No quantitative benchmark against standardized suites; lacks offline local inference constraints</w:t>
            </w:r>
          </w:p>
        </w:tc>
      </w:tr>
      <w:tr>
        <w:tc>
          <w:tcPr>
            <w:tcW w:type="dxa" w:w="1872"/>
            <w:vAlign w:val="center"/>
            <w:shd w:fill="F2F5F9"/>
          </w:tcPr>
          <w:p>
            <w:pPr>
              <w:spacing w:before="60" w:after="60"/>
            </w:pPr>
            <w:r>
              <w:rPr>
                <w:rFonts w:ascii="Calibri" w:hAnsi="Calibri"/>
                <w:sz w:val="19"/>
              </w:rPr>
              <w:t>Al Haddad et al. [5] (2025)</w:t>
            </w:r>
          </w:p>
        </w:tc>
        <w:tc>
          <w:tcPr>
            <w:tcW w:type="dxa" w:w="1872"/>
            <w:vAlign w:val="center"/>
            <w:shd w:fill="F2F5F9"/>
          </w:tcPr>
          <w:p>
            <w:pPr>
              <w:spacing w:before="60" w:after="60"/>
            </w:pPr>
            <w:r>
              <w:rPr>
                <w:rFonts w:ascii="Calibri" w:hAnsi="Calibri"/>
                <w:sz w:val="19"/>
              </w:rPr>
              <w:t>Evaluating LLMs for triage priority</w:t>
            </w:r>
          </w:p>
        </w:tc>
        <w:tc>
          <w:tcPr>
            <w:tcW w:type="dxa" w:w="1872"/>
            <w:vAlign w:val="center"/>
            <w:shd w:fill="F2F5F9"/>
          </w:tcPr>
          <w:p>
            <w:pPr>
              <w:spacing w:before="60" w:after="60"/>
            </w:pPr>
            <w:r>
              <w:rPr>
                <w:rFonts w:ascii="Calibri" w:hAnsi="Calibri"/>
                <w:sz w:val="19"/>
              </w:rPr>
              <w:t>Prompt evaluation across severity ratings</w:t>
            </w:r>
          </w:p>
        </w:tc>
        <w:tc>
          <w:tcPr>
            <w:tcW w:type="dxa" w:w="1872"/>
            <w:vAlign w:val="center"/>
            <w:shd w:fill="F2F5F9"/>
          </w:tcPr>
          <w:p>
            <w:pPr>
              <w:spacing w:before="60" w:after="60"/>
            </w:pPr>
            <w:r>
              <w:rPr>
                <w:rFonts w:ascii="Calibri" w:hAnsi="Calibri"/>
                <w:sz w:val="19"/>
              </w:rPr>
              <w:t>Moderate rank correlation (rho=0.62)</w:t>
            </w:r>
          </w:p>
        </w:tc>
        <w:tc>
          <w:tcPr>
            <w:tcW w:type="dxa" w:w="1872"/>
            <w:vAlign w:val="center"/>
            <w:shd w:fill="F2F5F9"/>
          </w:tcPr>
          <w:p>
            <w:pPr>
              <w:spacing w:before="60" w:after="60"/>
            </w:pPr>
            <w:r>
              <w:rPr>
                <w:rFonts w:ascii="Calibri" w:hAnsi="Calibri"/>
                <w:sz w:val="19"/>
              </w:rPr>
              <w:t>High prompt sensitivity; lacks deterministic scoring and profile-based calibration</w:t>
            </w:r>
          </w:p>
        </w:tc>
      </w:tr>
    </w:tbl>
    <w:p>
      <w:pPr>
        <w:pStyle w:val="Heading1"/>
        <w:spacing w:before="240" w:after="80"/>
      </w:pPr>
      <w:r>
        <w:rPr>
          <w:rFonts w:ascii="Calibri" w:hAnsi="Calibri"/>
          <w:b/>
          <w:color w:val="1F497D"/>
          <w:sz w:val="32"/>
        </w:rPr>
        <w:t>3. System Architecture</w:t>
      </w:r>
    </w:p>
    <w:p>
      <w:pPr>
        <w:spacing w:before="40" w:after="120" w:line="276" w:lineRule="auto"/>
      </w:pPr>
      <w:r>
        <w:rPr>
          <w:rFonts w:ascii="Calibri" w:hAnsi="Calibri"/>
          <w:i w:val="0"/>
          <w:sz w:val="21"/>
        </w:rPr>
        <w:t>SSE is structured as an end-to-end six-stage pipeline: scanner orchestration, normalization, deduplication, risk scoring, LLM enrichment, and multi-format reporting. Stage 1 executes static analysis (Semgrep with tailored Python security rulesets) and a built-in dynamic URL scanner equipped with an Out-of-Band Application Security Testing (OAST) callback listener, adaptive rate limiter, and smart crawler. Stage 2 normalizes all heterogeneous scanner findings into a unified 18-field JSON schema. Stage 3 performs multi-stage deduplication. Stage 4 executes the context-aware risk scoring algorithm. Stage 5 enriches prioritized findings using a local Llama 3.1 8B LLM or deterministic fallback templates. Stage 6 generates rich CLI output, machine-readable JSON, CI-compatible SARIF, and PDF executive reports.</w:t>
      </w:r>
    </w:p>
    <w:p>
      <w:pPr>
        <w:pStyle w:val="Heading1"/>
        <w:spacing w:before="240" w:after="80"/>
      </w:pPr>
      <w:r>
        <w:rPr>
          <w:rFonts w:ascii="Calibri" w:hAnsi="Calibri"/>
          <w:b/>
          <w:color w:val="1F497D"/>
          <w:sz w:val="32"/>
        </w:rPr>
        <w:t>4. Methodology — Risk-Scoring &amp; Fine-Tuning Algorithm</w:t>
      </w:r>
    </w:p>
    <w:p>
      <w:pPr>
        <w:spacing w:before="40" w:after="120" w:line="276" w:lineRule="auto"/>
      </w:pPr>
      <w:r>
        <w:rPr>
          <w:rFonts w:ascii="Calibri" w:hAnsi="Calibri"/>
          <w:i w:val="0"/>
          <w:sz w:val="21"/>
        </w:rPr>
        <w:t>The core prioritization formula computes a continuous risk score S in [0.0, 1.0] as:</w:t>
        <w:br/>
        <w:t>Risk Score = [(BaseSeverity × 0.4) + (Context × 0.3) + (VulnType × 0.2) + (MultiTool × 0.1)] × ConfidenceFactor</w:t>
        <w:br/>
        <w:t>where BaseSeverity maps Critical=1.0, High=0.75, Medium=0.50, Low=0.25; Context contributes up to +0.30 for sensitive code locations (auth, payment, admin paths); VulnType applies severity multipliers (e.g., RCE=1.0, SQLi=0.95, Weak PRNG=0.92, Weak Crypto=0.95); MultiTool adds +0.10 when both SAST and DAST independently confirm the flaw; and ConfidenceFactor = 0.8 + 0.2 × Confidence prevents low-confidence findings from being suppressed to zero.</w:t>
      </w:r>
    </w:p>
    <w:p>
      <w:pPr>
        <w:spacing w:before="40" w:after="120" w:line="276" w:lineRule="auto"/>
      </w:pPr>
      <w:r>
        <w:rPr>
          <w:rFonts w:ascii="Calibri" w:hAnsi="Calibri"/>
          <w:i w:val="0"/>
          <w:sz w:val="21"/>
        </w:rPr>
        <w:t>To address distinct operational requirements across development environments, SSE introduces three fine-tuning operating profiles:</w:t>
        <w:br/>
        <w:t>1. Precision-Optimized Profile: Calibrated with strict rule allowlists and elevated confidence thresholds to guarantee zero false positives (ideal for blocking pull requests in CI/CD pipelines).</w:t>
        <w:br/>
        <w:t>2. Balanced-Tuned Profile: Optimized for maximum F1-score (0.6673), providing comprehensive vulnerability detection (76.77% recall) with robust AST/sanitizer suppression for daily development.</w:t>
        <w:br/>
        <w:t>3. Recall-Optimized Profile: Maximum sensitivity configuration activating all scanner engines and rules for comprehensive penetration testing and security audits.</w:t>
      </w:r>
    </w:p>
    <w:p>
      <w:pPr>
        <w:pStyle w:val="Heading1"/>
        <w:spacing w:before="240" w:after="80"/>
      </w:pPr>
      <w:r>
        <w:rPr>
          <w:rFonts w:ascii="Calibri" w:hAnsi="Calibri"/>
          <w:b/>
          <w:color w:val="1F497D"/>
          <w:sz w:val="32"/>
        </w:rPr>
        <w:t>5. Implementation</w:t>
      </w:r>
    </w:p>
    <w:p>
      <w:pPr>
        <w:spacing w:before="40" w:after="120" w:line="276" w:lineRule="auto"/>
      </w:pPr>
      <w:r>
        <w:rPr>
          <w:rFonts w:ascii="Calibri" w:hAnsi="Calibri"/>
          <w:i w:val="0"/>
          <w:sz w:val="21"/>
        </w:rPr>
        <w:t>SSE is implemented in Python across 24 modules comprising roughly 8,700 lines of code. It provides three primary execution surfaces: a Click CLI (sse scan, sse tune, sse benchmark), a FastAPI REST API (serving OpenAPI documentation at /api/v1/docs), and a Docker Compose orchestration stack. An automated tuning engine (src/evaluation/tuning.py) sweeps confidence thresholds across ground truth datasets, computes Precision-Recall AUC, calculates per-rule precision rankings, and automatically emits optimized YAML configuration profiles.</w:t>
      </w:r>
    </w:p>
    <w:p>
      <w:pPr>
        <w:pStyle w:val="Heading1"/>
        <w:spacing w:before="240" w:after="80"/>
      </w:pPr>
      <w:r>
        <w:rPr>
          <w:rFonts w:ascii="Calibri" w:hAnsi="Calibri"/>
          <w:b/>
          <w:color w:val="1F497D"/>
          <w:sz w:val="32"/>
        </w:rPr>
        <w:t>6. Experimental Evaluation</w:t>
      </w:r>
    </w:p>
    <w:p>
      <w:pPr>
        <w:spacing w:before="40" w:after="120" w:line="276" w:lineRule="auto"/>
      </w:pPr>
      <w:r>
        <w:rPr>
          <w:rFonts w:ascii="Calibri" w:hAnsi="Calibri"/>
          <w:i w:val="0"/>
          <w:sz w:val="21"/>
        </w:rPr>
        <w:t>We evaluate SSE along four rigorous dimensions: (i) correctness across the automated test suite; (ii) detection performance and threshold optimization against the standardized OWASP Benchmark for Python v0.1 corpus (1,230 test cases); (iii) deduplication noise reduction across 54 historical scan reports on 14 targets; and (iv) qualitative false-positive discipline against hardened production sites.</w:t>
      </w:r>
    </w:p>
    <w:p>
      <w:pPr>
        <w:pStyle w:val="Heading2"/>
        <w:spacing w:before="240" w:after="80"/>
      </w:pPr>
      <w:r>
        <w:rPr>
          <w:rFonts w:ascii="Calibri" w:hAnsi="Calibri"/>
          <w:b/>
          <w:color w:val="2B5C8F"/>
          <w:sz w:val="26"/>
        </w:rPr>
        <w:t>6.1 Automated Test Suite Execution</w:t>
      </w:r>
    </w:p>
    <w:p>
      <w:pPr>
        <w:spacing w:before="40" w:after="120" w:line="276" w:lineRule="auto"/>
      </w:pPr>
      <w:r>
        <w:rPr>
          <w:rFonts w:ascii="Calibri" w:hAnsi="Calibri"/>
          <w:i w:val="0"/>
          <w:sz w:val="21"/>
        </w:rPr>
        <w:t>We executed the comprehensive pytest suite in a clean virtual environment. Across 76 unit and integration tests spanning normalization, deduplication, scoring, scanners, pipeline execution, REST endpoints, LLM enrichment, sandboxing, reconnaissance, false-positive filtering, and automated tuning, all 76 tests passed with a 100% pass rate in 1.82 seconds. Table 2 summarizes the test suite results by module.</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shd w:fill="1F497D"/>
          </w:tcPr>
          <w:p>
            <w:pPr>
              <w:spacing w:before="60" w:after="60"/>
            </w:pPr>
            <w:r>
              <w:rPr>
                <w:rFonts w:ascii="Calibri" w:hAnsi="Calibri"/>
                <w:b/>
                <w:color w:val="FFFFFF"/>
                <w:sz w:val="19"/>
              </w:rPr>
              <w:t>Test Module</w:t>
            </w:r>
          </w:p>
        </w:tc>
        <w:tc>
          <w:tcPr>
            <w:tcW w:type="dxa" w:w="2340"/>
            <w:vAlign w:val="center"/>
            <w:shd w:fill="1F497D"/>
          </w:tcPr>
          <w:p>
            <w:pPr>
              <w:spacing w:before="60" w:after="60"/>
            </w:pPr>
            <w:r>
              <w:rPr>
                <w:rFonts w:ascii="Calibri" w:hAnsi="Calibri"/>
                <w:b/>
                <w:color w:val="FFFFFF"/>
                <w:sz w:val="19"/>
              </w:rPr>
              <w:t>Target Component</w:t>
            </w:r>
          </w:p>
        </w:tc>
        <w:tc>
          <w:tcPr>
            <w:tcW w:type="dxa" w:w="2340"/>
            <w:vAlign w:val="center"/>
            <w:shd w:fill="1F497D"/>
          </w:tcPr>
          <w:p>
            <w:pPr>
              <w:spacing w:before="60" w:after="60"/>
            </w:pPr>
            <w:r>
              <w:rPr>
                <w:rFonts w:ascii="Calibri" w:hAnsi="Calibri"/>
                <w:b/>
                <w:color w:val="FFFFFF"/>
                <w:sz w:val="19"/>
              </w:rPr>
              <w:t>Tests</w:t>
            </w:r>
          </w:p>
        </w:tc>
        <w:tc>
          <w:tcPr>
            <w:tcW w:type="dxa" w:w="2340"/>
            <w:vAlign w:val="center"/>
            <w:shd w:fill="1F497D"/>
          </w:tcPr>
          <w:p>
            <w:pPr>
              <w:spacing w:before="60" w:after="60"/>
            </w:pPr>
            <w:r>
              <w:rPr>
                <w:rFonts w:ascii="Calibri" w:hAnsi="Calibri"/>
                <w:b/>
                <w:color w:val="FFFFFF"/>
                <w:sz w:val="19"/>
              </w:rPr>
              <w:t>Status / Result</w:t>
            </w:r>
          </w:p>
        </w:tc>
      </w:tr>
      <w:tr>
        <w:tc>
          <w:tcPr>
            <w:tcW w:type="dxa" w:w="2340"/>
            <w:vAlign w:val="center"/>
            <w:shd w:fill="F2F5F9"/>
          </w:tcPr>
          <w:p>
            <w:pPr>
              <w:spacing w:before="60" w:after="60"/>
            </w:pPr>
            <w:r>
              <w:rPr>
                <w:rFonts w:ascii="Calibri" w:hAnsi="Calibri"/>
                <w:sz w:val="19"/>
              </w:rPr>
              <w:t>test_benchmark.py</w:t>
            </w:r>
          </w:p>
        </w:tc>
        <w:tc>
          <w:tcPr>
            <w:tcW w:type="dxa" w:w="2340"/>
            <w:vAlign w:val="center"/>
            <w:shd w:fill="F2F5F9"/>
          </w:tcPr>
          <w:p>
            <w:pPr>
              <w:spacing w:before="60" w:after="60"/>
            </w:pPr>
            <w:r>
              <w:rPr>
                <w:rFonts w:ascii="Calibri" w:hAnsi="Calibri"/>
                <w:sz w:val="19"/>
              </w:rPr>
              <w:t>Benchmark evaluation, ranking metrics, PR-AUC</w:t>
            </w:r>
          </w:p>
        </w:tc>
        <w:tc>
          <w:tcPr>
            <w:tcW w:type="dxa" w:w="2340"/>
            <w:vAlign w:val="center"/>
            <w:shd w:fill="F2F5F9"/>
          </w:tcPr>
          <w:p>
            <w:pPr>
              <w:spacing w:before="60" w:after="60"/>
            </w:pPr>
            <w:r>
              <w:rPr>
                <w:rFonts w:ascii="Calibri" w:hAnsi="Calibri"/>
                <w:sz w:val="19"/>
              </w:rPr>
              <w:t>3</w:t>
            </w:r>
          </w:p>
        </w:tc>
        <w:tc>
          <w:tcPr>
            <w:tcW w:type="dxa" w:w="2340"/>
            <w:vAlign w:val="center"/>
            <w:shd w:fill="F2F5F9"/>
          </w:tcPr>
          <w:p>
            <w:pPr>
              <w:spacing w:before="60" w:after="60"/>
            </w:pPr>
            <w:r>
              <w:rPr>
                <w:rFonts w:ascii="Calibri" w:hAnsi="Calibri"/>
                <w:sz w:val="19"/>
              </w:rPr>
              <w:t>3 Passed (100%)</w:t>
            </w:r>
          </w:p>
        </w:tc>
      </w:tr>
      <w:tr>
        <w:tc>
          <w:tcPr>
            <w:tcW w:type="dxa" w:w="2340"/>
            <w:vAlign w:val="center"/>
          </w:tcPr>
          <w:p>
            <w:pPr>
              <w:spacing w:before="60" w:after="60"/>
            </w:pPr>
            <w:r>
              <w:rPr>
                <w:rFonts w:ascii="Calibri" w:hAnsi="Calibri"/>
                <w:sz w:val="19"/>
              </w:rPr>
              <w:t>test_tuning.py</w:t>
            </w:r>
          </w:p>
        </w:tc>
        <w:tc>
          <w:tcPr>
            <w:tcW w:type="dxa" w:w="2340"/>
            <w:vAlign w:val="center"/>
          </w:tcPr>
          <w:p>
            <w:pPr>
              <w:spacing w:before="60" w:after="60"/>
            </w:pPr>
            <w:r>
              <w:rPr>
                <w:rFonts w:ascii="Calibri" w:hAnsi="Calibri"/>
                <w:sz w:val="19"/>
              </w:rPr>
              <w:t>Threshold sweeps, optimal cutoffs, profile presets</w:t>
            </w:r>
          </w:p>
        </w:tc>
        <w:tc>
          <w:tcPr>
            <w:tcW w:type="dxa" w:w="2340"/>
            <w:vAlign w:val="center"/>
          </w:tcPr>
          <w:p>
            <w:pPr>
              <w:spacing w:before="60" w:after="60"/>
            </w:pPr>
            <w:r>
              <w:rPr>
                <w:rFonts w:ascii="Calibri" w:hAnsi="Calibri"/>
                <w:sz w:val="19"/>
              </w:rPr>
              <w:t>3</w:t>
            </w:r>
          </w:p>
        </w:tc>
        <w:tc>
          <w:tcPr>
            <w:tcW w:type="dxa" w:w="2340"/>
            <w:vAlign w:val="center"/>
          </w:tcPr>
          <w:p>
            <w:pPr>
              <w:spacing w:before="60" w:after="60"/>
            </w:pPr>
            <w:r>
              <w:rPr>
                <w:rFonts w:ascii="Calibri" w:hAnsi="Calibri"/>
                <w:sz w:val="19"/>
              </w:rPr>
              <w:t>3 Passed (100%)</w:t>
            </w:r>
          </w:p>
        </w:tc>
      </w:tr>
      <w:tr>
        <w:tc>
          <w:tcPr>
            <w:tcW w:type="dxa" w:w="2340"/>
            <w:vAlign w:val="center"/>
            <w:shd w:fill="F2F5F9"/>
          </w:tcPr>
          <w:p>
            <w:pPr>
              <w:spacing w:before="60" w:after="60"/>
            </w:pPr>
            <w:r>
              <w:rPr>
                <w:rFonts w:ascii="Calibri" w:hAnsi="Calibri"/>
                <w:sz w:val="19"/>
              </w:rPr>
              <w:t>test_dedup.py</w:t>
            </w:r>
          </w:p>
        </w:tc>
        <w:tc>
          <w:tcPr>
            <w:tcW w:type="dxa" w:w="2340"/>
            <w:vAlign w:val="center"/>
            <w:shd w:fill="F2F5F9"/>
          </w:tcPr>
          <w:p>
            <w:pPr>
              <w:spacing w:before="60" w:after="60"/>
            </w:pPr>
            <w:r>
              <w:rPr>
                <w:rFonts w:ascii="Calibri" w:hAnsi="Calibri"/>
                <w:sz w:val="19"/>
              </w:rPr>
              <w:t>Multi-tool &amp; AST composite key deduplication</w:t>
            </w:r>
          </w:p>
        </w:tc>
        <w:tc>
          <w:tcPr>
            <w:tcW w:type="dxa" w:w="2340"/>
            <w:vAlign w:val="center"/>
            <w:shd w:fill="F2F5F9"/>
          </w:tcPr>
          <w:p>
            <w:pPr>
              <w:spacing w:before="60" w:after="60"/>
            </w:pPr>
            <w:r>
              <w:rPr>
                <w:rFonts w:ascii="Calibri" w:hAnsi="Calibri"/>
                <w:sz w:val="19"/>
              </w:rPr>
              <w:t>8</w:t>
            </w:r>
          </w:p>
        </w:tc>
        <w:tc>
          <w:tcPr>
            <w:tcW w:type="dxa" w:w="2340"/>
            <w:vAlign w:val="center"/>
            <w:shd w:fill="F2F5F9"/>
          </w:tcPr>
          <w:p>
            <w:pPr>
              <w:spacing w:before="60" w:after="60"/>
            </w:pPr>
            <w:r>
              <w:rPr>
                <w:rFonts w:ascii="Calibri" w:hAnsi="Calibri"/>
                <w:sz w:val="19"/>
              </w:rPr>
              <w:t>8 Passed (100%)</w:t>
            </w:r>
          </w:p>
        </w:tc>
      </w:tr>
      <w:tr>
        <w:tc>
          <w:tcPr>
            <w:tcW w:type="dxa" w:w="2340"/>
            <w:vAlign w:val="center"/>
          </w:tcPr>
          <w:p>
            <w:pPr>
              <w:spacing w:before="60" w:after="60"/>
            </w:pPr>
            <w:r>
              <w:rPr>
                <w:rFonts w:ascii="Calibri" w:hAnsi="Calibri"/>
                <w:sz w:val="19"/>
              </w:rPr>
              <w:t>test_scoring.py</w:t>
            </w:r>
          </w:p>
        </w:tc>
        <w:tc>
          <w:tcPr>
            <w:tcW w:type="dxa" w:w="2340"/>
            <w:vAlign w:val="center"/>
          </w:tcPr>
          <w:p>
            <w:pPr>
              <w:spacing w:before="60" w:after="60"/>
            </w:pPr>
            <w:r>
              <w:rPr>
                <w:rFonts w:ascii="Calibri" w:hAnsi="Calibri"/>
                <w:sz w:val="19"/>
              </w:rPr>
              <w:t>Context-aware weights, vuln-floors, consistency lock</w:t>
            </w:r>
          </w:p>
        </w:tc>
        <w:tc>
          <w:tcPr>
            <w:tcW w:type="dxa" w:w="2340"/>
            <w:vAlign w:val="center"/>
          </w:tcPr>
          <w:p>
            <w:pPr>
              <w:spacing w:before="60" w:after="60"/>
            </w:pPr>
            <w:r>
              <w:rPr>
                <w:rFonts w:ascii="Calibri" w:hAnsi="Calibri"/>
                <w:sz w:val="19"/>
              </w:rPr>
              <w:t>11</w:t>
            </w:r>
          </w:p>
        </w:tc>
        <w:tc>
          <w:tcPr>
            <w:tcW w:type="dxa" w:w="2340"/>
            <w:vAlign w:val="center"/>
          </w:tcPr>
          <w:p>
            <w:pPr>
              <w:spacing w:before="60" w:after="60"/>
            </w:pPr>
            <w:r>
              <w:rPr>
                <w:rFonts w:ascii="Calibri" w:hAnsi="Calibri"/>
                <w:sz w:val="19"/>
              </w:rPr>
              <w:t>11 Passed (100%)</w:t>
            </w:r>
          </w:p>
        </w:tc>
      </w:tr>
      <w:tr>
        <w:tc>
          <w:tcPr>
            <w:tcW w:type="dxa" w:w="2340"/>
            <w:vAlign w:val="center"/>
            <w:shd w:fill="F2F5F9"/>
          </w:tcPr>
          <w:p>
            <w:pPr>
              <w:spacing w:before="60" w:after="60"/>
            </w:pPr>
            <w:r>
              <w:rPr>
                <w:rFonts w:ascii="Calibri" w:hAnsi="Calibri"/>
                <w:sz w:val="19"/>
              </w:rPr>
              <w:t>test_pipeline.py</w:t>
            </w:r>
          </w:p>
        </w:tc>
        <w:tc>
          <w:tcPr>
            <w:tcW w:type="dxa" w:w="2340"/>
            <w:vAlign w:val="center"/>
            <w:shd w:fill="F2F5F9"/>
          </w:tcPr>
          <w:p>
            <w:pPr>
              <w:spacing w:before="60" w:after="60"/>
            </w:pPr>
            <w:r>
              <w:rPr>
                <w:rFonts w:ascii="Calibri" w:hAnsi="Calibri"/>
                <w:sz w:val="19"/>
              </w:rPr>
              <w:t>End-to-end scan pipeline, progress callbacks, CI fail</w:t>
            </w:r>
          </w:p>
        </w:tc>
        <w:tc>
          <w:tcPr>
            <w:tcW w:type="dxa" w:w="2340"/>
            <w:vAlign w:val="center"/>
            <w:shd w:fill="F2F5F9"/>
          </w:tcPr>
          <w:p>
            <w:pPr>
              <w:spacing w:before="60" w:after="60"/>
            </w:pPr>
            <w:r>
              <w:rPr>
                <w:rFonts w:ascii="Calibri" w:hAnsi="Calibri"/>
                <w:sz w:val="19"/>
              </w:rPr>
              <w:t>4</w:t>
            </w:r>
          </w:p>
        </w:tc>
        <w:tc>
          <w:tcPr>
            <w:tcW w:type="dxa" w:w="2340"/>
            <w:vAlign w:val="center"/>
            <w:shd w:fill="F2F5F9"/>
          </w:tcPr>
          <w:p>
            <w:pPr>
              <w:spacing w:before="60" w:after="60"/>
            </w:pPr>
            <w:r>
              <w:rPr>
                <w:rFonts w:ascii="Calibri" w:hAnsi="Calibri"/>
                <w:sz w:val="19"/>
              </w:rPr>
              <w:t>4 Passed (100%)</w:t>
            </w:r>
          </w:p>
        </w:tc>
      </w:tr>
      <w:tr>
        <w:tc>
          <w:tcPr>
            <w:tcW w:type="dxa" w:w="2340"/>
            <w:vAlign w:val="center"/>
          </w:tcPr>
          <w:p>
            <w:pPr>
              <w:spacing w:before="60" w:after="60"/>
            </w:pPr>
            <w:r>
              <w:rPr>
                <w:rFonts w:ascii="Calibri" w:hAnsi="Calibri"/>
                <w:sz w:val="19"/>
              </w:rPr>
              <w:t>test_scanners.py</w:t>
            </w:r>
          </w:p>
        </w:tc>
        <w:tc>
          <w:tcPr>
            <w:tcW w:type="dxa" w:w="2340"/>
            <w:vAlign w:val="center"/>
          </w:tcPr>
          <w:p>
            <w:pPr>
              <w:spacing w:before="60" w:after="60"/>
            </w:pPr>
            <w:r>
              <w:rPr>
                <w:rFonts w:ascii="Calibri" w:hAnsi="Calibri"/>
                <w:sz w:val="19"/>
              </w:rPr>
              <w:t>Semgrep SAST orchestration &amp; error filtering</w:t>
            </w:r>
          </w:p>
        </w:tc>
        <w:tc>
          <w:tcPr>
            <w:tcW w:type="dxa" w:w="2340"/>
            <w:vAlign w:val="center"/>
          </w:tcPr>
          <w:p>
            <w:pPr>
              <w:spacing w:before="60" w:after="60"/>
            </w:pPr>
            <w:r>
              <w:rPr>
                <w:rFonts w:ascii="Calibri" w:hAnsi="Calibri"/>
                <w:sz w:val="19"/>
              </w:rPr>
              <w:t>11</w:t>
            </w:r>
          </w:p>
        </w:tc>
        <w:tc>
          <w:tcPr>
            <w:tcW w:type="dxa" w:w="2340"/>
            <w:vAlign w:val="center"/>
          </w:tcPr>
          <w:p>
            <w:pPr>
              <w:spacing w:before="60" w:after="60"/>
            </w:pPr>
            <w:r>
              <w:rPr>
                <w:rFonts w:ascii="Calibri" w:hAnsi="Calibri"/>
                <w:sz w:val="19"/>
              </w:rPr>
              <w:t>11 Passed (100%)</w:t>
            </w:r>
          </w:p>
        </w:tc>
      </w:tr>
      <w:tr>
        <w:tc>
          <w:tcPr>
            <w:tcW w:type="dxa" w:w="2340"/>
            <w:vAlign w:val="center"/>
            <w:shd w:fill="F2F5F9"/>
          </w:tcPr>
          <w:p>
            <w:pPr>
              <w:spacing w:before="60" w:after="60"/>
            </w:pPr>
            <w:r>
              <w:rPr>
                <w:rFonts w:ascii="Calibri" w:hAnsi="Calibri"/>
                <w:sz w:val="19"/>
              </w:rPr>
              <w:t>test_llm.py</w:t>
            </w:r>
          </w:p>
        </w:tc>
        <w:tc>
          <w:tcPr>
            <w:tcW w:type="dxa" w:w="2340"/>
            <w:vAlign w:val="center"/>
            <w:shd w:fill="F2F5F9"/>
          </w:tcPr>
          <w:p>
            <w:pPr>
              <w:spacing w:before="60" w:after="60"/>
            </w:pPr>
            <w:r>
              <w:rPr>
                <w:rFonts w:ascii="Calibri" w:hAnsi="Calibri"/>
                <w:sz w:val="19"/>
              </w:rPr>
              <w:t>Ollama intelligence layer &amp; deterministic fallback</w:t>
            </w:r>
          </w:p>
        </w:tc>
        <w:tc>
          <w:tcPr>
            <w:tcW w:type="dxa" w:w="2340"/>
            <w:vAlign w:val="center"/>
            <w:shd w:fill="F2F5F9"/>
          </w:tcPr>
          <w:p>
            <w:pPr>
              <w:spacing w:before="60" w:after="60"/>
            </w:pPr>
            <w:r>
              <w:rPr>
                <w:rFonts w:ascii="Calibri" w:hAnsi="Calibri"/>
                <w:sz w:val="19"/>
              </w:rPr>
              <w:t>14</w:t>
            </w:r>
          </w:p>
        </w:tc>
        <w:tc>
          <w:tcPr>
            <w:tcW w:type="dxa" w:w="2340"/>
            <w:vAlign w:val="center"/>
            <w:shd w:fill="F2F5F9"/>
          </w:tcPr>
          <w:p>
            <w:pPr>
              <w:spacing w:before="60" w:after="60"/>
            </w:pPr>
            <w:r>
              <w:rPr>
                <w:rFonts w:ascii="Calibri" w:hAnsi="Calibri"/>
                <w:sz w:val="19"/>
              </w:rPr>
              <w:t>14 Passed (100%)</w:t>
            </w:r>
          </w:p>
        </w:tc>
      </w:tr>
      <w:tr>
        <w:tc>
          <w:tcPr>
            <w:tcW w:type="dxa" w:w="2340"/>
            <w:vAlign w:val="center"/>
          </w:tcPr>
          <w:p>
            <w:pPr>
              <w:spacing w:before="60" w:after="60"/>
            </w:pPr>
            <w:r>
              <w:rPr>
                <w:rFonts w:ascii="Calibri" w:hAnsi="Calibri"/>
                <w:sz w:val="19"/>
              </w:rPr>
              <w:t>test_api.py</w:t>
            </w:r>
          </w:p>
        </w:tc>
        <w:tc>
          <w:tcPr>
            <w:tcW w:type="dxa" w:w="2340"/>
            <w:vAlign w:val="center"/>
          </w:tcPr>
          <w:p>
            <w:pPr>
              <w:spacing w:before="60" w:after="60"/>
            </w:pPr>
            <w:r>
              <w:rPr>
                <w:rFonts w:ascii="Calibri" w:hAnsi="Calibri"/>
                <w:sz w:val="19"/>
              </w:rPr>
              <w:t>FastAPI REST endpoints &amp; OpenAPI schema validation</w:t>
            </w:r>
          </w:p>
        </w:tc>
        <w:tc>
          <w:tcPr>
            <w:tcW w:type="dxa" w:w="2340"/>
            <w:vAlign w:val="center"/>
          </w:tcPr>
          <w:p>
            <w:pPr>
              <w:spacing w:before="60" w:after="60"/>
            </w:pPr>
            <w:r>
              <w:rPr>
                <w:rFonts w:ascii="Calibri" w:hAnsi="Calibri"/>
                <w:sz w:val="19"/>
              </w:rPr>
              <w:t>5</w:t>
            </w:r>
          </w:p>
        </w:tc>
        <w:tc>
          <w:tcPr>
            <w:tcW w:type="dxa" w:w="2340"/>
            <w:vAlign w:val="center"/>
          </w:tcPr>
          <w:p>
            <w:pPr>
              <w:spacing w:before="60" w:after="60"/>
            </w:pPr>
            <w:r>
              <w:rPr>
                <w:rFonts w:ascii="Calibri" w:hAnsi="Calibri"/>
                <w:sz w:val="19"/>
              </w:rPr>
              <w:t>5 Passed (100%)</w:t>
            </w:r>
          </w:p>
        </w:tc>
      </w:tr>
      <w:tr>
        <w:tc>
          <w:tcPr>
            <w:tcW w:type="dxa" w:w="2340"/>
            <w:vAlign w:val="center"/>
            <w:shd w:fill="F2F5F9"/>
          </w:tcPr>
          <w:p>
            <w:pPr>
              <w:spacing w:before="60" w:after="60"/>
            </w:pPr>
            <w:r>
              <w:rPr>
                <w:rFonts w:ascii="Calibri" w:hAnsi="Calibri"/>
                <w:sz w:val="19"/>
              </w:rPr>
              <w:t>test_precision_profile.py</w:t>
            </w:r>
          </w:p>
        </w:tc>
        <w:tc>
          <w:tcPr>
            <w:tcW w:type="dxa" w:w="2340"/>
            <w:vAlign w:val="center"/>
            <w:shd w:fill="F2F5F9"/>
          </w:tcPr>
          <w:p>
            <w:pPr>
              <w:spacing w:before="60" w:after="60"/>
            </w:pPr>
            <w:r>
              <w:rPr>
                <w:rFonts w:ascii="Calibri" w:hAnsi="Calibri"/>
                <w:sz w:val="19"/>
              </w:rPr>
              <w:t>Rule allowlists &amp; precision profile constraints</w:t>
            </w:r>
          </w:p>
        </w:tc>
        <w:tc>
          <w:tcPr>
            <w:tcW w:type="dxa" w:w="2340"/>
            <w:vAlign w:val="center"/>
            <w:shd w:fill="F2F5F9"/>
          </w:tcPr>
          <w:p>
            <w:pPr>
              <w:spacing w:before="60" w:after="60"/>
            </w:pPr>
            <w:r>
              <w:rPr>
                <w:rFonts w:ascii="Calibri" w:hAnsi="Calibri"/>
                <w:sz w:val="19"/>
              </w:rPr>
              <w:t>2</w:t>
            </w:r>
          </w:p>
        </w:tc>
        <w:tc>
          <w:tcPr>
            <w:tcW w:type="dxa" w:w="2340"/>
            <w:vAlign w:val="center"/>
            <w:shd w:fill="F2F5F9"/>
          </w:tcPr>
          <w:p>
            <w:pPr>
              <w:spacing w:before="60" w:after="60"/>
            </w:pPr>
            <w:r>
              <w:rPr>
                <w:rFonts w:ascii="Calibri" w:hAnsi="Calibri"/>
                <w:sz w:val="19"/>
              </w:rPr>
              <w:t>2 Passed (100%)</w:t>
            </w:r>
          </w:p>
        </w:tc>
      </w:tr>
      <w:tr>
        <w:tc>
          <w:tcPr>
            <w:tcW w:type="dxa" w:w="2340"/>
            <w:vAlign w:val="center"/>
          </w:tcPr>
          <w:p>
            <w:pPr>
              <w:spacing w:before="60" w:after="60"/>
            </w:pPr>
            <w:r>
              <w:rPr>
                <w:rFonts w:ascii="Calibri" w:hAnsi="Calibri"/>
                <w:sz w:val="19"/>
              </w:rPr>
              <w:t>test_url_scanner.py / recon</w:t>
            </w:r>
          </w:p>
        </w:tc>
        <w:tc>
          <w:tcPr>
            <w:tcW w:type="dxa" w:w="2340"/>
            <w:vAlign w:val="center"/>
          </w:tcPr>
          <w:p>
            <w:pPr>
              <w:spacing w:before="60" w:after="60"/>
            </w:pPr>
            <w:r>
              <w:rPr>
                <w:rFonts w:ascii="Calibri" w:hAnsi="Calibri"/>
                <w:sz w:val="19"/>
              </w:rPr>
              <w:t>DAST probes, budget management, reconnaissance</w:t>
            </w:r>
          </w:p>
        </w:tc>
        <w:tc>
          <w:tcPr>
            <w:tcW w:type="dxa" w:w="2340"/>
            <w:vAlign w:val="center"/>
          </w:tcPr>
          <w:p>
            <w:pPr>
              <w:spacing w:before="60" w:after="60"/>
            </w:pPr>
            <w:r>
              <w:rPr>
                <w:rFonts w:ascii="Calibri" w:hAnsi="Calibri"/>
                <w:sz w:val="19"/>
              </w:rPr>
              <w:t>4</w:t>
            </w:r>
          </w:p>
        </w:tc>
        <w:tc>
          <w:tcPr>
            <w:tcW w:type="dxa" w:w="2340"/>
            <w:vAlign w:val="center"/>
          </w:tcPr>
          <w:p>
            <w:pPr>
              <w:spacing w:before="60" w:after="60"/>
            </w:pPr>
            <w:r>
              <w:rPr>
                <w:rFonts w:ascii="Calibri" w:hAnsi="Calibri"/>
                <w:sz w:val="19"/>
              </w:rPr>
              <w:t>4 Passed (100%)</w:t>
            </w:r>
          </w:p>
        </w:tc>
      </w:tr>
      <w:tr>
        <w:tc>
          <w:tcPr>
            <w:tcW w:type="dxa" w:w="2340"/>
            <w:vAlign w:val="center"/>
            <w:shd w:fill="F2F5F9"/>
          </w:tcPr>
          <w:p>
            <w:pPr>
              <w:spacing w:before="60" w:after="60"/>
            </w:pPr>
            <w:r>
              <w:rPr>
                <w:rFonts w:ascii="Calibri" w:hAnsi="Calibri"/>
                <w:sz w:val="19"/>
              </w:rPr>
              <w:t>test_sandbox / sarif / norm</w:t>
            </w:r>
          </w:p>
        </w:tc>
        <w:tc>
          <w:tcPr>
            <w:tcW w:type="dxa" w:w="2340"/>
            <w:vAlign w:val="center"/>
            <w:shd w:fill="F2F5F9"/>
          </w:tcPr>
          <w:p>
            <w:pPr>
              <w:spacing w:before="60" w:after="60"/>
            </w:pPr>
            <w:r>
              <w:rPr>
                <w:rFonts w:ascii="Calibri" w:hAnsi="Calibri"/>
                <w:sz w:val="19"/>
              </w:rPr>
              <w:t>Docker sandbox fail-closed, SARIF metadata, norm</w:t>
            </w:r>
          </w:p>
        </w:tc>
        <w:tc>
          <w:tcPr>
            <w:tcW w:type="dxa" w:w="2340"/>
            <w:vAlign w:val="center"/>
            <w:shd w:fill="F2F5F9"/>
          </w:tcPr>
          <w:p>
            <w:pPr>
              <w:spacing w:before="60" w:after="60"/>
            </w:pPr>
            <w:r>
              <w:rPr>
                <w:rFonts w:ascii="Calibri" w:hAnsi="Calibri"/>
                <w:sz w:val="19"/>
              </w:rPr>
              <w:t>11</w:t>
            </w:r>
          </w:p>
        </w:tc>
        <w:tc>
          <w:tcPr>
            <w:tcW w:type="dxa" w:w="2340"/>
            <w:vAlign w:val="center"/>
            <w:shd w:fill="F2F5F9"/>
          </w:tcPr>
          <w:p>
            <w:pPr>
              <w:spacing w:before="60" w:after="60"/>
            </w:pPr>
            <w:r>
              <w:rPr>
                <w:rFonts w:ascii="Calibri" w:hAnsi="Calibri"/>
                <w:sz w:val="19"/>
              </w:rPr>
              <w:t>11 Passed (100%)</w:t>
            </w:r>
          </w:p>
        </w:tc>
      </w:tr>
    </w:tbl>
    <w:p>
      <w:pPr>
        <w:pStyle w:val="Heading2"/>
        <w:spacing w:before="240" w:after="80"/>
      </w:pPr>
      <w:r>
        <w:rPr>
          <w:rFonts w:ascii="Calibri" w:hAnsi="Calibri"/>
          <w:b/>
          <w:color w:val="2B5C8F"/>
          <w:sz w:val="26"/>
        </w:rPr>
        <w:t>6.2 Standardized Evaluation on OWASP Benchmark Python v0.1 (1,230 Cases)</w:t>
      </w:r>
    </w:p>
    <w:p>
      <w:pPr>
        <w:spacing w:before="40" w:after="120" w:line="276" w:lineRule="auto"/>
      </w:pPr>
      <w:r>
        <w:rPr>
          <w:rFonts w:ascii="Calibri" w:hAnsi="Calibri"/>
          <w:i w:val="0"/>
          <w:sz w:val="21"/>
        </w:rPr>
        <w:t>To overcome the limitations of convenience sampling, we benchmarked SSE against the full, versioned OWASP Benchmark for Python v0.1 suite. The dataset consists of 1,230 standardized web application test cases: 452 vulnerable cases (ground truth positives) and 778 clean negative control cases spanning 14 distinct Common Weakness Enumeration (CWE) categories. Table 3 presents the comparative performance across evaluated profiles.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shd w:fill="1F497D"/>
          </w:tcPr>
          <w:p>
            <w:pPr>
              <w:spacing w:before="60" w:after="60"/>
            </w:pPr>
            <w:r>
              <w:rPr>
                <w:rFonts w:ascii="Calibri" w:hAnsi="Calibri"/>
                <w:b/>
                <w:color w:val="FFFFFF"/>
                <w:sz w:val="19"/>
              </w:rPr>
              <w:t>Profile / Mode</w:t>
            </w:r>
          </w:p>
        </w:tc>
        <w:tc>
          <w:tcPr>
            <w:tcW w:type="dxa" w:w="1170"/>
            <w:vAlign w:val="center"/>
            <w:shd w:fill="1F497D"/>
          </w:tcPr>
          <w:p>
            <w:pPr>
              <w:spacing w:before="60" w:after="60"/>
            </w:pPr>
            <w:r>
              <w:rPr>
                <w:rFonts w:ascii="Calibri" w:hAnsi="Calibri"/>
                <w:b/>
                <w:color w:val="FFFFFF"/>
                <w:sz w:val="19"/>
              </w:rPr>
              <w:t>Precision</w:t>
            </w:r>
          </w:p>
        </w:tc>
        <w:tc>
          <w:tcPr>
            <w:tcW w:type="dxa" w:w="1170"/>
            <w:vAlign w:val="center"/>
            <w:shd w:fill="1F497D"/>
          </w:tcPr>
          <w:p>
            <w:pPr>
              <w:spacing w:before="60" w:after="60"/>
            </w:pPr>
            <w:r>
              <w:rPr>
                <w:rFonts w:ascii="Calibri" w:hAnsi="Calibri"/>
                <w:b/>
                <w:color w:val="FFFFFF"/>
                <w:sz w:val="19"/>
              </w:rPr>
              <w:t>Recall</w:t>
            </w:r>
          </w:p>
        </w:tc>
        <w:tc>
          <w:tcPr>
            <w:tcW w:type="dxa" w:w="1170"/>
            <w:vAlign w:val="center"/>
            <w:shd w:fill="1F497D"/>
          </w:tcPr>
          <w:p>
            <w:pPr>
              <w:spacing w:before="60" w:after="60"/>
            </w:pPr>
            <w:r>
              <w:rPr>
                <w:rFonts w:ascii="Calibri" w:hAnsi="Calibri"/>
                <w:b/>
                <w:color w:val="FFFFFF"/>
                <w:sz w:val="19"/>
              </w:rPr>
              <w:t>F1 Score</w:t>
            </w:r>
          </w:p>
        </w:tc>
        <w:tc>
          <w:tcPr>
            <w:tcW w:type="dxa" w:w="1170"/>
            <w:vAlign w:val="center"/>
            <w:shd w:fill="1F497D"/>
          </w:tcPr>
          <w:p>
            <w:pPr>
              <w:spacing w:before="60" w:after="60"/>
            </w:pPr>
            <w:r>
              <w:rPr>
                <w:rFonts w:ascii="Calibri" w:hAnsi="Calibri"/>
                <w:b/>
                <w:color w:val="FFFFFF"/>
                <w:sz w:val="19"/>
              </w:rPr>
              <w:t>PR-AUC</w:t>
            </w:r>
          </w:p>
        </w:tc>
        <w:tc>
          <w:tcPr>
            <w:tcW w:type="dxa" w:w="1170"/>
            <w:vAlign w:val="center"/>
            <w:shd w:fill="1F497D"/>
          </w:tcPr>
          <w:p>
            <w:pPr>
              <w:spacing w:before="60" w:after="60"/>
            </w:pPr>
            <w:r>
              <w:rPr>
                <w:rFonts w:ascii="Calibri" w:hAnsi="Calibri"/>
                <w:b/>
                <w:color w:val="FFFFFF"/>
                <w:sz w:val="19"/>
              </w:rPr>
              <w:t>True Pos (TP)</w:t>
            </w:r>
          </w:p>
        </w:tc>
        <w:tc>
          <w:tcPr>
            <w:tcW w:type="dxa" w:w="1170"/>
            <w:vAlign w:val="center"/>
            <w:shd w:fill="1F497D"/>
          </w:tcPr>
          <w:p>
            <w:pPr>
              <w:spacing w:before="60" w:after="60"/>
            </w:pPr>
            <w:r>
              <w:rPr>
                <w:rFonts w:ascii="Calibri" w:hAnsi="Calibri"/>
                <w:b/>
                <w:color w:val="FFFFFF"/>
                <w:sz w:val="19"/>
              </w:rPr>
              <w:t>False Pos (FP)</w:t>
            </w:r>
          </w:p>
        </w:tc>
        <w:tc>
          <w:tcPr>
            <w:tcW w:type="dxa" w:w="1170"/>
            <w:vAlign w:val="center"/>
            <w:shd w:fill="1F497D"/>
          </w:tcPr>
          <w:p>
            <w:pPr>
              <w:spacing w:before="60" w:after="60"/>
            </w:pPr>
            <w:r>
              <w:rPr>
                <w:rFonts w:ascii="Calibri" w:hAnsi="Calibri"/>
                <w:b/>
                <w:color w:val="FFFFFF"/>
                <w:sz w:val="19"/>
              </w:rPr>
              <w:t>False Neg (FN)</w:t>
            </w:r>
          </w:p>
        </w:tc>
      </w:tr>
      <w:tr>
        <w:tc>
          <w:tcPr>
            <w:tcW w:type="dxa" w:w="1170"/>
            <w:vAlign w:val="center"/>
            <w:shd w:fill="F2F5F9"/>
          </w:tcPr>
          <w:p>
            <w:pPr>
              <w:spacing w:before="60" w:after="60"/>
            </w:pPr>
            <w:r>
              <w:rPr>
                <w:rFonts w:ascii="Calibri" w:hAnsi="Calibri"/>
                <w:sz w:val="19"/>
              </w:rPr>
              <w:t>Precision-Optimized</w:t>
            </w:r>
          </w:p>
        </w:tc>
        <w:tc>
          <w:tcPr>
            <w:tcW w:type="dxa" w:w="1170"/>
            <w:vAlign w:val="center"/>
            <w:shd w:fill="F2F5F9"/>
          </w:tcPr>
          <w:p>
            <w:pPr>
              <w:spacing w:before="60" w:after="60"/>
            </w:pPr>
            <w:r>
              <w:rPr>
                <w:rFonts w:ascii="Calibri" w:hAnsi="Calibri"/>
                <w:sz w:val="19"/>
              </w:rPr>
              <w:t>1.0000</w:t>
            </w:r>
          </w:p>
        </w:tc>
        <w:tc>
          <w:tcPr>
            <w:tcW w:type="dxa" w:w="1170"/>
            <w:vAlign w:val="center"/>
            <w:shd w:fill="F2F5F9"/>
          </w:tcPr>
          <w:p>
            <w:pPr>
              <w:spacing w:before="60" w:after="60"/>
            </w:pPr>
            <w:r>
              <w:rPr>
                <w:rFonts w:ascii="Calibri" w:hAnsi="Calibri"/>
                <w:sz w:val="19"/>
              </w:rPr>
              <w:t>0.3341</w:t>
            </w:r>
          </w:p>
        </w:tc>
        <w:tc>
          <w:tcPr>
            <w:tcW w:type="dxa" w:w="1170"/>
            <w:vAlign w:val="center"/>
            <w:shd w:fill="F2F5F9"/>
          </w:tcPr>
          <w:p>
            <w:pPr>
              <w:spacing w:before="60" w:after="60"/>
            </w:pPr>
            <w:r>
              <w:rPr>
                <w:rFonts w:ascii="Calibri" w:hAnsi="Calibri"/>
                <w:sz w:val="19"/>
              </w:rPr>
              <w:t>0.5008</w:t>
            </w:r>
          </w:p>
        </w:tc>
        <w:tc>
          <w:tcPr>
            <w:tcW w:type="dxa" w:w="1170"/>
            <w:vAlign w:val="center"/>
            <w:shd w:fill="F2F5F9"/>
          </w:tcPr>
          <w:p>
            <w:pPr>
              <w:spacing w:before="60" w:after="60"/>
            </w:pPr>
            <w:r>
              <w:rPr>
                <w:rFonts w:ascii="Calibri" w:hAnsi="Calibri"/>
                <w:sz w:val="19"/>
              </w:rPr>
              <w:t>0.3341</w:t>
            </w:r>
          </w:p>
        </w:tc>
        <w:tc>
          <w:tcPr>
            <w:tcW w:type="dxa" w:w="1170"/>
            <w:vAlign w:val="center"/>
            <w:shd w:fill="F2F5F9"/>
          </w:tcPr>
          <w:p>
            <w:pPr>
              <w:spacing w:before="60" w:after="60"/>
            </w:pPr>
            <w:r>
              <w:rPr>
                <w:rFonts w:ascii="Calibri" w:hAnsi="Calibri"/>
                <w:sz w:val="19"/>
              </w:rPr>
              <w:t>151</w:t>
            </w:r>
          </w:p>
        </w:tc>
        <w:tc>
          <w:tcPr>
            <w:tcW w:type="dxa" w:w="1170"/>
            <w:vAlign w:val="center"/>
            <w:shd w:fill="F2F5F9"/>
          </w:tcPr>
          <w:p>
            <w:pPr>
              <w:spacing w:before="60" w:after="60"/>
            </w:pPr>
            <w:r>
              <w:rPr>
                <w:rFonts w:ascii="Calibri" w:hAnsi="Calibri"/>
                <w:sz w:val="19"/>
              </w:rPr>
              <w:t>0</w:t>
            </w:r>
          </w:p>
        </w:tc>
        <w:tc>
          <w:tcPr>
            <w:tcW w:type="dxa" w:w="1170"/>
            <w:vAlign w:val="center"/>
            <w:shd w:fill="F2F5F9"/>
          </w:tcPr>
          <w:p>
            <w:pPr>
              <w:spacing w:before="60" w:after="60"/>
            </w:pPr>
            <w:r>
              <w:rPr>
                <w:rFonts w:ascii="Calibri" w:hAnsi="Calibri"/>
                <w:sz w:val="19"/>
              </w:rPr>
              <w:t>301</w:t>
            </w:r>
          </w:p>
        </w:tc>
      </w:tr>
      <w:tr>
        <w:tc>
          <w:tcPr>
            <w:tcW w:type="dxa" w:w="1170"/>
            <w:vAlign w:val="center"/>
          </w:tcPr>
          <w:p>
            <w:pPr>
              <w:spacing w:before="60" w:after="60"/>
            </w:pPr>
            <w:r>
              <w:rPr>
                <w:rFonts w:ascii="Calibri" w:hAnsi="Calibri"/>
                <w:sz w:val="19"/>
              </w:rPr>
              <w:t>Balanced-Tuned</w:t>
            </w:r>
          </w:p>
        </w:tc>
        <w:tc>
          <w:tcPr>
            <w:tcW w:type="dxa" w:w="1170"/>
            <w:vAlign w:val="center"/>
          </w:tcPr>
          <w:p>
            <w:pPr>
              <w:spacing w:before="60" w:after="60"/>
            </w:pPr>
            <w:r>
              <w:rPr>
                <w:rFonts w:ascii="Calibri" w:hAnsi="Calibri"/>
                <w:sz w:val="19"/>
              </w:rPr>
              <w:t>0.5901</w:t>
            </w:r>
          </w:p>
        </w:tc>
        <w:tc>
          <w:tcPr>
            <w:tcW w:type="dxa" w:w="1170"/>
            <w:vAlign w:val="center"/>
          </w:tcPr>
          <w:p>
            <w:pPr>
              <w:spacing w:before="60" w:after="60"/>
            </w:pPr>
            <w:r>
              <w:rPr>
                <w:rFonts w:ascii="Calibri" w:hAnsi="Calibri"/>
                <w:sz w:val="19"/>
              </w:rPr>
              <w:t>0.7677</w:t>
            </w:r>
          </w:p>
        </w:tc>
        <w:tc>
          <w:tcPr>
            <w:tcW w:type="dxa" w:w="1170"/>
            <w:vAlign w:val="center"/>
          </w:tcPr>
          <w:p>
            <w:pPr>
              <w:spacing w:before="60" w:after="60"/>
            </w:pPr>
            <w:r>
              <w:rPr>
                <w:rFonts w:ascii="Calibri" w:hAnsi="Calibri"/>
                <w:sz w:val="19"/>
              </w:rPr>
              <w:t>0.6673</w:t>
            </w:r>
          </w:p>
        </w:tc>
        <w:tc>
          <w:tcPr>
            <w:tcW w:type="dxa" w:w="1170"/>
            <w:vAlign w:val="center"/>
          </w:tcPr>
          <w:p>
            <w:pPr>
              <w:spacing w:before="60" w:after="60"/>
            </w:pPr>
            <w:r>
              <w:rPr>
                <w:rFonts w:ascii="Calibri" w:hAnsi="Calibri"/>
                <w:sz w:val="19"/>
              </w:rPr>
              <w:t>0.4578</w:t>
            </w:r>
          </w:p>
        </w:tc>
        <w:tc>
          <w:tcPr>
            <w:tcW w:type="dxa" w:w="1170"/>
            <w:vAlign w:val="center"/>
          </w:tcPr>
          <w:p>
            <w:pPr>
              <w:spacing w:before="60" w:after="60"/>
            </w:pPr>
            <w:r>
              <w:rPr>
                <w:rFonts w:ascii="Calibri" w:hAnsi="Calibri"/>
                <w:sz w:val="19"/>
              </w:rPr>
              <w:t>347</w:t>
            </w:r>
          </w:p>
        </w:tc>
        <w:tc>
          <w:tcPr>
            <w:tcW w:type="dxa" w:w="1170"/>
            <w:vAlign w:val="center"/>
          </w:tcPr>
          <w:p>
            <w:pPr>
              <w:spacing w:before="60" w:after="60"/>
            </w:pPr>
            <w:r>
              <w:rPr>
                <w:rFonts w:ascii="Calibri" w:hAnsi="Calibri"/>
                <w:sz w:val="19"/>
              </w:rPr>
              <w:t>241</w:t>
            </w:r>
          </w:p>
        </w:tc>
        <w:tc>
          <w:tcPr>
            <w:tcW w:type="dxa" w:w="1170"/>
            <w:vAlign w:val="center"/>
          </w:tcPr>
          <w:p>
            <w:pPr>
              <w:spacing w:before="60" w:after="60"/>
            </w:pPr>
            <w:r>
              <w:rPr>
                <w:rFonts w:ascii="Calibri" w:hAnsi="Calibri"/>
                <w:sz w:val="19"/>
              </w:rPr>
              <w:t>105</w:t>
            </w:r>
          </w:p>
        </w:tc>
      </w:tr>
      <w:tr>
        <w:tc>
          <w:tcPr>
            <w:tcW w:type="dxa" w:w="1170"/>
            <w:vAlign w:val="center"/>
            <w:shd w:fill="F2F5F9"/>
          </w:tcPr>
          <w:p>
            <w:pPr>
              <w:spacing w:before="60" w:after="60"/>
            </w:pPr>
            <w:r>
              <w:rPr>
                <w:rFonts w:ascii="Calibri" w:hAnsi="Calibri"/>
                <w:sz w:val="19"/>
              </w:rPr>
              <w:t>Recall-Optimized</w:t>
            </w:r>
          </w:p>
        </w:tc>
        <w:tc>
          <w:tcPr>
            <w:tcW w:type="dxa" w:w="1170"/>
            <w:vAlign w:val="center"/>
            <w:shd w:fill="F2F5F9"/>
          </w:tcPr>
          <w:p>
            <w:pPr>
              <w:spacing w:before="60" w:after="60"/>
            </w:pPr>
            <w:r>
              <w:rPr>
                <w:rFonts w:ascii="Calibri" w:hAnsi="Calibri"/>
                <w:sz w:val="19"/>
              </w:rPr>
              <w:t>0.5901</w:t>
            </w:r>
          </w:p>
        </w:tc>
        <w:tc>
          <w:tcPr>
            <w:tcW w:type="dxa" w:w="1170"/>
            <w:vAlign w:val="center"/>
            <w:shd w:fill="F2F5F9"/>
          </w:tcPr>
          <w:p>
            <w:pPr>
              <w:spacing w:before="60" w:after="60"/>
            </w:pPr>
            <w:r>
              <w:rPr>
                <w:rFonts w:ascii="Calibri" w:hAnsi="Calibri"/>
                <w:sz w:val="19"/>
              </w:rPr>
              <w:t>0.7677</w:t>
            </w:r>
          </w:p>
        </w:tc>
        <w:tc>
          <w:tcPr>
            <w:tcW w:type="dxa" w:w="1170"/>
            <w:vAlign w:val="center"/>
            <w:shd w:fill="F2F5F9"/>
          </w:tcPr>
          <w:p>
            <w:pPr>
              <w:spacing w:before="60" w:after="60"/>
            </w:pPr>
            <w:r>
              <w:rPr>
                <w:rFonts w:ascii="Calibri" w:hAnsi="Calibri"/>
                <w:sz w:val="19"/>
              </w:rPr>
              <w:t>0.6673</w:t>
            </w:r>
          </w:p>
        </w:tc>
        <w:tc>
          <w:tcPr>
            <w:tcW w:type="dxa" w:w="1170"/>
            <w:vAlign w:val="center"/>
            <w:shd w:fill="F2F5F9"/>
          </w:tcPr>
          <w:p>
            <w:pPr>
              <w:spacing w:before="60" w:after="60"/>
            </w:pPr>
            <w:r>
              <w:rPr>
                <w:rFonts w:ascii="Calibri" w:hAnsi="Calibri"/>
                <w:sz w:val="19"/>
              </w:rPr>
              <w:t>0.4578</w:t>
            </w:r>
          </w:p>
        </w:tc>
        <w:tc>
          <w:tcPr>
            <w:tcW w:type="dxa" w:w="1170"/>
            <w:vAlign w:val="center"/>
            <w:shd w:fill="F2F5F9"/>
          </w:tcPr>
          <w:p>
            <w:pPr>
              <w:spacing w:before="60" w:after="60"/>
            </w:pPr>
            <w:r>
              <w:rPr>
                <w:rFonts w:ascii="Calibri" w:hAnsi="Calibri"/>
                <w:sz w:val="19"/>
              </w:rPr>
              <w:t>347</w:t>
            </w:r>
          </w:p>
        </w:tc>
        <w:tc>
          <w:tcPr>
            <w:tcW w:type="dxa" w:w="1170"/>
            <w:vAlign w:val="center"/>
            <w:shd w:fill="F2F5F9"/>
          </w:tcPr>
          <w:p>
            <w:pPr>
              <w:spacing w:before="60" w:after="60"/>
            </w:pPr>
            <w:r>
              <w:rPr>
                <w:rFonts w:ascii="Calibri" w:hAnsi="Calibri"/>
                <w:sz w:val="19"/>
              </w:rPr>
              <w:t>241</w:t>
            </w:r>
          </w:p>
        </w:tc>
        <w:tc>
          <w:tcPr>
            <w:tcW w:type="dxa" w:w="1170"/>
            <w:vAlign w:val="center"/>
            <w:shd w:fill="F2F5F9"/>
          </w:tcPr>
          <w:p>
            <w:pPr>
              <w:spacing w:before="60" w:after="60"/>
            </w:pPr>
            <w:r>
              <w:rPr>
                <w:rFonts w:ascii="Calibri" w:hAnsi="Calibri"/>
                <w:sz w:val="19"/>
              </w:rPr>
              <w:t>105</w:t>
            </w:r>
          </w:p>
        </w:tc>
      </w:tr>
      <w:tr>
        <w:tc>
          <w:tcPr>
            <w:tcW w:type="dxa" w:w="1170"/>
            <w:vAlign w:val="center"/>
          </w:tcPr>
          <w:p>
            <w:pPr>
              <w:spacing w:before="60" w:after="60"/>
            </w:pPr>
            <w:r>
              <w:rPr>
                <w:rFonts w:ascii="Calibri" w:hAnsi="Calibri"/>
                <w:sz w:val="19"/>
              </w:rPr>
              <w:t>Raw Baseline (Untuned)</w:t>
            </w:r>
          </w:p>
        </w:tc>
        <w:tc>
          <w:tcPr>
            <w:tcW w:type="dxa" w:w="1170"/>
            <w:vAlign w:val="center"/>
          </w:tcPr>
          <w:p>
            <w:pPr>
              <w:spacing w:before="60" w:after="60"/>
            </w:pPr>
            <w:r>
              <w:rPr>
                <w:rFonts w:ascii="Calibri" w:hAnsi="Calibri"/>
                <w:sz w:val="19"/>
              </w:rPr>
              <w:t>0.4729</w:t>
            </w:r>
          </w:p>
        </w:tc>
        <w:tc>
          <w:tcPr>
            <w:tcW w:type="dxa" w:w="1170"/>
            <w:vAlign w:val="center"/>
          </w:tcPr>
          <w:p>
            <w:pPr>
              <w:spacing w:before="60" w:after="60"/>
            </w:pPr>
            <w:r>
              <w:rPr>
                <w:rFonts w:ascii="Calibri" w:hAnsi="Calibri"/>
                <w:sz w:val="19"/>
              </w:rPr>
              <w:t>0.3673</w:t>
            </w:r>
          </w:p>
        </w:tc>
        <w:tc>
          <w:tcPr>
            <w:tcW w:type="dxa" w:w="1170"/>
            <w:vAlign w:val="center"/>
          </w:tcPr>
          <w:p>
            <w:pPr>
              <w:spacing w:before="60" w:after="60"/>
            </w:pPr>
            <w:r>
              <w:rPr>
                <w:rFonts w:ascii="Calibri" w:hAnsi="Calibri"/>
                <w:sz w:val="19"/>
              </w:rPr>
              <w:t>0.4134</w:t>
            </w:r>
          </w:p>
        </w:tc>
        <w:tc>
          <w:tcPr>
            <w:tcW w:type="dxa" w:w="1170"/>
            <w:vAlign w:val="center"/>
          </w:tcPr>
          <w:p>
            <w:pPr>
              <w:spacing w:before="60" w:after="60"/>
            </w:pPr>
            <w:r>
              <w:rPr>
                <w:rFonts w:ascii="Calibri" w:hAnsi="Calibri"/>
                <w:sz w:val="19"/>
              </w:rPr>
              <w:t>0.1350</w:t>
            </w:r>
          </w:p>
        </w:tc>
        <w:tc>
          <w:tcPr>
            <w:tcW w:type="dxa" w:w="1170"/>
            <w:vAlign w:val="center"/>
          </w:tcPr>
          <w:p>
            <w:pPr>
              <w:spacing w:before="60" w:after="60"/>
            </w:pPr>
            <w:r>
              <w:rPr>
                <w:rFonts w:ascii="Calibri" w:hAnsi="Calibri"/>
                <w:sz w:val="19"/>
              </w:rPr>
              <w:t>166</w:t>
            </w:r>
          </w:p>
        </w:tc>
        <w:tc>
          <w:tcPr>
            <w:tcW w:type="dxa" w:w="1170"/>
            <w:vAlign w:val="center"/>
          </w:tcPr>
          <w:p>
            <w:pPr>
              <w:spacing w:before="60" w:after="60"/>
            </w:pPr>
            <w:r>
              <w:rPr>
                <w:rFonts w:ascii="Calibri" w:hAnsi="Calibri"/>
                <w:sz w:val="19"/>
              </w:rPr>
              <w:t>185</w:t>
            </w:r>
          </w:p>
        </w:tc>
        <w:tc>
          <w:tcPr>
            <w:tcW w:type="dxa" w:w="1170"/>
            <w:vAlign w:val="center"/>
          </w:tcPr>
          <w:p>
            <w:pPr>
              <w:spacing w:before="60" w:after="60"/>
            </w:pPr>
            <w:r>
              <w:rPr>
                <w:rFonts w:ascii="Calibri" w:hAnsi="Calibri"/>
                <w:sz w:val="19"/>
              </w:rPr>
              <w:t>286</w:t>
            </w:r>
          </w:p>
        </w:tc>
      </w:tr>
    </w:tbl>
    <w:p>
      <w:pPr>
        <w:spacing w:before="160" w:after="40"/>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fig1_profile_metrics.png"/>
                    <pic:cNvPicPr/>
                  </pic:nvPicPr>
                  <pic:blipFill>
                    <a:blip r:embed="rId9"/>
                    <a:stretch>
                      <a:fillRect/>
                    </a:stretch>
                  </pic:blipFill>
                  <pic:spPr>
                    <a:xfrm>
                      <a:off x="0" y="0"/>
                      <a:ext cx="5486400" cy="3086100"/>
                    </a:xfrm>
                    <a:prstGeom prst="rect"/>
                  </pic:spPr>
                </pic:pic>
              </a:graphicData>
            </a:graphic>
          </wp:inline>
        </w:drawing>
      </w:r>
    </w:p>
    <w:p>
      <w:pPr>
        <w:spacing w:before="40" w:after="200"/>
        <w:jc w:val="center"/>
      </w:pPr>
      <w:r>
        <w:rPr>
          <w:rFonts w:ascii="Calibri" w:hAnsi="Calibri"/>
          <w:b/>
          <w:i/>
          <w:color w:val="505050"/>
          <w:sz w:val="19"/>
        </w:rPr>
        <w:t>Figure 1: Detection Quality Comparison (Precision, Recall, and F1-Score) across Evaluated Profiles.</w:t>
      </w:r>
    </w:p>
    <w:p>
      <w:pPr>
        <w:spacing w:before="160" w:after="40"/>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fig2_tp_vs_fp.png"/>
                    <pic:cNvPicPr/>
                  </pic:nvPicPr>
                  <pic:blipFill>
                    <a:blip r:embed="rId10"/>
                    <a:stretch>
                      <a:fillRect/>
                    </a:stretch>
                  </pic:blipFill>
                  <pic:spPr>
                    <a:xfrm>
                      <a:off x="0" y="0"/>
                      <a:ext cx="5486400" cy="3086100"/>
                    </a:xfrm>
                    <a:prstGeom prst="rect"/>
                  </pic:spPr>
                </pic:pic>
              </a:graphicData>
            </a:graphic>
          </wp:inline>
        </w:drawing>
      </w:r>
    </w:p>
    <w:p>
      <w:pPr>
        <w:spacing w:before="40" w:after="200"/>
        <w:jc w:val="center"/>
      </w:pPr>
      <w:r>
        <w:rPr>
          <w:rFonts w:ascii="Calibri" w:hAnsi="Calibri"/>
          <w:b/>
          <w:i/>
          <w:color w:val="505050"/>
          <w:sz w:val="19"/>
        </w:rPr>
        <w:t>Figure 2: True Positives vs. False Positives across 1,230 Ground-Truth Test Cases in OWASP Benchmark Python v0.1.</w:t>
      </w:r>
    </w:p>
    <w:p>
      <w:pPr>
        <w:pStyle w:val="Heading2"/>
        <w:spacing w:before="240" w:after="80"/>
      </w:pPr>
      <w:r>
        <w:rPr>
          <w:rFonts w:ascii="Calibri" w:hAnsi="Calibri"/>
          <w:b/>
          <w:color w:val="2B5C8F"/>
          <w:sz w:val="26"/>
        </w:rPr>
        <w:t>6.3 Per-Category Detection Breakdown Across 14 CWE Categories</w:t>
      </w:r>
    </w:p>
    <w:p>
      <w:pPr>
        <w:spacing w:before="40" w:after="120" w:line="276" w:lineRule="auto"/>
      </w:pPr>
      <w:r>
        <w:rPr>
          <w:rFonts w:ascii="Calibri" w:hAnsi="Calibri"/>
          <w:i w:val="0"/>
          <w:sz w:val="21"/>
        </w:rPr>
        <w:t>The 1,230 benchmark cases cover a diverse range of software security weaknesses. Table 4 details the category-by-category detection breakdown under the Balanced-Tuned profile. The engine achieves 100% precision on weak randomness (CWE-330) and weak hashing algorithms (CWE-327), 100% recall on hash, ldapi, xxe, cmdi, and redirect, and over 90% recall on XSS (90.3%), XPath injection (96.1%), and Path traversal (95.4%).</w:t>
      </w:r>
    </w:p>
    <w:p>
      <w:pPr>
        <w:spacing w:before="160" w:after="40"/>
        <w:jc w:val="center"/>
      </w:pPr>
      <w:r>
        <w:drawing>
          <wp:inline xmlns:a="http://schemas.openxmlformats.org/drawingml/2006/main" xmlns:pic="http://schemas.openxmlformats.org/drawingml/2006/picture">
            <wp:extent cx="5486400" cy="2633472"/>
            <wp:docPr id="3" name="Picture 3"/>
            <wp:cNvGraphicFramePr>
              <a:graphicFrameLocks noChangeAspect="1"/>
            </wp:cNvGraphicFramePr>
            <a:graphic>
              <a:graphicData uri="http://schemas.openxmlformats.org/drawingml/2006/picture">
                <pic:pic>
                  <pic:nvPicPr>
                    <pic:cNvPr id="0" name="fig3_category_distribution.png"/>
                    <pic:cNvPicPr/>
                  </pic:nvPicPr>
                  <pic:blipFill>
                    <a:blip r:embed="rId11"/>
                    <a:stretch>
                      <a:fillRect/>
                    </a:stretch>
                  </pic:blipFill>
                  <pic:spPr>
                    <a:xfrm>
                      <a:off x="0" y="0"/>
                      <a:ext cx="5486400" cy="2633472"/>
                    </a:xfrm>
                    <a:prstGeom prst="rect"/>
                  </pic:spPr>
                </pic:pic>
              </a:graphicData>
            </a:graphic>
          </wp:inline>
        </w:drawing>
      </w:r>
    </w:p>
    <w:p>
      <w:pPr>
        <w:spacing w:before="40" w:after="200"/>
        <w:jc w:val="center"/>
      </w:pPr>
      <w:r>
        <w:rPr>
          <w:rFonts w:ascii="Calibri" w:hAnsi="Calibri"/>
          <w:b/>
          <w:i/>
          <w:color w:val="505050"/>
          <w:sz w:val="19"/>
        </w:rPr>
        <w:t>Figure 3: Distribution of Vulnerable and Clean Cases across 14 CWE Categories in OWASP Benchmark Python v0.1.</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shd w:fill="1F497D"/>
          </w:tcPr>
          <w:p>
            <w:pPr>
              <w:spacing w:before="60" w:after="60"/>
            </w:pPr>
            <w:r>
              <w:rPr>
                <w:rFonts w:ascii="Calibri" w:hAnsi="Calibri"/>
                <w:b/>
                <w:color w:val="FFFFFF"/>
                <w:sz w:val="19"/>
              </w:rPr>
              <w:t>Category</w:t>
            </w:r>
          </w:p>
        </w:tc>
        <w:tc>
          <w:tcPr>
            <w:tcW w:type="dxa" w:w="1040"/>
            <w:vAlign w:val="center"/>
            <w:shd w:fill="1F497D"/>
          </w:tcPr>
          <w:p>
            <w:pPr>
              <w:spacing w:before="60" w:after="60"/>
            </w:pPr>
            <w:r>
              <w:rPr>
                <w:rFonts w:ascii="Calibri" w:hAnsi="Calibri"/>
                <w:b/>
                <w:color w:val="FFFFFF"/>
                <w:sz w:val="19"/>
              </w:rPr>
              <w:t>CWE ID</w:t>
            </w:r>
          </w:p>
        </w:tc>
        <w:tc>
          <w:tcPr>
            <w:tcW w:type="dxa" w:w="1040"/>
            <w:vAlign w:val="center"/>
            <w:shd w:fill="1F497D"/>
          </w:tcPr>
          <w:p>
            <w:pPr>
              <w:spacing w:before="60" w:after="60"/>
            </w:pPr>
            <w:r>
              <w:rPr>
                <w:rFonts w:ascii="Calibri" w:hAnsi="Calibri"/>
                <w:b/>
                <w:color w:val="FFFFFF"/>
                <w:sz w:val="19"/>
              </w:rPr>
              <w:t>Total Cases</w:t>
            </w:r>
          </w:p>
        </w:tc>
        <w:tc>
          <w:tcPr>
            <w:tcW w:type="dxa" w:w="1040"/>
            <w:vAlign w:val="center"/>
            <w:shd w:fill="1F497D"/>
          </w:tcPr>
          <w:p>
            <w:pPr>
              <w:spacing w:before="60" w:after="60"/>
            </w:pPr>
            <w:r>
              <w:rPr>
                <w:rFonts w:ascii="Calibri" w:hAnsi="Calibri"/>
                <w:b/>
                <w:color w:val="FFFFFF"/>
                <w:sz w:val="19"/>
              </w:rPr>
              <w:t>Vulnerable</w:t>
            </w:r>
          </w:p>
        </w:tc>
        <w:tc>
          <w:tcPr>
            <w:tcW w:type="dxa" w:w="1040"/>
            <w:vAlign w:val="center"/>
            <w:shd w:fill="1F497D"/>
          </w:tcPr>
          <w:p>
            <w:pPr>
              <w:spacing w:before="60" w:after="60"/>
            </w:pPr>
            <w:r>
              <w:rPr>
                <w:rFonts w:ascii="Calibri" w:hAnsi="Calibri"/>
                <w:b/>
                <w:color w:val="FFFFFF"/>
                <w:sz w:val="19"/>
              </w:rPr>
              <w:t>Clean</w:t>
            </w:r>
          </w:p>
        </w:tc>
        <w:tc>
          <w:tcPr>
            <w:tcW w:type="dxa" w:w="1040"/>
            <w:vAlign w:val="center"/>
            <w:shd w:fill="1F497D"/>
          </w:tcPr>
          <w:p>
            <w:pPr>
              <w:spacing w:before="60" w:after="60"/>
            </w:pPr>
            <w:r>
              <w:rPr>
                <w:rFonts w:ascii="Calibri" w:hAnsi="Calibri"/>
                <w:b/>
                <w:color w:val="FFFFFF"/>
                <w:sz w:val="19"/>
              </w:rPr>
              <w:t>True Pos (TP)</w:t>
            </w:r>
          </w:p>
        </w:tc>
        <w:tc>
          <w:tcPr>
            <w:tcW w:type="dxa" w:w="1040"/>
            <w:vAlign w:val="center"/>
            <w:shd w:fill="1F497D"/>
          </w:tcPr>
          <w:p>
            <w:pPr>
              <w:spacing w:before="60" w:after="60"/>
            </w:pPr>
            <w:r>
              <w:rPr>
                <w:rFonts w:ascii="Calibri" w:hAnsi="Calibri"/>
                <w:b/>
                <w:color w:val="FFFFFF"/>
                <w:sz w:val="19"/>
              </w:rPr>
              <w:t>False Pos (FP)</w:t>
            </w:r>
          </w:p>
        </w:tc>
        <w:tc>
          <w:tcPr>
            <w:tcW w:type="dxa" w:w="1040"/>
            <w:vAlign w:val="center"/>
            <w:shd w:fill="1F497D"/>
          </w:tcPr>
          <w:p>
            <w:pPr>
              <w:spacing w:before="60" w:after="60"/>
            </w:pPr>
            <w:r>
              <w:rPr>
                <w:rFonts w:ascii="Calibri" w:hAnsi="Calibri"/>
                <w:b/>
                <w:color w:val="FFFFFF"/>
                <w:sz w:val="19"/>
              </w:rPr>
              <w:t>Precision</w:t>
            </w:r>
          </w:p>
        </w:tc>
        <w:tc>
          <w:tcPr>
            <w:tcW w:type="dxa" w:w="1040"/>
            <w:vAlign w:val="center"/>
            <w:shd w:fill="1F497D"/>
          </w:tcPr>
          <w:p>
            <w:pPr>
              <w:spacing w:before="60" w:after="60"/>
            </w:pPr>
            <w:r>
              <w:rPr>
                <w:rFonts w:ascii="Calibri" w:hAnsi="Calibri"/>
                <w:b/>
                <w:color w:val="FFFFFF"/>
                <w:sz w:val="19"/>
              </w:rPr>
              <w:t>Recall</w:t>
            </w:r>
          </w:p>
        </w:tc>
      </w:tr>
      <w:tr>
        <w:tc>
          <w:tcPr>
            <w:tcW w:type="dxa" w:w="1040"/>
            <w:vAlign w:val="center"/>
            <w:shd w:fill="F2F5F9"/>
          </w:tcPr>
          <w:p>
            <w:pPr>
              <w:spacing w:before="60" w:after="60"/>
            </w:pPr>
            <w:r>
              <w:rPr>
                <w:rFonts w:ascii="Calibri" w:hAnsi="Calibri"/>
                <w:sz w:val="19"/>
              </w:rPr>
              <w:t>weakrand</w:t>
            </w:r>
          </w:p>
        </w:tc>
        <w:tc>
          <w:tcPr>
            <w:tcW w:type="dxa" w:w="1040"/>
            <w:vAlign w:val="center"/>
            <w:shd w:fill="F2F5F9"/>
          </w:tcPr>
          <w:p>
            <w:pPr>
              <w:spacing w:before="60" w:after="60"/>
            </w:pPr>
            <w:r>
              <w:rPr>
                <w:rFonts w:ascii="Calibri" w:hAnsi="Calibri"/>
                <w:sz w:val="19"/>
              </w:rPr>
              <w:t>CWE-330</w:t>
            </w:r>
          </w:p>
        </w:tc>
        <w:tc>
          <w:tcPr>
            <w:tcW w:type="dxa" w:w="1040"/>
            <w:vAlign w:val="center"/>
            <w:shd w:fill="F2F5F9"/>
          </w:tcPr>
          <w:p>
            <w:pPr>
              <w:spacing w:before="60" w:after="60"/>
            </w:pPr>
            <w:r>
              <w:rPr>
                <w:rFonts w:ascii="Calibri" w:hAnsi="Calibri"/>
                <w:sz w:val="19"/>
              </w:rPr>
              <w:t>326</w:t>
            </w:r>
          </w:p>
        </w:tc>
        <w:tc>
          <w:tcPr>
            <w:tcW w:type="dxa" w:w="1040"/>
            <w:vAlign w:val="center"/>
            <w:shd w:fill="F2F5F9"/>
          </w:tcPr>
          <w:p>
            <w:pPr>
              <w:spacing w:before="60" w:after="60"/>
            </w:pPr>
            <w:r>
              <w:rPr>
                <w:rFonts w:ascii="Calibri" w:hAnsi="Calibri"/>
                <w:sz w:val="19"/>
              </w:rPr>
              <w:t>99</w:t>
            </w:r>
          </w:p>
        </w:tc>
        <w:tc>
          <w:tcPr>
            <w:tcW w:type="dxa" w:w="1040"/>
            <w:vAlign w:val="center"/>
            <w:shd w:fill="F2F5F9"/>
          </w:tcPr>
          <w:p>
            <w:pPr>
              <w:spacing w:before="60" w:after="60"/>
            </w:pPr>
            <w:r>
              <w:rPr>
                <w:rFonts w:ascii="Calibri" w:hAnsi="Calibri"/>
                <w:sz w:val="19"/>
              </w:rPr>
              <w:t>227</w:t>
            </w:r>
          </w:p>
        </w:tc>
        <w:tc>
          <w:tcPr>
            <w:tcW w:type="dxa" w:w="1040"/>
            <w:vAlign w:val="center"/>
            <w:shd w:fill="F2F5F9"/>
          </w:tcPr>
          <w:p>
            <w:pPr>
              <w:spacing w:before="60" w:after="60"/>
            </w:pPr>
            <w:r>
              <w:rPr>
                <w:rFonts w:ascii="Calibri" w:hAnsi="Calibri"/>
                <w:sz w:val="19"/>
              </w:rPr>
              <w:t>80</w:t>
            </w:r>
          </w:p>
        </w:tc>
        <w:tc>
          <w:tcPr>
            <w:tcW w:type="dxa" w:w="1040"/>
            <w:vAlign w:val="center"/>
            <w:shd w:fill="F2F5F9"/>
          </w:tcPr>
          <w:p>
            <w:pPr>
              <w:spacing w:before="60" w:after="60"/>
            </w:pPr>
            <w:r>
              <w:rPr>
                <w:rFonts w:ascii="Calibri" w:hAnsi="Calibri"/>
                <w:sz w:val="19"/>
              </w:rPr>
              <w:t>0</w:t>
            </w:r>
          </w:p>
        </w:tc>
        <w:tc>
          <w:tcPr>
            <w:tcW w:type="dxa" w:w="1040"/>
            <w:vAlign w:val="center"/>
            <w:shd w:fill="F2F5F9"/>
          </w:tcPr>
          <w:p>
            <w:pPr>
              <w:spacing w:before="60" w:after="60"/>
            </w:pPr>
            <w:r>
              <w:rPr>
                <w:rFonts w:ascii="Calibri" w:hAnsi="Calibri"/>
                <w:sz w:val="19"/>
              </w:rPr>
              <w:t>1.0000</w:t>
            </w:r>
          </w:p>
        </w:tc>
        <w:tc>
          <w:tcPr>
            <w:tcW w:type="dxa" w:w="1040"/>
            <w:vAlign w:val="center"/>
            <w:shd w:fill="F2F5F9"/>
          </w:tcPr>
          <w:p>
            <w:pPr>
              <w:spacing w:before="60" w:after="60"/>
            </w:pPr>
            <w:r>
              <w:rPr>
                <w:rFonts w:ascii="Calibri" w:hAnsi="Calibri"/>
                <w:sz w:val="19"/>
              </w:rPr>
              <w:t>0.8081</w:t>
            </w:r>
          </w:p>
        </w:tc>
      </w:tr>
      <w:tr>
        <w:tc>
          <w:tcPr>
            <w:tcW w:type="dxa" w:w="1040"/>
            <w:vAlign w:val="center"/>
          </w:tcPr>
          <w:p>
            <w:pPr>
              <w:spacing w:before="60" w:after="60"/>
            </w:pPr>
            <w:r>
              <w:rPr>
                <w:rFonts w:ascii="Calibri" w:hAnsi="Calibri"/>
                <w:sz w:val="19"/>
              </w:rPr>
              <w:t>hash</w:t>
            </w:r>
          </w:p>
        </w:tc>
        <w:tc>
          <w:tcPr>
            <w:tcW w:type="dxa" w:w="1040"/>
            <w:vAlign w:val="center"/>
          </w:tcPr>
          <w:p>
            <w:pPr>
              <w:spacing w:before="60" w:after="60"/>
            </w:pPr>
            <w:r>
              <w:rPr>
                <w:rFonts w:ascii="Calibri" w:hAnsi="Calibri"/>
                <w:sz w:val="19"/>
              </w:rPr>
              <w:t>CWE-327</w:t>
            </w:r>
          </w:p>
        </w:tc>
        <w:tc>
          <w:tcPr>
            <w:tcW w:type="dxa" w:w="1040"/>
            <w:vAlign w:val="center"/>
          </w:tcPr>
          <w:p>
            <w:pPr>
              <w:spacing w:before="60" w:after="60"/>
            </w:pPr>
            <w:r>
              <w:rPr>
                <w:rFonts w:ascii="Calibri" w:hAnsi="Calibri"/>
                <w:sz w:val="19"/>
              </w:rPr>
              <w:t>151</w:t>
            </w:r>
          </w:p>
        </w:tc>
        <w:tc>
          <w:tcPr>
            <w:tcW w:type="dxa" w:w="1040"/>
            <w:vAlign w:val="center"/>
          </w:tcPr>
          <w:p>
            <w:pPr>
              <w:spacing w:before="60" w:after="60"/>
            </w:pPr>
            <w:r>
              <w:rPr>
                <w:rFonts w:ascii="Calibri" w:hAnsi="Calibri"/>
                <w:sz w:val="19"/>
              </w:rPr>
              <w:t>71</w:t>
            </w:r>
          </w:p>
        </w:tc>
        <w:tc>
          <w:tcPr>
            <w:tcW w:type="dxa" w:w="1040"/>
            <w:vAlign w:val="center"/>
          </w:tcPr>
          <w:p>
            <w:pPr>
              <w:spacing w:before="60" w:after="60"/>
            </w:pPr>
            <w:r>
              <w:rPr>
                <w:rFonts w:ascii="Calibri" w:hAnsi="Calibri"/>
                <w:sz w:val="19"/>
              </w:rPr>
              <w:t>80</w:t>
            </w:r>
          </w:p>
        </w:tc>
        <w:tc>
          <w:tcPr>
            <w:tcW w:type="dxa" w:w="1040"/>
            <w:vAlign w:val="center"/>
          </w:tcPr>
          <w:p>
            <w:pPr>
              <w:spacing w:before="60" w:after="60"/>
            </w:pPr>
            <w:r>
              <w:rPr>
                <w:rFonts w:ascii="Calibri" w:hAnsi="Calibri"/>
                <w:sz w:val="19"/>
              </w:rPr>
              <w:t>71</w:t>
            </w:r>
          </w:p>
        </w:tc>
        <w:tc>
          <w:tcPr>
            <w:tcW w:type="dxa" w:w="1040"/>
            <w:vAlign w:val="center"/>
          </w:tcPr>
          <w:p>
            <w:pPr>
              <w:spacing w:before="60" w:after="60"/>
            </w:pPr>
            <w:r>
              <w:rPr>
                <w:rFonts w:ascii="Calibri" w:hAnsi="Calibri"/>
                <w:sz w:val="19"/>
              </w:rPr>
              <w:t>0</w:t>
            </w:r>
          </w:p>
        </w:tc>
        <w:tc>
          <w:tcPr>
            <w:tcW w:type="dxa" w:w="1040"/>
            <w:vAlign w:val="center"/>
          </w:tcPr>
          <w:p>
            <w:pPr>
              <w:spacing w:before="60" w:after="60"/>
            </w:pPr>
            <w:r>
              <w:rPr>
                <w:rFonts w:ascii="Calibri" w:hAnsi="Calibri"/>
                <w:sz w:val="19"/>
              </w:rPr>
              <w:t>1.0000</w:t>
            </w:r>
          </w:p>
        </w:tc>
        <w:tc>
          <w:tcPr>
            <w:tcW w:type="dxa" w:w="1040"/>
            <w:vAlign w:val="center"/>
          </w:tcPr>
          <w:p>
            <w:pPr>
              <w:spacing w:before="60" w:after="60"/>
            </w:pPr>
            <w:r>
              <w:rPr>
                <w:rFonts w:ascii="Calibri" w:hAnsi="Calibri"/>
                <w:sz w:val="19"/>
              </w:rPr>
              <w:t>1.0000</w:t>
            </w:r>
          </w:p>
        </w:tc>
      </w:tr>
      <w:tr>
        <w:tc>
          <w:tcPr>
            <w:tcW w:type="dxa" w:w="1040"/>
            <w:vAlign w:val="center"/>
            <w:shd w:fill="F2F5F9"/>
          </w:tcPr>
          <w:p>
            <w:pPr>
              <w:spacing w:before="60" w:after="60"/>
            </w:pPr>
            <w:r>
              <w:rPr>
                <w:rFonts w:ascii="Calibri" w:hAnsi="Calibri"/>
                <w:sz w:val="19"/>
              </w:rPr>
              <w:t>ldapi</w:t>
            </w:r>
          </w:p>
        </w:tc>
        <w:tc>
          <w:tcPr>
            <w:tcW w:type="dxa" w:w="1040"/>
            <w:vAlign w:val="center"/>
            <w:shd w:fill="F2F5F9"/>
          </w:tcPr>
          <w:p>
            <w:pPr>
              <w:spacing w:before="60" w:after="60"/>
            </w:pPr>
            <w:r>
              <w:rPr>
                <w:rFonts w:ascii="Calibri" w:hAnsi="Calibri"/>
                <w:sz w:val="19"/>
              </w:rPr>
              <w:t>CWE-90</w:t>
            </w:r>
          </w:p>
        </w:tc>
        <w:tc>
          <w:tcPr>
            <w:tcW w:type="dxa" w:w="1040"/>
            <w:vAlign w:val="center"/>
            <w:shd w:fill="F2F5F9"/>
          </w:tcPr>
          <w:p>
            <w:pPr>
              <w:spacing w:before="60" w:after="60"/>
            </w:pPr>
            <w:r>
              <w:rPr>
                <w:rFonts w:ascii="Calibri" w:hAnsi="Calibri"/>
                <w:sz w:val="19"/>
              </w:rPr>
              <w:t>29</w:t>
            </w:r>
          </w:p>
        </w:tc>
        <w:tc>
          <w:tcPr>
            <w:tcW w:type="dxa" w:w="1040"/>
            <w:vAlign w:val="center"/>
            <w:shd w:fill="F2F5F9"/>
          </w:tcPr>
          <w:p>
            <w:pPr>
              <w:spacing w:before="60" w:after="60"/>
            </w:pPr>
            <w:r>
              <w:rPr>
                <w:rFonts w:ascii="Calibri" w:hAnsi="Calibri"/>
                <w:sz w:val="19"/>
              </w:rPr>
              <w:t>16</w:t>
            </w:r>
          </w:p>
        </w:tc>
        <w:tc>
          <w:tcPr>
            <w:tcW w:type="dxa" w:w="1040"/>
            <w:vAlign w:val="center"/>
            <w:shd w:fill="F2F5F9"/>
          </w:tcPr>
          <w:p>
            <w:pPr>
              <w:spacing w:before="60" w:after="60"/>
            </w:pPr>
            <w:r>
              <w:rPr>
                <w:rFonts w:ascii="Calibri" w:hAnsi="Calibri"/>
                <w:sz w:val="19"/>
              </w:rPr>
              <w:t>13</w:t>
            </w:r>
          </w:p>
        </w:tc>
        <w:tc>
          <w:tcPr>
            <w:tcW w:type="dxa" w:w="1040"/>
            <w:vAlign w:val="center"/>
            <w:shd w:fill="F2F5F9"/>
          </w:tcPr>
          <w:p>
            <w:pPr>
              <w:spacing w:before="60" w:after="60"/>
            </w:pPr>
            <w:r>
              <w:rPr>
                <w:rFonts w:ascii="Calibri" w:hAnsi="Calibri"/>
                <w:sz w:val="19"/>
              </w:rPr>
              <w:t>16</w:t>
            </w:r>
          </w:p>
        </w:tc>
        <w:tc>
          <w:tcPr>
            <w:tcW w:type="dxa" w:w="1040"/>
            <w:vAlign w:val="center"/>
            <w:shd w:fill="F2F5F9"/>
          </w:tcPr>
          <w:p>
            <w:pPr>
              <w:spacing w:before="60" w:after="60"/>
            </w:pPr>
            <w:r>
              <w:rPr>
                <w:rFonts w:ascii="Calibri" w:hAnsi="Calibri"/>
                <w:sz w:val="19"/>
              </w:rPr>
              <w:t>10</w:t>
            </w:r>
          </w:p>
        </w:tc>
        <w:tc>
          <w:tcPr>
            <w:tcW w:type="dxa" w:w="1040"/>
            <w:vAlign w:val="center"/>
            <w:shd w:fill="F2F5F9"/>
          </w:tcPr>
          <w:p>
            <w:pPr>
              <w:spacing w:before="60" w:after="60"/>
            </w:pPr>
            <w:r>
              <w:rPr>
                <w:rFonts w:ascii="Calibri" w:hAnsi="Calibri"/>
                <w:sz w:val="19"/>
              </w:rPr>
              <w:t>0.6154</w:t>
            </w:r>
          </w:p>
        </w:tc>
        <w:tc>
          <w:tcPr>
            <w:tcW w:type="dxa" w:w="1040"/>
            <w:vAlign w:val="center"/>
            <w:shd w:fill="F2F5F9"/>
          </w:tcPr>
          <w:p>
            <w:pPr>
              <w:spacing w:before="60" w:after="60"/>
            </w:pPr>
            <w:r>
              <w:rPr>
                <w:rFonts w:ascii="Calibri" w:hAnsi="Calibri"/>
                <w:sz w:val="19"/>
              </w:rPr>
              <w:t>1.0000</w:t>
            </w:r>
          </w:p>
        </w:tc>
      </w:tr>
      <w:tr>
        <w:tc>
          <w:tcPr>
            <w:tcW w:type="dxa" w:w="1040"/>
            <w:vAlign w:val="center"/>
          </w:tcPr>
          <w:p>
            <w:pPr>
              <w:spacing w:before="60" w:after="60"/>
            </w:pPr>
            <w:r>
              <w:rPr>
                <w:rFonts w:ascii="Calibri" w:hAnsi="Calibri"/>
                <w:sz w:val="19"/>
              </w:rPr>
              <w:t>xxe</w:t>
            </w:r>
          </w:p>
        </w:tc>
        <w:tc>
          <w:tcPr>
            <w:tcW w:type="dxa" w:w="1040"/>
            <w:vAlign w:val="center"/>
          </w:tcPr>
          <w:p>
            <w:pPr>
              <w:spacing w:before="60" w:after="60"/>
            </w:pPr>
            <w:r>
              <w:rPr>
                <w:rFonts w:ascii="Calibri" w:hAnsi="Calibri"/>
                <w:sz w:val="19"/>
              </w:rPr>
              <w:t>CWE-611</w:t>
            </w:r>
          </w:p>
        </w:tc>
        <w:tc>
          <w:tcPr>
            <w:tcW w:type="dxa" w:w="1040"/>
            <w:vAlign w:val="center"/>
          </w:tcPr>
          <w:p>
            <w:pPr>
              <w:spacing w:before="60" w:after="60"/>
            </w:pPr>
            <w:r>
              <w:rPr>
                <w:rFonts w:ascii="Calibri" w:hAnsi="Calibri"/>
                <w:sz w:val="19"/>
              </w:rPr>
              <w:t>28</w:t>
            </w:r>
          </w:p>
        </w:tc>
        <w:tc>
          <w:tcPr>
            <w:tcW w:type="dxa" w:w="1040"/>
            <w:vAlign w:val="center"/>
          </w:tcPr>
          <w:p>
            <w:pPr>
              <w:spacing w:before="60" w:after="60"/>
            </w:pPr>
            <w:r>
              <w:rPr>
                <w:rFonts w:ascii="Calibri" w:hAnsi="Calibri"/>
                <w:sz w:val="19"/>
              </w:rPr>
              <w:t>8</w:t>
            </w:r>
          </w:p>
        </w:tc>
        <w:tc>
          <w:tcPr>
            <w:tcW w:type="dxa" w:w="1040"/>
            <w:vAlign w:val="center"/>
          </w:tcPr>
          <w:p>
            <w:pPr>
              <w:spacing w:before="60" w:after="60"/>
            </w:pPr>
            <w:r>
              <w:rPr>
                <w:rFonts w:ascii="Calibri" w:hAnsi="Calibri"/>
                <w:sz w:val="19"/>
              </w:rPr>
              <w:t>20</w:t>
            </w:r>
          </w:p>
        </w:tc>
        <w:tc>
          <w:tcPr>
            <w:tcW w:type="dxa" w:w="1040"/>
            <w:vAlign w:val="center"/>
          </w:tcPr>
          <w:p>
            <w:pPr>
              <w:spacing w:before="60" w:after="60"/>
            </w:pPr>
            <w:r>
              <w:rPr>
                <w:rFonts w:ascii="Calibri" w:hAnsi="Calibri"/>
                <w:sz w:val="19"/>
              </w:rPr>
              <w:t>8</w:t>
            </w:r>
          </w:p>
        </w:tc>
        <w:tc>
          <w:tcPr>
            <w:tcW w:type="dxa" w:w="1040"/>
            <w:vAlign w:val="center"/>
          </w:tcPr>
          <w:p>
            <w:pPr>
              <w:spacing w:before="60" w:after="60"/>
            </w:pPr>
            <w:r>
              <w:rPr>
                <w:rFonts w:ascii="Calibri" w:hAnsi="Calibri"/>
                <w:sz w:val="19"/>
              </w:rPr>
              <w:t>7</w:t>
            </w:r>
          </w:p>
        </w:tc>
        <w:tc>
          <w:tcPr>
            <w:tcW w:type="dxa" w:w="1040"/>
            <w:vAlign w:val="center"/>
          </w:tcPr>
          <w:p>
            <w:pPr>
              <w:spacing w:before="60" w:after="60"/>
            </w:pPr>
            <w:r>
              <w:rPr>
                <w:rFonts w:ascii="Calibri" w:hAnsi="Calibri"/>
                <w:sz w:val="19"/>
              </w:rPr>
              <w:t>0.5333</w:t>
            </w:r>
          </w:p>
        </w:tc>
        <w:tc>
          <w:tcPr>
            <w:tcW w:type="dxa" w:w="1040"/>
            <w:vAlign w:val="center"/>
          </w:tcPr>
          <w:p>
            <w:pPr>
              <w:spacing w:before="60" w:after="60"/>
            </w:pPr>
            <w:r>
              <w:rPr>
                <w:rFonts w:ascii="Calibri" w:hAnsi="Calibri"/>
                <w:sz w:val="19"/>
              </w:rPr>
              <w:t>1.0000</w:t>
            </w:r>
          </w:p>
        </w:tc>
      </w:tr>
      <w:tr>
        <w:tc>
          <w:tcPr>
            <w:tcW w:type="dxa" w:w="1040"/>
            <w:vAlign w:val="center"/>
            <w:shd w:fill="F2F5F9"/>
          </w:tcPr>
          <w:p>
            <w:pPr>
              <w:spacing w:before="60" w:after="60"/>
            </w:pPr>
            <w:r>
              <w:rPr>
                <w:rFonts w:ascii="Calibri" w:hAnsi="Calibri"/>
                <w:sz w:val="19"/>
              </w:rPr>
              <w:t>xss</w:t>
            </w:r>
          </w:p>
        </w:tc>
        <w:tc>
          <w:tcPr>
            <w:tcW w:type="dxa" w:w="1040"/>
            <w:vAlign w:val="center"/>
            <w:shd w:fill="F2F5F9"/>
          </w:tcPr>
          <w:p>
            <w:pPr>
              <w:spacing w:before="60" w:after="60"/>
            </w:pPr>
            <w:r>
              <w:rPr>
                <w:rFonts w:ascii="Calibri" w:hAnsi="Calibri"/>
                <w:sz w:val="19"/>
              </w:rPr>
              <w:t>CWE-79</w:t>
            </w:r>
          </w:p>
        </w:tc>
        <w:tc>
          <w:tcPr>
            <w:tcW w:type="dxa" w:w="1040"/>
            <w:vAlign w:val="center"/>
            <w:shd w:fill="F2F5F9"/>
          </w:tcPr>
          <w:p>
            <w:pPr>
              <w:spacing w:before="60" w:after="60"/>
            </w:pPr>
            <w:r>
              <w:rPr>
                <w:rFonts w:ascii="Calibri" w:hAnsi="Calibri"/>
                <w:sz w:val="19"/>
              </w:rPr>
              <w:t>89</w:t>
            </w:r>
          </w:p>
        </w:tc>
        <w:tc>
          <w:tcPr>
            <w:tcW w:type="dxa" w:w="1040"/>
            <w:vAlign w:val="center"/>
            <w:shd w:fill="F2F5F9"/>
          </w:tcPr>
          <w:p>
            <w:pPr>
              <w:spacing w:before="60" w:after="60"/>
            </w:pPr>
            <w:r>
              <w:rPr>
                <w:rFonts w:ascii="Calibri" w:hAnsi="Calibri"/>
                <w:sz w:val="19"/>
              </w:rPr>
              <w:t>31</w:t>
            </w:r>
          </w:p>
        </w:tc>
        <w:tc>
          <w:tcPr>
            <w:tcW w:type="dxa" w:w="1040"/>
            <w:vAlign w:val="center"/>
            <w:shd w:fill="F2F5F9"/>
          </w:tcPr>
          <w:p>
            <w:pPr>
              <w:spacing w:before="60" w:after="60"/>
            </w:pPr>
            <w:r>
              <w:rPr>
                <w:rFonts w:ascii="Calibri" w:hAnsi="Calibri"/>
                <w:sz w:val="19"/>
              </w:rPr>
              <w:t>58</w:t>
            </w:r>
          </w:p>
        </w:tc>
        <w:tc>
          <w:tcPr>
            <w:tcW w:type="dxa" w:w="1040"/>
            <w:vAlign w:val="center"/>
            <w:shd w:fill="F2F5F9"/>
          </w:tcPr>
          <w:p>
            <w:pPr>
              <w:spacing w:before="60" w:after="60"/>
            </w:pPr>
            <w:r>
              <w:rPr>
                <w:rFonts w:ascii="Calibri" w:hAnsi="Calibri"/>
                <w:sz w:val="19"/>
              </w:rPr>
              <w:t>28</w:t>
            </w:r>
          </w:p>
        </w:tc>
        <w:tc>
          <w:tcPr>
            <w:tcW w:type="dxa" w:w="1040"/>
            <w:vAlign w:val="center"/>
            <w:shd w:fill="F2F5F9"/>
          </w:tcPr>
          <w:p>
            <w:pPr>
              <w:spacing w:before="60" w:after="60"/>
            </w:pPr>
            <w:r>
              <w:rPr>
                <w:rFonts w:ascii="Calibri" w:hAnsi="Calibri"/>
                <w:sz w:val="19"/>
              </w:rPr>
              <w:t>26</w:t>
            </w:r>
          </w:p>
        </w:tc>
        <w:tc>
          <w:tcPr>
            <w:tcW w:type="dxa" w:w="1040"/>
            <w:vAlign w:val="center"/>
            <w:shd w:fill="F2F5F9"/>
          </w:tcPr>
          <w:p>
            <w:pPr>
              <w:spacing w:before="60" w:after="60"/>
            </w:pPr>
            <w:r>
              <w:rPr>
                <w:rFonts w:ascii="Calibri" w:hAnsi="Calibri"/>
                <w:sz w:val="19"/>
              </w:rPr>
              <w:t>0.5185</w:t>
            </w:r>
          </w:p>
        </w:tc>
        <w:tc>
          <w:tcPr>
            <w:tcW w:type="dxa" w:w="1040"/>
            <w:vAlign w:val="center"/>
            <w:shd w:fill="F2F5F9"/>
          </w:tcPr>
          <w:p>
            <w:pPr>
              <w:spacing w:before="60" w:after="60"/>
            </w:pPr>
            <w:r>
              <w:rPr>
                <w:rFonts w:ascii="Calibri" w:hAnsi="Calibri"/>
                <w:sz w:val="19"/>
              </w:rPr>
              <w:t>0.9032</w:t>
            </w:r>
          </w:p>
        </w:tc>
      </w:tr>
      <w:tr>
        <w:tc>
          <w:tcPr>
            <w:tcW w:type="dxa" w:w="1040"/>
            <w:vAlign w:val="center"/>
          </w:tcPr>
          <w:p>
            <w:pPr>
              <w:spacing w:before="60" w:after="60"/>
            </w:pPr>
            <w:r>
              <w:rPr>
                <w:rFonts w:ascii="Calibri" w:hAnsi="Calibri"/>
                <w:sz w:val="19"/>
              </w:rPr>
              <w:t>trustbound</w:t>
            </w:r>
          </w:p>
        </w:tc>
        <w:tc>
          <w:tcPr>
            <w:tcW w:type="dxa" w:w="1040"/>
            <w:vAlign w:val="center"/>
          </w:tcPr>
          <w:p>
            <w:pPr>
              <w:spacing w:before="60" w:after="60"/>
            </w:pPr>
            <w:r>
              <w:rPr>
                <w:rFonts w:ascii="Calibri" w:hAnsi="Calibri"/>
                <w:sz w:val="19"/>
              </w:rPr>
              <w:t>CWE-501</w:t>
            </w:r>
          </w:p>
        </w:tc>
        <w:tc>
          <w:tcPr>
            <w:tcW w:type="dxa" w:w="1040"/>
            <w:vAlign w:val="center"/>
          </w:tcPr>
          <w:p>
            <w:pPr>
              <w:spacing w:before="60" w:after="60"/>
            </w:pPr>
            <w:r>
              <w:rPr>
                <w:rFonts w:ascii="Calibri" w:hAnsi="Calibri"/>
                <w:sz w:val="19"/>
              </w:rPr>
              <w:t>37</w:t>
            </w:r>
          </w:p>
        </w:tc>
        <w:tc>
          <w:tcPr>
            <w:tcW w:type="dxa" w:w="1040"/>
            <w:vAlign w:val="center"/>
          </w:tcPr>
          <w:p>
            <w:pPr>
              <w:spacing w:before="60" w:after="60"/>
            </w:pPr>
            <w:r>
              <w:rPr>
                <w:rFonts w:ascii="Calibri" w:hAnsi="Calibri"/>
                <w:sz w:val="19"/>
              </w:rPr>
              <w:t>18</w:t>
            </w:r>
          </w:p>
        </w:tc>
        <w:tc>
          <w:tcPr>
            <w:tcW w:type="dxa" w:w="1040"/>
            <w:vAlign w:val="center"/>
          </w:tcPr>
          <w:p>
            <w:pPr>
              <w:spacing w:before="60" w:after="60"/>
            </w:pPr>
            <w:r>
              <w:rPr>
                <w:rFonts w:ascii="Calibri" w:hAnsi="Calibri"/>
                <w:sz w:val="19"/>
              </w:rPr>
              <w:t>19</w:t>
            </w:r>
          </w:p>
        </w:tc>
        <w:tc>
          <w:tcPr>
            <w:tcW w:type="dxa" w:w="1040"/>
            <w:vAlign w:val="center"/>
          </w:tcPr>
          <w:p>
            <w:pPr>
              <w:spacing w:before="60" w:after="60"/>
            </w:pPr>
            <w:r>
              <w:rPr>
                <w:rFonts w:ascii="Calibri" w:hAnsi="Calibri"/>
                <w:sz w:val="19"/>
              </w:rPr>
              <w:t>15</w:t>
            </w:r>
          </w:p>
        </w:tc>
        <w:tc>
          <w:tcPr>
            <w:tcW w:type="dxa" w:w="1040"/>
            <w:vAlign w:val="center"/>
          </w:tcPr>
          <w:p>
            <w:pPr>
              <w:spacing w:before="60" w:after="60"/>
            </w:pPr>
            <w:r>
              <w:rPr>
                <w:rFonts w:ascii="Calibri" w:hAnsi="Calibri"/>
                <w:sz w:val="19"/>
              </w:rPr>
              <w:t>15</w:t>
            </w:r>
          </w:p>
        </w:tc>
        <w:tc>
          <w:tcPr>
            <w:tcW w:type="dxa" w:w="1040"/>
            <w:vAlign w:val="center"/>
          </w:tcPr>
          <w:p>
            <w:pPr>
              <w:spacing w:before="60" w:after="60"/>
            </w:pPr>
            <w:r>
              <w:rPr>
                <w:rFonts w:ascii="Calibri" w:hAnsi="Calibri"/>
                <w:sz w:val="19"/>
              </w:rPr>
              <w:t>0.5000</w:t>
            </w:r>
          </w:p>
        </w:tc>
        <w:tc>
          <w:tcPr>
            <w:tcW w:type="dxa" w:w="1040"/>
            <w:vAlign w:val="center"/>
          </w:tcPr>
          <w:p>
            <w:pPr>
              <w:spacing w:before="60" w:after="60"/>
            </w:pPr>
            <w:r>
              <w:rPr>
                <w:rFonts w:ascii="Calibri" w:hAnsi="Calibri"/>
                <w:sz w:val="19"/>
              </w:rPr>
              <w:t>0.8333</w:t>
            </w:r>
          </w:p>
        </w:tc>
      </w:tr>
      <w:tr>
        <w:tc>
          <w:tcPr>
            <w:tcW w:type="dxa" w:w="1040"/>
            <w:vAlign w:val="center"/>
            <w:shd w:fill="F2F5F9"/>
          </w:tcPr>
          <w:p>
            <w:pPr>
              <w:spacing w:before="60" w:after="60"/>
            </w:pPr>
            <w:r>
              <w:rPr>
                <w:rFonts w:ascii="Calibri" w:hAnsi="Calibri"/>
                <w:sz w:val="19"/>
              </w:rPr>
              <w:t>codeinj / cmdi</w:t>
            </w:r>
          </w:p>
        </w:tc>
        <w:tc>
          <w:tcPr>
            <w:tcW w:type="dxa" w:w="1040"/>
            <w:vAlign w:val="center"/>
            <w:shd w:fill="F2F5F9"/>
          </w:tcPr>
          <w:p>
            <w:pPr>
              <w:spacing w:before="60" w:after="60"/>
            </w:pPr>
            <w:r>
              <w:rPr>
                <w:rFonts w:ascii="Calibri" w:hAnsi="Calibri"/>
                <w:sz w:val="19"/>
              </w:rPr>
              <w:t>CWE-94/78</w:t>
            </w:r>
          </w:p>
        </w:tc>
        <w:tc>
          <w:tcPr>
            <w:tcW w:type="dxa" w:w="1040"/>
            <w:vAlign w:val="center"/>
            <w:shd w:fill="F2F5F9"/>
          </w:tcPr>
          <w:p>
            <w:pPr>
              <w:spacing w:before="60" w:after="60"/>
            </w:pPr>
            <w:r>
              <w:rPr>
                <w:rFonts w:ascii="Calibri" w:hAnsi="Calibri"/>
                <w:sz w:val="19"/>
              </w:rPr>
              <w:t>73</w:t>
            </w:r>
          </w:p>
        </w:tc>
        <w:tc>
          <w:tcPr>
            <w:tcW w:type="dxa" w:w="1040"/>
            <w:vAlign w:val="center"/>
            <w:shd w:fill="F2F5F9"/>
          </w:tcPr>
          <w:p>
            <w:pPr>
              <w:spacing w:before="60" w:after="60"/>
            </w:pPr>
            <w:r>
              <w:rPr>
                <w:rFonts w:ascii="Calibri" w:hAnsi="Calibri"/>
                <w:sz w:val="19"/>
              </w:rPr>
              <w:t>33</w:t>
            </w:r>
          </w:p>
        </w:tc>
        <w:tc>
          <w:tcPr>
            <w:tcW w:type="dxa" w:w="1040"/>
            <w:vAlign w:val="center"/>
            <w:shd w:fill="F2F5F9"/>
          </w:tcPr>
          <w:p>
            <w:pPr>
              <w:spacing w:before="60" w:after="60"/>
            </w:pPr>
            <w:r>
              <w:rPr>
                <w:rFonts w:ascii="Calibri" w:hAnsi="Calibri"/>
                <w:sz w:val="19"/>
              </w:rPr>
              <w:t>40</w:t>
            </w:r>
          </w:p>
        </w:tc>
        <w:tc>
          <w:tcPr>
            <w:tcW w:type="dxa" w:w="1040"/>
            <w:vAlign w:val="center"/>
            <w:shd w:fill="F2F5F9"/>
          </w:tcPr>
          <w:p>
            <w:pPr>
              <w:spacing w:before="60" w:after="60"/>
            </w:pPr>
            <w:r>
              <w:rPr>
                <w:rFonts w:ascii="Calibri" w:hAnsi="Calibri"/>
                <w:sz w:val="19"/>
              </w:rPr>
              <w:t>38</w:t>
            </w:r>
          </w:p>
        </w:tc>
        <w:tc>
          <w:tcPr>
            <w:tcW w:type="dxa" w:w="1040"/>
            <w:vAlign w:val="center"/>
            <w:shd w:fill="F2F5F9"/>
          </w:tcPr>
          <w:p>
            <w:pPr>
              <w:spacing w:before="60" w:after="60"/>
            </w:pPr>
            <w:r>
              <w:rPr>
                <w:rFonts w:ascii="Calibri" w:hAnsi="Calibri"/>
                <w:sz w:val="19"/>
              </w:rPr>
              <w:t>40</w:t>
            </w:r>
          </w:p>
        </w:tc>
        <w:tc>
          <w:tcPr>
            <w:tcW w:type="dxa" w:w="1040"/>
            <w:vAlign w:val="center"/>
            <w:shd w:fill="F2F5F9"/>
          </w:tcPr>
          <w:p>
            <w:pPr>
              <w:spacing w:before="60" w:after="60"/>
            </w:pPr>
            <w:r>
              <w:rPr>
                <w:rFonts w:ascii="Calibri" w:hAnsi="Calibri"/>
                <w:sz w:val="19"/>
              </w:rPr>
              <w:t>0.4872</w:t>
            </w:r>
          </w:p>
        </w:tc>
        <w:tc>
          <w:tcPr>
            <w:tcW w:type="dxa" w:w="1040"/>
            <w:vAlign w:val="center"/>
            <w:shd w:fill="F2F5F9"/>
          </w:tcPr>
          <w:p>
            <w:pPr>
              <w:spacing w:before="60" w:after="60"/>
            </w:pPr>
            <w:r>
              <w:rPr>
                <w:rFonts w:ascii="Calibri" w:hAnsi="Calibri"/>
                <w:sz w:val="19"/>
              </w:rPr>
              <w:t>1.0000</w:t>
            </w:r>
          </w:p>
        </w:tc>
      </w:tr>
      <w:tr>
        <w:tc>
          <w:tcPr>
            <w:tcW w:type="dxa" w:w="1040"/>
            <w:vAlign w:val="center"/>
          </w:tcPr>
          <w:p>
            <w:pPr>
              <w:spacing w:before="60" w:after="60"/>
            </w:pPr>
            <w:r>
              <w:rPr>
                <w:rFonts w:ascii="Calibri" w:hAnsi="Calibri"/>
                <w:sz w:val="19"/>
              </w:rPr>
              <w:t>redirect</w:t>
            </w:r>
          </w:p>
        </w:tc>
        <w:tc>
          <w:tcPr>
            <w:tcW w:type="dxa" w:w="1040"/>
            <w:vAlign w:val="center"/>
          </w:tcPr>
          <w:p>
            <w:pPr>
              <w:spacing w:before="60" w:after="60"/>
            </w:pPr>
            <w:r>
              <w:rPr>
                <w:rFonts w:ascii="Calibri" w:hAnsi="Calibri"/>
                <w:sz w:val="19"/>
              </w:rPr>
              <w:t>CWE-601</w:t>
            </w:r>
          </w:p>
        </w:tc>
        <w:tc>
          <w:tcPr>
            <w:tcW w:type="dxa" w:w="1040"/>
            <w:vAlign w:val="center"/>
          </w:tcPr>
          <w:p>
            <w:pPr>
              <w:spacing w:before="60" w:after="60"/>
            </w:pPr>
            <w:r>
              <w:rPr>
                <w:rFonts w:ascii="Calibri" w:hAnsi="Calibri"/>
                <w:sz w:val="19"/>
              </w:rPr>
              <w:t>34</w:t>
            </w:r>
          </w:p>
        </w:tc>
        <w:tc>
          <w:tcPr>
            <w:tcW w:type="dxa" w:w="1040"/>
            <w:vAlign w:val="center"/>
          </w:tcPr>
          <w:p>
            <w:pPr>
              <w:spacing w:before="60" w:after="60"/>
            </w:pPr>
            <w:r>
              <w:rPr>
                <w:rFonts w:ascii="Calibri" w:hAnsi="Calibri"/>
                <w:sz w:val="19"/>
              </w:rPr>
              <w:t>13</w:t>
            </w:r>
          </w:p>
        </w:tc>
        <w:tc>
          <w:tcPr>
            <w:tcW w:type="dxa" w:w="1040"/>
            <w:vAlign w:val="center"/>
          </w:tcPr>
          <w:p>
            <w:pPr>
              <w:spacing w:before="60" w:after="60"/>
            </w:pPr>
            <w:r>
              <w:rPr>
                <w:rFonts w:ascii="Calibri" w:hAnsi="Calibri"/>
                <w:sz w:val="19"/>
              </w:rPr>
              <w:t>21</w:t>
            </w:r>
          </w:p>
        </w:tc>
        <w:tc>
          <w:tcPr>
            <w:tcW w:type="dxa" w:w="1040"/>
            <w:vAlign w:val="center"/>
          </w:tcPr>
          <w:p>
            <w:pPr>
              <w:spacing w:before="60" w:after="60"/>
            </w:pPr>
            <w:r>
              <w:rPr>
                <w:rFonts w:ascii="Calibri" w:hAnsi="Calibri"/>
                <w:sz w:val="19"/>
              </w:rPr>
              <w:t>13</w:t>
            </w:r>
          </w:p>
        </w:tc>
        <w:tc>
          <w:tcPr>
            <w:tcW w:type="dxa" w:w="1040"/>
            <w:vAlign w:val="center"/>
          </w:tcPr>
          <w:p>
            <w:pPr>
              <w:spacing w:before="60" w:after="60"/>
            </w:pPr>
            <w:r>
              <w:rPr>
                <w:rFonts w:ascii="Calibri" w:hAnsi="Calibri"/>
                <w:sz w:val="19"/>
              </w:rPr>
              <w:t>18</w:t>
            </w:r>
          </w:p>
        </w:tc>
        <w:tc>
          <w:tcPr>
            <w:tcW w:type="dxa" w:w="1040"/>
            <w:vAlign w:val="center"/>
          </w:tcPr>
          <w:p>
            <w:pPr>
              <w:spacing w:before="60" w:after="60"/>
            </w:pPr>
            <w:r>
              <w:rPr>
                <w:rFonts w:ascii="Calibri" w:hAnsi="Calibri"/>
                <w:sz w:val="19"/>
              </w:rPr>
              <w:t>0.4194</w:t>
            </w:r>
          </w:p>
        </w:tc>
        <w:tc>
          <w:tcPr>
            <w:tcW w:type="dxa" w:w="1040"/>
            <w:vAlign w:val="center"/>
          </w:tcPr>
          <w:p>
            <w:pPr>
              <w:spacing w:before="60" w:after="60"/>
            </w:pPr>
            <w:r>
              <w:rPr>
                <w:rFonts w:ascii="Calibri" w:hAnsi="Calibri"/>
                <w:sz w:val="19"/>
              </w:rPr>
              <w:t>1.0000</w:t>
            </w:r>
          </w:p>
        </w:tc>
      </w:tr>
      <w:tr>
        <w:tc>
          <w:tcPr>
            <w:tcW w:type="dxa" w:w="1040"/>
            <w:vAlign w:val="center"/>
            <w:shd w:fill="F2F5F9"/>
          </w:tcPr>
          <w:p>
            <w:pPr>
              <w:spacing w:before="60" w:after="60"/>
            </w:pPr>
            <w:r>
              <w:rPr>
                <w:rFonts w:ascii="Calibri" w:hAnsi="Calibri"/>
                <w:sz w:val="19"/>
              </w:rPr>
              <w:t>pathtraver</w:t>
            </w:r>
          </w:p>
        </w:tc>
        <w:tc>
          <w:tcPr>
            <w:tcW w:type="dxa" w:w="1040"/>
            <w:vAlign w:val="center"/>
            <w:shd w:fill="F2F5F9"/>
          </w:tcPr>
          <w:p>
            <w:pPr>
              <w:spacing w:before="60" w:after="60"/>
            </w:pPr>
            <w:r>
              <w:rPr>
                <w:rFonts w:ascii="Calibri" w:hAnsi="Calibri"/>
                <w:sz w:val="19"/>
              </w:rPr>
              <w:t>CWE-22</w:t>
            </w:r>
          </w:p>
        </w:tc>
        <w:tc>
          <w:tcPr>
            <w:tcW w:type="dxa" w:w="1040"/>
            <w:vAlign w:val="center"/>
            <w:shd w:fill="F2F5F9"/>
          </w:tcPr>
          <w:p>
            <w:pPr>
              <w:spacing w:before="60" w:after="60"/>
            </w:pPr>
            <w:r>
              <w:rPr>
                <w:rFonts w:ascii="Calibri" w:hAnsi="Calibri"/>
                <w:sz w:val="19"/>
              </w:rPr>
              <w:t>168</w:t>
            </w:r>
          </w:p>
        </w:tc>
        <w:tc>
          <w:tcPr>
            <w:tcW w:type="dxa" w:w="1040"/>
            <w:vAlign w:val="center"/>
            <w:shd w:fill="F2F5F9"/>
          </w:tcPr>
          <w:p>
            <w:pPr>
              <w:spacing w:before="60" w:after="60"/>
            </w:pPr>
            <w:r>
              <w:rPr>
                <w:rFonts w:ascii="Calibri" w:hAnsi="Calibri"/>
                <w:sz w:val="19"/>
              </w:rPr>
              <w:t>65</w:t>
            </w:r>
          </w:p>
        </w:tc>
        <w:tc>
          <w:tcPr>
            <w:tcW w:type="dxa" w:w="1040"/>
            <w:vAlign w:val="center"/>
            <w:shd w:fill="F2F5F9"/>
          </w:tcPr>
          <w:p>
            <w:pPr>
              <w:spacing w:before="60" w:after="60"/>
            </w:pPr>
            <w:r>
              <w:rPr>
                <w:rFonts w:ascii="Calibri" w:hAnsi="Calibri"/>
                <w:sz w:val="19"/>
              </w:rPr>
              <w:t>103</w:t>
            </w:r>
          </w:p>
        </w:tc>
        <w:tc>
          <w:tcPr>
            <w:tcW w:type="dxa" w:w="1040"/>
            <w:vAlign w:val="center"/>
            <w:shd w:fill="F2F5F9"/>
          </w:tcPr>
          <w:p>
            <w:pPr>
              <w:spacing w:before="60" w:after="60"/>
            </w:pPr>
            <w:r>
              <w:rPr>
                <w:rFonts w:ascii="Calibri" w:hAnsi="Calibri"/>
                <w:sz w:val="19"/>
              </w:rPr>
              <w:t>62</w:t>
            </w:r>
          </w:p>
        </w:tc>
        <w:tc>
          <w:tcPr>
            <w:tcW w:type="dxa" w:w="1040"/>
            <w:vAlign w:val="center"/>
            <w:shd w:fill="F2F5F9"/>
          </w:tcPr>
          <w:p>
            <w:pPr>
              <w:spacing w:before="60" w:after="60"/>
            </w:pPr>
            <w:r>
              <w:rPr>
                <w:rFonts w:ascii="Calibri" w:hAnsi="Calibri"/>
                <w:sz w:val="19"/>
              </w:rPr>
              <w:t>93</w:t>
            </w:r>
          </w:p>
        </w:tc>
        <w:tc>
          <w:tcPr>
            <w:tcW w:type="dxa" w:w="1040"/>
            <w:vAlign w:val="center"/>
            <w:shd w:fill="F2F5F9"/>
          </w:tcPr>
          <w:p>
            <w:pPr>
              <w:spacing w:before="60" w:after="60"/>
            </w:pPr>
            <w:r>
              <w:rPr>
                <w:rFonts w:ascii="Calibri" w:hAnsi="Calibri"/>
                <w:sz w:val="19"/>
              </w:rPr>
              <w:t>0.4000</w:t>
            </w:r>
          </w:p>
        </w:tc>
        <w:tc>
          <w:tcPr>
            <w:tcW w:type="dxa" w:w="1040"/>
            <w:vAlign w:val="center"/>
            <w:shd w:fill="F2F5F9"/>
          </w:tcPr>
          <w:p>
            <w:pPr>
              <w:spacing w:before="60" w:after="60"/>
            </w:pPr>
            <w:r>
              <w:rPr>
                <w:rFonts w:ascii="Calibri" w:hAnsi="Calibri"/>
                <w:sz w:val="19"/>
              </w:rPr>
              <w:t>0.9538</w:t>
            </w:r>
          </w:p>
        </w:tc>
      </w:tr>
      <w:tr>
        <w:tc>
          <w:tcPr>
            <w:tcW w:type="dxa" w:w="1040"/>
            <w:vAlign w:val="center"/>
          </w:tcPr>
          <w:p>
            <w:pPr>
              <w:spacing w:before="60" w:after="60"/>
            </w:pPr>
            <w:r>
              <w:rPr>
                <w:rFonts w:ascii="Calibri" w:hAnsi="Calibri"/>
                <w:sz w:val="19"/>
              </w:rPr>
              <w:t>xpathi</w:t>
            </w:r>
          </w:p>
        </w:tc>
        <w:tc>
          <w:tcPr>
            <w:tcW w:type="dxa" w:w="1040"/>
            <w:vAlign w:val="center"/>
          </w:tcPr>
          <w:p>
            <w:pPr>
              <w:spacing w:before="60" w:after="60"/>
            </w:pPr>
            <w:r>
              <w:rPr>
                <w:rFonts w:ascii="Calibri" w:hAnsi="Calibri"/>
                <w:sz w:val="19"/>
              </w:rPr>
              <w:t>CWE-643</w:t>
            </w:r>
          </w:p>
        </w:tc>
        <w:tc>
          <w:tcPr>
            <w:tcW w:type="dxa" w:w="1040"/>
            <w:vAlign w:val="center"/>
          </w:tcPr>
          <w:p>
            <w:pPr>
              <w:spacing w:before="60" w:after="60"/>
            </w:pPr>
            <w:r>
              <w:rPr>
                <w:rFonts w:ascii="Calibri" w:hAnsi="Calibri"/>
                <w:sz w:val="19"/>
              </w:rPr>
              <w:t>186</w:t>
            </w:r>
          </w:p>
        </w:tc>
        <w:tc>
          <w:tcPr>
            <w:tcW w:type="dxa" w:w="1040"/>
            <w:vAlign w:val="center"/>
          </w:tcPr>
          <w:p>
            <w:pPr>
              <w:spacing w:before="60" w:after="60"/>
            </w:pPr>
            <w:r>
              <w:rPr>
                <w:rFonts w:ascii="Calibri" w:hAnsi="Calibri"/>
                <w:sz w:val="19"/>
              </w:rPr>
              <w:t>51</w:t>
            </w:r>
          </w:p>
        </w:tc>
        <w:tc>
          <w:tcPr>
            <w:tcW w:type="dxa" w:w="1040"/>
            <w:vAlign w:val="center"/>
          </w:tcPr>
          <w:p>
            <w:pPr>
              <w:spacing w:before="60" w:after="60"/>
            </w:pPr>
            <w:r>
              <w:rPr>
                <w:rFonts w:ascii="Calibri" w:hAnsi="Calibri"/>
                <w:sz w:val="19"/>
              </w:rPr>
              <w:t>135</w:t>
            </w:r>
          </w:p>
        </w:tc>
        <w:tc>
          <w:tcPr>
            <w:tcW w:type="dxa" w:w="1040"/>
            <w:vAlign w:val="center"/>
          </w:tcPr>
          <w:p>
            <w:pPr>
              <w:spacing w:before="60" w:after="60"/>
            </w:pPr>
            <w:r>
              <w:rPr>
                <w:rFonts w:ascii="Calibri" w:hAnsi="Calibri"/>
                <w:sz w:val="19"/>
              </w:rPr>
              <w:t>49</w:t>
            </w:r>
          </w:p>
        </w:tc>
        <w:tc>
          <w:tcPr>
            <w:tcW w:type="dxa" w:w="1040"/>
            <w:vAlign w:val="center"/>
          </w:tcPr>
          <w:p>
            <w:pPr>
              <w:spacing w:before="60" w:after="60"/>
            </w:pPr>
            <w:r>
              <w:rPr>
                <w:rFonts w:ascii="Calibri" w:hAnsi="Calibri"/>
                <w:sz w:val="19"/>
              </w:rPr>
              <w:t>81</w:t>
            </w:r>
          </w:p>
        </w:tc>
        <w:tc>
          <w:tcPr>
            <w:tcW w:type="dxa" w:w="1040"/>
            <w:vAlign w:val="center"/>
          </w:tcPr>
          <w:p>
            <w:pPr>
              <w:spacing w:before="60" w:after="60"/>
            </w:pPr>
            <w:r>
              <w:rPr>
                <w:rFonts w:ascii="Calibri" w:hAnsi="Calibri"/>
                <w:sz w:val="19"/>
              </w:rPr>
              <w:t>0.3769</w:t>
            </w:r>
          </w:p>
        </w:tc>
        <w:tc>
          <w:tcPr>
            <w:tcW w:type="dxa" w:w="1040"/>
            <w:vAlign w:val="center"/>
          </w:tcPr>
          <w:p>
            <w:pPr>
              <w:spacing w:before="60" w:after="60"/>
            </w:pPr>
            <w:r>
              <w:rPr>
                <w:rFonts w:ascii="Calibri" w:hAnsi="Calibri"/>
                <w:sz w:val="19"/>
              </w:rPr>
              <w:t>0.9608</w:t>
            </w:r>
          </w:p>
        </w:tc>
      </w:tr>
    </w:tbl>
    <w:p>
      <w:pPr>
        <w:pStyle w:val="Heading2"/>
        <w:spacing w:before="240" w:after="80"/>
      </w:pPr>
      <w:r>
        <w:rPr>
          <w:rFonts w:ascii="Calibri" w:hAnsi="Calibri"/>
          <w:b/>
          <w:color w:val="2B5C8F"/>
          <w:sz w:val="26"/>
        </w:rPr>
        <w:t>6.4 Precision-Recall Operating Characteristic &amp; Threshold Sweeps</w:t>
      </w:r>
    </w:p>
    <w:p>
      <w:pPr>
        <w:spacing w:before="40" w:after="120" w:line="276" w:lineRule="auto"/>
      </w:pPr>
      <w:r>
        <w:rPr>
          <w:rFonts w:ascii="Calibri" w:hAnsi="Calibri"/>
          <w:i w:val="0"/>
          <w:sz w:val="21"/>
        </w:rPr>
        <w:t>The automated tuning subsystem sweeps continuous risk thresholds across empirical finding distributions to generate the Precision-Recall curve shown in Figure 4. The curve illustrates the trade-off between strict noise rejection (Precision-Optimized operating point at threshold 0.70 with 100% precision) and maximum vulnerability yield (Balanced-Tuned operating point at threshold 0.35 with F1=0.6673, Recall=76.77%).</w:t>
      </w:r>
    </w:p>
    <w:p>
      <w:pPr>
        <w:spacing w:before="160" w:after="4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fig5_precision_recall_curve.png"/>
                    <pic:cNvPicPr/>
                  </pic:nvPicPr>
                  <pic:blipFill>
                    <a:blip r:embed="rId12"/>
                    <a:stretch>
                      <a:fillRect/>
                    </a:stretch>
                  </pic:blipFill>
                  <pic:spPr>
                    <a:xfrm>
                      <a:off x="0" y="0"/>
                      <a:ext cx="5486400" cy="3086100"/>
                    </a:xfrm>
                    <a:prstGeom prst="rect"/>
                  </pic:spPr>
                </pic:pic>
              </a:graphicData>
            </a:graphic>
          </wp:inline>
        </w:drawing>
      </w:r>
    </w:p>
    <w:p>
      <w:pPr>
        <w:spacing w:before="40" w:after="200"/>
        <w:jc w:val="center"/>
      </w:pPr>
      <w:r>
        <w:rPr>
          <w:rFonts w:ascii="Calibri" w:hAnsi="Calibri"/>
          <w:b/>
          <w:i/>
          <w:color w:val="505050"/>
          <w:sz w:val="19"/>
        </w:rPr>
        <w:t>Figure 4: Empirical Precision-Recall Operating Characteristic and Calibrated Profile Operating Points.</w:t>
      </w:r>
    </w:p>
    <w:p>
      <w:pPr>
        <w:pStyle w:val="Heading2"/>
        <w:spacing w:before="240" w:after="80"/>
      </w:pPr>
      <w:r>
        <w:rPr>
          <w:rFonts w:ascii="Calibri" w:hAnsi="Calibri"/>
          <w:b/>
          <w:color w:val="2B5C8F"/>
          <w:sz w:val="26"/>
        </w:rPr>
        <w:t>6.5 Deduplication Effectiveness Across Multi-Target Real Scans</w:t>
      </w:r>
    </w:p>
    <w:p>
      <w:pPr>
        <w:spacing w:before="40" w:after="120" w:line="276" w:lineRule="auto"/>
      </w:pPr>
      <w:r>
        <w:rPr>
          <w:rFonts w:ascii="Calibri" w:hAnsi="Calibri"/>
          <w:i w:val="0"/>
          <w:sz w:val="21"/>
        </w:rPr>
        <w:t>In addition to benchmark test cases, we analyzed 54 historical scan reports covering 14 distinct real and intentionally vulnerable targets (OWASP Juice Shop, university portals, vuln_bank_lab, and negative controls). Across all non-zero scans, deduplication collapsed redundant scanner alerts by an average of 34.2% per scan and up to 76.9% on static codebase scans. Figure 5 illustrates the noise reduction across distinct target types.</w:t>
      </w:r>
    </w:p>
    <w:p>
      <w:pPr>
        <w:spacing w:before="160" w:after="4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fig4_deduplication_effectiveness.png"/>
                    <pic:cNvPicPr/>
                  </pic:nvPicPr>
                  <pic:blipFill>
                    <a:blip r:embed="rId13"/>
                    <a:stretch>
                      <a:fillRect/>
                    </a:stretch>
                  </pic:blipFill>
                  <pic:spPr>
                    <a:xfrm>
                      <a:off x="0" y="0"/>
                      <a:ext cx="5486400" cy="3086100"/>
                    </a:xfrm>
                    <a:prstGeom prst="rect"/>
                  </pic:spPr>
                </pic:pic>
              </a:graphicData>
            </a:graphic>
          </wp:inline>
        </w:drawing>
      </w:r>
    </w:p>
    <w:p>
      <w:pPr>
        <w:spacing w:before="40" w:after="200"/>
        <w:jc w:val="center"/>
      </w:pPr>
      <w:r>
        <w:rPr>
          <w:rFonts w:ascii="Calibri" w:hAnsi="Calibri"/>
          <w:b/>
          <w:i/>
          <w:color w:val="505050"/>
          <w:sz w:val="19"/>
        </w:rPr>
        <w:t>Figure 5: Deduplication Noise Reduction Rate across Static Codebases and Dynamic Web Applications.</w:t>
      </w:r>
    </w:p>
    <w:p>
      <w:pPr>
        <w:pStyle w:val="Heading1"/>
        <w:spacing w:before="240" w:after="80"/>
      </w:pPr>
      <w:r>
        <w:rPr>
          <w:rFonts w:ascii="Calibri" w:hAnsi="Calibri"/>
          <w:b/>
          <w:color w:val="1F497D"/>
          <w:sz w:val="32"/>
        </w:rPr>
        <w:t>7. Comparative Analysis Against Prior Literature</w:t>
      </w:r>
    </w:p>
    <w:p>
      <w:pPr>
        <w:spacing w:before="40" w:after="120" w:line="276" w:lineRule="auto"/>
      </w:pPr>
      <w:r>
        <w:rPr>
          <w:rFonts w:ascii="Calibri" w:hAnsi="Calibri"/>
          <w:i w:val="0"/>
          <w:sz w:val="21"/>
        </w:rPr>
        <w:t>Table 5 compares SSE's delivered capabilities against the four primary literature gaps identified in Section 2. SSE represents the first unified system combining multi-source aggregation, AST deduplication, deterministic anti-suppression scoring, profile-based threshold calibration, and fully local LLM remediation guidance inside a single deployable, offline-first artifact.</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shd w:fill="1F497D"/>
          </w:tcPr>
          <w:p>
            <w:pPr>
              <w:spacing w:before="60" w:after="60"/>
            </w:pPr>
            <w:r>
              <w:rPr>
                <w:rFonts w:ascii="Calibri" w:hAnsi="Calibri"/>
                <w:b/>
                <w:color w:val="FFFFFF"/>
                <w:sz w:val="19"/>
              </w:rPr>
              <w:t>Literature Gap</w:t>
            </w:r>
          </w:p>
        </w:tc>
        <w:tc>
          <w:tcPr>
            <w:tcW w:type="dxa" w:w="2340"/>
            <w:vAlign w:val="center"/>
            <w:shd w:fill="1F497D"/>
          </w:tcPr>
          <w:p>
            <w:pPr>
              <w:spacing w:before="60" w:after="60"/>
            </w:pPr>
            <w:r>
              <w:rPr>
                <w:rFonts w:ascii="Calibri" w:hAnsi="Calibri"/>
                <w:b/>
                <w:color w:val="FFFFFF"/>
                <w:sz w:val="19"/>
              </w:rPr>
              <w:t>Representative Prior Work</w:t>
            </w:r>
          </w:p>
        </w:tc>
        <w:tc>
          <w:tcPr>
            <w:tcW w:type="dxa" w:w="2340"/>
            <w:vAlign w:val="center"/>
            <w:shd w:fill="1F497D"/>
          </w:tcPr>
          <w:p>
            <w:pPr>
              <w:spacing w:before="60" w:after="60"/>
            </w:pPr>
            <w:r>
              <w:rPr>
                <w:rFonts w:ascii="Calibri" w:hAnsi="Calibri"/>
                <w:b/>
                <w:color w:val="FFFFFF"/>
                <w:sz w:val="19"/>
              </w:rPr>
              <w:t>Prior Approach</w:t>
            </w:r>
          </w:p>
        </w:tc>
        <w:tc>
          <w:tcPr>
            <w:tcW w:type="dxa" w:w="2340"/>
            <w:vAlign w:val="center"/>
            <w:shd w:fill="1F497D"/>
          </w:tcPr>
          <w:p>
            <w:pPr>
              <w:spacing w:before="60" w:after="60"/>
            </w:pPr>
            <w:r>
              <w:rPr>
                <w:rFonts w:ascii="Calibri" w:hAnsi="Calibri"/>
                <w:b/>
                <w:color w:val="FFFFFF"/>
                <w:sz w:val="19"/>
              </w:rPr>
              <w:t>SSE Delivered Resolution</w:t>
            </w:r>
          </w:p>
        </w:tc>
      </w:tr>
      <w:tr>
        <w:tc>
          <w:tcPr>
            <w:tcW w:type="dxa" w:w="2340"/>
            <w:vAlign w:val="center"/>
            <w:shd w:fill="F2F5F9"/>
          </w:tcPr>
          <w:p>
            <w:pPr>
              <w:spacing w:before="60" w:after="60"/>
            </w:pPr>
            <w:r>
              <w:rPr>
                <w:rFonts w:ascii="Calibri" w:hAnsi="Calibri"/>
                <w:sz w:val="19"/>
              </w:rPr>
              <w:t>Isolated Pipeline Stages</w:t>
            </w:r>
          </w:p>
        </w:tc>
        <w:tc>
          <w:tcPr>
            <w:tcW w:type="dxa" w:w="2340"/>
            <w:vAlign w:val="center"/>
            <w:shd w:fill="F2F5F9"/>
          </w:tcPr>
          <w:p>
            <w:pPr>
              <w:spacing w:before="60" w:after="60"/>
            </w:pPr>
            <w:r>
              <w:rPr>
                <w:rFonts w:ascii="Calibri" w:hAnsi="Calibri"/>
                <w:sz w:val="19"/>
              </w:rPr>
              <w:t>Keltek [1], AbdelAziz [3]</w:t>
            </w:r>
          </w:p>
        </w:tc>
        <w:tc>
          <w:tcPr>
            <w:tcW w:type="dxa" w:w="2340"/>
            <w:vAlign w:val="center"/>
            <w:shd w:fill="F2F5F9"/>
          </w:tcPr>
          <w:p>
            <w:pPr>
              <w:spacing w:before="60" w:after="60"/>
            </w:pPr>
            <w:r>
              <w:rPr>
                <w:rFonts w:ascii="Calibri" w:hAnsi="Calibri"/>
                <w:sz w:val="19"/>
              </w:rPr>
              <w:t>Study triage or repair in isolation</w:t>
            </w:r>
          </w:p>
        </w:tc>
        <w:tc>
          <w:tcPr>
            <w:tcW w:type="dxa" w:w="2340"/>
            <w:vAlign w:val="center"/>
            <w:shd w:fill="F2F5F9"/>
          </w:tcPr>
          <w:p>
            <w:pPr>
              <w:spacing w:before="60" w:after="60"/>
            </w:pPr>
            <w:r>
              <w:rPr>
                <w:rFonts w:ascii="Calibri" w:hAnsi="Calibri"/>
                <w:sz w:val="19"/>
              </w:rPr>
              <w:t>Full 6-stage pipeline: scan, norm, dedup, score, LLM enrich, report</w:t>
            </w:r>
          </w:p>
        </w:tc>
      </w:tr>
      <w:tr>
        <w:tc>
          <w:tcPr>
            <w:tcW w:type="dxa" w:w="2340"/>
            <w:vAlign w:val="center"/>
          </w:tcPr>
          <w:p>
            <w:pPr>
              <w:spacing w:before="60" w:after="60"/>
            </w:pPr>
            <w:r>
              <w:rPr>
                <w:rFonts w:ascii="Calibri" w:hAnsi="Calibri"/>
                <w:sz w:val="19"/>
              </w:rPr>
              <w:t>Cloud LLM Dependencies</w:t>
            </w:r>
          </w:p>
        </w:tc>
        <w:tc>
          <w:tcPr>
            <w:tcW w:type="dxa" w:w="2340"/>
            <w:vAlign w:val="center"/>
          </w:tcPr>
          <w:p>
            <w:pPr>
              <w:spacing w:before="60" w:after="60"/>
            </w:pPr>
            <w:r>
              <w:rPr>
                <w:rFonts w:ascii="Calibri" w:hAnsi="Calibri"/>
                <w:sz w:val="19"/>
              </w:rPr>
              <w:t>Agrawal [2], Al Haddad [5]</w:t>
            </w:r>
          </w:p>
        </w:tc>
        <w:tc>
          <w:tcPr>
            <w:tcW w:type="dxa" w:w="2340"/>
            <w:vAlign w:val="center"/>
          </w:tcPr>
          <w:p>
            <w:pPr>
              <w:spacing w:before="60" w:after="60"/>
            </w:pPr>
            <w:r>
              <w:rPr>
                <w:rFonts w:ascii="Calibri" w:hAnsi="Calibri"/>
                <w:sz w:val="19"/>
              </w:rPr>
              <w:t>Rely on OpenAI / Anthropic cloud APIs</w:t>
            </w:r>
          </w:p>
        </w:tc>
        <w:tc>
          <w:tcPr>
            <w:tcW w:type="dxa" w:w="2340"/>
            <w:vAlign w:val="center"/>
          </w:tcPr>
          <w:p>
            <w:pPr>
              <w:spacing w:before="60" w:after="60"/>
            </w:pPr>
            <w:r>
              <w:rPr>
                <w:rFonts w:ascii="Calibri" w:hAnsi="Calibri"/>
                <w:sz w:val="19"/>
              </w:rPr>
              <w:t>100% offline local inference via Ollama (Llama 3.1 8B) + fallback templates</w:t>
            </w:r>
          </w:p>
        </w:tc>
      </w:tr>
      <w:tr>
        <w:tc>
          <w:tcPr>
            <w:tcW w:type="dxa" w:w="2340"/>
            <w:vAlign w:val="center"/>
            <w:shd w:fill="F2F5F9"/>
          </w:tcPr>
          <w:p>
            <w:pPr>
              <w:spacing w:before="60" w:after="60"/>
            </w:pPr>
            <w:r>
              <w:rPr>
                <w:rFonts w:ascii="Calibri" w:hAnsi="Calibri"/>
                <w:sz w:val="19"/>
              </w:rPr>
              <w:t>Silent False-Negative Risk</w:t>
            </w:r>
          </w:p>
        </w:tc>
        <w:tc>
          <w:tcPr>
            <w:tcW w:type="dxa" w:w="2340"/>
            <w:vAlign w:val="center"/>
            <w:shd w:fill="F2F5F9"/>
          </w:tcPr>
          <w:p>
            <w:pPr>
              <w:spacing w:before="60" w:after="60"/>
            </w:pPr>
            <w:r>
              <w:rPr>
                <w:rFonts w:ascii="Calibri" w:hAnsi="Calibri"/>
                <w:sz w:val="19"/>
              </w:rPr>
              <w:t>Keltek [1], Xiong [6]</w:t>
            </w:r>
          </w:p>
        </w:tc>
        <w:tc>
          <w:tcPr>
            <w:tcW w:type="dxa" w:w="2340"/>
            <w:vAlign w:val="center"/>
            <w:shd w:fill="F2F5F9"/>
          </w:tcPr>
          <w:p>
            <w:pPr>
              <w:spacing w:before="60" w:after="60"/>
            </w:pPr>
            <w:r>
              <w:rPr>
                <w:rFonts w:ascii="Calibri" w:hAnsi="Calibri"/>
                <w:sz w:val="19"/>
              </w:rPr>
              <w:t>Aggressive LLM pruning of low scores</w:t>
            </w:r>
          </w:p>
        </w:tc>
        <w:tc>
          <w:tcPr>
            <w:tcW w:type="dxa" w:w="2340"/>
            <w:vAlign w:val="center"/>
            <w:shd w:fill="F2F5F9"/>
          </w:tcPr>
          <w:p>
            <w:pPr>
              <w:spacing w:before="60" w:after="60"/>
            </w:pPr>
            <w:r>
              <w:rPr>
                <w:rFonts w:ascii="Calibri" w:hAnsi="Calibri"/>
                <w:sz w:val="19"/>
              </w:rPr>
              <w:t>Dual safety nets: Confidence floor [0.8, 1.0] and Vuln-Type minimum floors</w:t>
            </w:r>
          </w:p>
        </w:tc>
      </w:tr>
      <w:tr>
        <w:tc>
          <w:tcPr>
            <w:tcW w:type="dxa" w:w="2340"/>
            <w:vAlign w:val="center"/>
          </w:tcPr>
          <w:p>
            <w:pPr>
              <w:spacing w:before="60" w:after="60"/>
            </w:pPr>
            <w:r>
              <w:rPr>
                <w:rFonts w:ascii="Calibri" w:hAnsi="Calibri"/>
                <w:sz w:val="19"/>
              </w:rPr>
              <w:t>Lack of Standardized Benchmarks</w:t>
            </w:r>
          </w:p>
        </w:tc>
        <w:tc>
          <w:tcPr>
            <w:tcW w:type="dxa" w:w="2340"/>
            <w:vAlign w:val="center"/>
          </w:tcPr>
          <w:p>
            <w:pPr>
              <w:spacing w:before="60" w:after="60"/>
            </w:pPr>
            <w:r>
              <w:rPr>
                <w:rFonts w:ascii="Calibri" w:hAnsi="Calibri"/>
                <w:sz w:val="19"/>
              </w:rPr>
              <w:t>Lykousas [4], Agrawal [2]</w:t>
            </w:r>
          </w:p>
        </w:tc>
        <w:tc>
          <w:tcPr>
            <w:tcW w:type="dxa" w:w="2340"/>
            <w:vAlign w:val="center"/>
          </w:tcPr>
          <w:p>
            <w:pPr>
              <w:spacing w:before="60" w:after="60"/>
            </w:pPr>
            <w:r>
              <w:rPr>
                <w:rFonts w:ascii="Calibri" w:hAnsi="Calibri"/>
                <w:sz w:val="19"/>
              </w:rPr>
              <w:t>Small ad-hoc snippet evaluation</w:t>
            </w:r>
          </w:p>
        </w:tc>
        <w:tc>
          <w:tcPr>
            <w:tcW w:type="dxa" w:w="2340"/>
            <w:vAlign w:val="center"/>
          </w:tcPr>
          <w:p>
            <w:pPr>
              <w:spacing w:before="60" w:after="60"/>
            </w:pPr>
            <w:r>
              <w:rPr>
                <w:rFonts w:ascii="Calibri" w:hAnsi="Calibri"/>
                <w:sz w:val="19"/>
              </w:rPr>
              <w:t>Standardized evaluation on OWASP Benchmark Python v0.1 (1,230 cases)</w:t>
            </w:r>
          </w:p>
        </w:tc>
      </w:tr>
    </w:tbl>
    <w:p>
      <w:pPr>
        <w:pStyle w:val="Heading1"/>
        <w:spacing w:before="240" w:after="80"/>
      </w:pPr>
      <w:r>
        <w:rPr>
          <w:rFonts w:ascii="Calibri" w:hAnsi="Calibri"/>
          <w:b/>
          <w:color w:val="1F497D"/>
          <w:sz w:val="32"/>
        </w:rPr>
        <w:t>8. Discussion</w:t>
      </w:r>
    </w:p>
    <w:p>
      <w:pPr>
        <w:spacing w:before="40" w:after="120" w:line="276" w:lineRule="auto"/>
      </w:pPr>
      <w:r>
        <w:rPr>
          <w:rFonts w:ascii="Calibri" w:hAnsi="Calibri"/>
          <w:i w:val="0"/>
          <w:sz w:val="21"/>
        </w:rPr>
        <w:t>8.1 Strengths</w:t>
        <w:br/>
        <w:t>1. End-to-End Operational Pipeline: SSE delivers a fully working, tested pipeline rather than a theoretical prototype, supported by 76 passing automated tests and multi-surface deployment (CLI, REST API, Docker).</w:t>
        <w:br/>
        <w:t>2. Zero-Cloud Privacy &amp; Determinism: Local LLM execution guarantees that proprietary code never leaves developer infrastructure, eliminating compliance and per-token cost barriers.</w:t>
        <w:br/>
        <w:t>3. Rigorously Validated Detection: Evaluated across 1,230 ground-truth cases, achieving 100% precision for CI/CD gates and 76.77% recall (F1=0.6673) for developer triage.</w:t>
        <w:br/>
        <w:t>4. Anti-Suppression Safeguards: Category floors and consistency locking ensure high-severity risks are never accidentally hidden by low scanner confidence scores.</w:t>
      </w:r>
    </w:p>
    <w:p>
      <w:pPr>
        <w:spacing w:before="40" w:after="120" w:line="276" w:lineRule="auto"/>
      </w:pPr>
      <w:r>
        <w:rPr>
          <w:rFonts w:ascii="Calibri" w:hAnsi="Calibri"/>
          <w:i w:val="0"/>
          <w:sz w:val="21"/>
        </w:rPr>
        <w:t>8.2 Limitations &amp; Ongoing Engineering</w:t>
        <w:br/>
        <w:t>While SSE successfully achieves its core objectives, several areas warrant continued development. First, DAST coverage on complex single-page applications (SPAs) with heavy client-side JavaScript execution remains narrower than commercial enterprise scanners, benefiting from planned headless browser instrumentation. Second, while the rule heuristics achieve high recall on standardized suites, continuous rule expansion is necessary to match the evolving landscape of novel Python framework vulnerabilities.</w:t>
      </w:r>
    </w:p>
    <w:p>
      <w:pPr>
        <w:pStyle w:val="Heading1"/>
        <w:spacing w:before="240" w:after="80"/>
      </w:pPr>
      <w:r>
        <w:rPr>
          <w:rFonts w:ascii="Calibri" w:hAnsi="Calibri"/>
          <w:b/>
          <w:color w:val="1F497D"/>
          <w:sz w:val="32"/>
        </w:rPr>
        <w:t>9. Threats to Validity</w:t>
      </w:r>
    </w:p>
    <w:p>
      <w:pPr>
        <w:spacing w:before="40" w:after="120" w:line="276" w:lineRule="auto"/>
      </w:pPr>
      <w:r>
        <w:rPr>
          <w:rFonts w:ascii="Calibri" w:hAnsi="Calibri"/>
          <w:i w:val="0"/>
          <w:sz w:val="21"/>
        </w:rPr>
        <w:t>Internal Validity: Test cases within the OWASP Benchmark are synthetically generated around specific vulnerability patterns; although standardized, real-world enterprise applications exhibit more complex data flows and multi-file dependencies. External Validity: The evaluation focuses on Python web applications; while the normalization and scoring architecture is language-agnostic, scanner rulesets must be expanded for JavaScript/Go/Java environments. Construct Validity: Benchmark ground-truth labels define binary flaw presence, whereas real-world risk severity also depends on runtime network posture and asset business criticality.</w:t>
      </w:r>
    </w:p>
    <w:p>
      <w:pPr>
        <w:pStyle w:val="Heading1"/>
        <w:spacing w:before="240" w:after="80"/>
      </w:pPr>
      <w:r>
        <w:rPr>
          <w:rFonts w:ascii="Calibri" w:hAnsi="Calibri"/>
          <w:b/>
          <w:color w:val="1F497D"/>
          <w:sz w:val="32"/>
        </w:rPr>
        <w:t>10. Conclusion</w:t>
      </w:r>
    </w:p>
    <w:p>
      <w:pPr>
        <w:spacing w:before="40" w:after="120" w:line="276" w:lineRule="auto"/>
      </w:pPr>
      <w:r>
        <w:rPr>
          <w:rFonts w:ascii="Calibri" w:hAnsi="Calibri"/>
          <w:i w:val="0"/>
          <w:sz w:val="21"/>
        </w:rPr>
        <w:t>ShadowBrief – Security Signal Engine (SSE) demonstrates that intelligent multi-scanner aggregation, composite deduplication, context-aware scoring, and offline LLM enrichment can be unified into a practical, developer-friendly triage framework. Evaluated on the standardized OWASP Benchmark for Python v0.1 (1,230 cases), SSE achieves 100% precision (0 false positives) in Precision mode and an F1-score of 0.6673 (76.77% recall) in Balanced mode, while eliminating up to 76.9% of redundant alerts. By combining deterministic safety guarantees with local generative AI remediation, SSE provides resource-constrained development teams with an effective, privacy-preserving defense against alert fatigue.</w:t>
      </w:r>
    </w:p>
    <w:p>
      <w:pPr>
        <w:pStyle w:val="Heading1"/>
        <w:spacing w:before="240" w:after="80"/>
      </w:pPr>
      <w:r>
        <w:rPr>
          <w:rFonts w:ascii="Calibri" w:hAnsi="Calibri"/>
          <w:b/>
          <w:color w:val="1F497D"/>
          <w:sz w:val="32"/>
        </w:rPr>
        <w:t>11. Future Scope</w:t>
      </w:r>
    </w:p>
    <w:p>
      <w:pPr>
        <w:spacing w:before="40" w:after="120" w:line="276" w:lineRule="auto"/>
      </w:pPr>
      <w:r>
        <w:rPr>
          <w:rFonts w:ascii="Calibri" w:hAnsi="Calibri"/>
          <w:i w:val="0"/>
          <w:sz w:val="21"/>
        </w:rPr>
        <w:t>Future work will focus on: (1) integrating headless browser dynamic analysis for JavaScript-heavy frontends; (2) extending standardized benchmarking to multi-language suites (OWASP Benchmark Java, NodeGoat); (3) implementing interactive web dashboard visualizations connected to the SQLite audit log; and (4) exploring fine-tuned small language models (e.g., Gemma 2 2B / Phi-3 Mini) for ultra-low-latency on-device remediation generation.</w:t>
      </w:r>
    </w:p>
    <w:p>
      <w:pPr>
        <w:pStyle w:val="Heading1"/>
        <w:spacing w:before="240" w:after="80"/>
      </w:pPr>
      <w:r>
        <w:rPr>
          <w:rFonts w:ascii="Calibri" w:hAnsi="Calibri"/>
          <w:b/>
          <w:color w:val="1F497D"/>
          <w:sz w:val="32"/>
        </w:rPr>
        <w:t>References</w:t>
      </w:r>
    </w:p>
    <w:p>
      <w:pPr>
        <w:spacing w:before="20" w:after="60"/>
        <w:ind w:left="360"/>
      </w:pPr>
      <w:r>
        <w:rPr>
          <w:rFonts w:ascii="Calibri" w:hAnsi="Calibri"/>
          <w:sz w:val="19"/>
        </w:rPr>
        <w:t>[1] M. Keltek, R. Hu, M. F. S. Sani, and Z. Li, 'Boosting Cybersecurity Vulnerability Scanning based on LLM-supported Static Application Security Testing,' 2024.</w:t>
      </w:r>
    </w:p>
    <w:p>
      <w:pPr>
        <w:spacing w:before="20" w:after="60"/>
        <w:ind w:left="360"/>
      </w:pPr>
      <w:r>
        <w:rPr>
          <w:rFonts w:ascii="Calibri" w:hAnsi="Calibri"/>
          <w:sz w:val="19"/>
        </w:rPr>
        <w:t>[2] V. Agrawal and K. Ahi, 'LLM-Driven SAST-Genius: A Hybrid Static Analysis Framework for Comprehensive and Actionable Security,' 2025.</w:t>
      </w:r>
    </w:p>
    <w:p>
      <w:pPr>
        <w:spacing w:before="20" w:after="60"/>
        <w:ind w:left="360"/>
      </w:pPr>
      <w:r>
        <w:rPr>
          <w:rFonts w:ascii="Calibri" w:hAnsi="Calibri"/>
          <w:sz w:val="19"/>
        </w:rPr>
        <w:t>[3] A. M. AbdelAziz, 'Vulnerability Assessment and Remediation Using Advanced AI Analysis,' 2024.</w:t>
      </w:r>
    </w:p>
    <w:p>
      <w:pPr>
        <w:spacing w:before="20" w:after="60"/>
        <w:ind w:left="360"/>
      </w:pPr>
      <w:r>
        <w:rPr>
          <w:rFonts w:ascii="Calibri" w:hAnsi="Calibri"/>
          <w:sz w:val="19"/>
        </w:rPr>
        <w:t>[4] N. Lykousas, V. Argyropoulos, and F. Casino, 'The potential of LLM-generated reports in DevSecOps,' 2024.</w:t>
      </w:r>
    </w:p>
    <w:p>
      <w:pPr>
        <w:spacing w:before="20" w:after="60"/>
        <w:ind w:left="360"/>
      </w:pPr>
      <w:r>
        <w:rPr>
          <w:rFonts w:ascii="Calibri" w:hAnsi="Calibri"/>
          <w:sz w:val="19"/>
        </w:rPr>
        <w:t>[5] O. Al Haddad, M. Ikram, E. Ahmed, and Y. Lee, 'Prompting the Priorities: A First Look at Evaluating LLMs for Vulnerability Triage and Prioritization,' 2025.</w:t>
      </w:r>
    </w:p>
    <w:p>
      <w:pPr>
        <w:spacing w:before="20" w:after="60"/>
        <w:ind w:left="360"/>
      </w:pPr>
      <w:r>
        <w:rPr>
          <w:rFonts w:ascii="Calibri" w:hAnsi="Calibri"/>
          <w:sz w:val="19"/>
        </w:rPr>
        <w:t>[6] Y. Xiong and T. Zhang, 'Sifting the Noise: A Comparative Study of LLM Agents in Vulnerability False Positive Filtering,' ACM Reference Format, vol. 1, no. 1, Feb. 2026.</w:t>
      </w:r>
    </w:p>
    <w:p>
      <w:pPr>
        <w:spacing w:before="20" w:after="60"/>
        <w:ind w:left="360"/>
      </w:pPr>
      <w:r>
        <w:rPr>
          <w:rFonts w:ascii="Calibri" w:hAnsi="Calibri"/>
          <w:sz w:val="19"/>
        </w:rPr>
        <w:t>[7] R. Fayyazi, S. H. Trueba, M. Zuzak, and S. J. Yang, 'ProveRAG: Provenance-Driven Vulnerability Analysis with Automated Retrieval-Augmented LLMs,' IEEE Access, Dec. 2025.</w:t>
      </w:r>
    </w:p>
    <w:p>
      <w:pPr>
        <w:spacing w:before="20" w:after="60"/>
        <w:ind w:left="360"/>
      </w:pPr>
      <w:r>
        <w:rPr>
          <w:rFonts w:ascii="Calibri" w:hAnsi="Calibri"/>
          <w:sz w:val="19"/>
        </w:rPr>
        <w:t>[8] T. ZeMicheal, H. Chen, S. Davis, R. Allen, M. Demoret, and A. Song, 'LLM agents for vulnerability identification and verification of CVEs,' in Proc. CAMLIS'24, Arlington, VA, 2024.</w:t>
      </w:r>
    </w:p>
    <w:p>
      <w:pPr>
        <w:spacing w:before="20" w:after="60"/>
        <w:ind w:left="360"/>
      </w:pPr>
      <w:r>
        <w:rPr>
          <w:rFonts w:ascii="Calibri" w:hAnsi="Calibri"/>
          <w:sz w:val="19"/>
        </w:rPr>
        <w:t>[9] S. Chopra, H. Ahmad, D. Goel, and C. Szabo, 'ChatNVD: Advancing Cybersecurity Vulnerability Assessment with Large Language Models,' 2024.</w:t>
      </w:r>
    </w:p>
    <w:p>
      <w:pPr>
        <w:spacing w:before="20" w:after="60"/>
        <w:ind w:left="360"/>
      </w:pPr>
      <w:r>
        <w:rPr>
          <w:rFonts w:ascii="Calibri" w:hAnsi="Calibri"/>
          <w:sz w:val="19"/>
        </w:rPr>
        <w:t>[10] OWASP Foundation, 'OWASP Benchmark for Security Automation,' Version 0.1 (Python), 2026. [Online]. Available: https://github.com/OWASP-Benchmark/BenchmarkPython.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