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4000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057275"/>
                    </a:xfrm>
                    <a:prstGeom prst="rect">
                      <a:avLst/>
                    </a:prstGeom>
                  </pic:spPr>
                </pic:pic>
              </a:graphicData>
            </a:graphic>
          </wp:inline>
        </w:drawing>
      </w:r>
    </w:p>
    <w:p>
      <w:pPr>
        <w:spacing w:after="400"/>
        <w:jc w:val="center"/>
      </w:pPr>
      <w:r>
        <w:rPr>
          <w:color w:val="6B7690"/>
          <w:sz w:val="24"/>
          <w:szCs w:val="24"/>
        </w:rPr>
        <w:t xml:space="preserve">Master Build Prompt</w:t>
      </w:r>
    </w:p>
    <w:p>
      <w:pPr>
        <w:spacing w:after="140"/>
      </w:pPr>
      <w:r>
        <w:rPr>
          <w:i/>
          <w:iCs/>
          <w:color w:val="444444"/>
        </w:rPr>
        <w:t xml:space="preserve">Paste the sections below into your AI coding tool (Claude Code, Cursor, etc.) as the project brief. It contains the product spec, tech stack, data model, matching logic, screens, and design system in one place so nothing gets lost between sessions.</w:t>
      </w:r>
    </w:p>
    <w:p>
      <w:pPr>
        <w:pStyle w:val="Heading1"/>
        <w:spacing w:after="160" w:before="360"/>
      </w:pPr>
      <w:r>
        <w:t xml:space="preserve">1. What you're building</w:t>
      </w:r>
    </w:p>
    <w:p>
      <w:pPr>
        <w:spacing w:after="140"/>
      </w:pPr>
      <w:r>
        <w:t xml:space="preserve">EmptyMiles is a B2B logistics marketplace that connects businesses needing cargo moved with truck owners/fleets who have unused capacity — not just empty return trips, but partially loaded trucks with leftover space. A 20-ton truck carrying 12 tons from Ahmedabad to Surat still has 8 tons it could sell.</w:t>
      </w:r>
    </w:p>
    <w:p>
      <w:pPr>
        <w:spacing w:after="140"/>
      </w:pPr>
      <w:r>
        <w:t xml:space="preserve">Core differentiator — Cargo Hunt: instead of passively listing trucks and loads, the app actively searches for cargo that fits a truck's remaining capacity, route, and timing, and scores each match transparently.</w:t>
      </w:r>
    </w:p>
    <w:p>
      <w:pPr>
        <w:spacing w:after="140"/>
      </w:pPr>
      <w:r>
        <w:rPr>
          <w:b/>
          <w:bCs/>
          <w:color w:val="0B1730"/>
        </w:rPr>
        <w:t xml:space="preserve">Tagline: "Turn unused space into revenue."</w:t>
      </w:r>
    </w:p>
    <w:p>
      <w:pPr>
        <w:spacing w:after="140"/>
      </w:pPr>
      <w:r>
        <w:t xml:space="preserve">Reference competitors for tone/positioning (don't copy, differentiate on capacity-first matching): Porter, Vahak, Uber Freight.</w:t>
      </w:r>
    </w:p>
    <w:p>
      <w:pPr>
        <w:pStyle w:val="Heading1"/>
        <w:spacing w:after="160" w:before="360"/>
      </w:pPr>
      <w:r>
        <w:t xml:space="preserve">2.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B1730" w:val="clear"/>
            <w:tcMar>
              <w:top w:type="dxa" w:w="100"/>
              <w:left w:type="dxa" w:w="120"/>
              <w:bottom w:type="dxa" w:w="100"/>
              <w:right w:type="dxa" w:w="120"/>
            </w:tcMar>
          </w:tcPr>
          <w:p>
            <w:r>
              <w:rPr>
                <w:b/>
                <w:bCs/>
                <w:color w:val="FFFFFF"/>
                <w:sz w:val="20"/>
                <w:szCs w:val="20"/>
              </w:rPr>
              <w:t xml:space="preserve">Role</w:t>
            </w:r>
          </w:p>
        </w:tc>
        <w:tc>
          <w:tcPr>
            <w:tcW w:type="dxa" w:w="6550"/>
            <w:shd w:fill="0B1730" w:val="clear"/>
            <w:tcMar>
              <w:top w:type="dxa" w:w="100"/>
              <w:left w:type="dxa" w:w="120"/>
              <w:bottom w:type="dxa" w:w="100"/>
              <w:right w:type="dxa" w:w="120"/>
            </w:tcMar>
          </w:tcPr>
          <w:p>
            <w:r>
              <w:rPr>
                <w:b/>
                <w:bCs/>
                <w:color w:val="FFFFFF"/>
                <w:sz w:val="20"/>
                <w:szCs w:val="20"/>
              </w:rPr>
              <w:t xml:space="preserve">Can do</w:t>
            </w:r>
          </w:p>
        </w:tc>
      </w:tr>
      <w:tr>
        <w:tc>
          <w:tcPr>
            <w:tcW w:type="dxa" w:w="2800"/>
            <w:tcMar>
              <w:top w:type="dxa" w:w="100"/>
              <w:left w:type="dxa" w:w="120"/>
              <w:bottom w:type="dxa" w:w="100"/>
              <w:right w:type="dxa" w:w="120"/>
            </w:tcMar>
          </w:tcPr>
          <w:p>
            <w:r>
              <w:rPr>
                <w:b w:val="false"/>
                <w:bCs w:val="false"/>
                <w:color w:val="1A1F2B"/>
                <w:sz w:val="20"/>
                <w:szCs w:val="20"/>
              </w:rPr>
              <w:t xml:space="preserve">Shipper / Business</w:t>
            </w:r>
          </w:p>
        </w:tc>
        <w:tc>
          <w:tcPr>
            <w:tcW w:type="dxa" w:w="6550"/>
            <w:tcMar>
              <w:top w:type="dxa" w:w="100"/>
              <w:left w:type="dxa" w:w="120"/>
              <w:bottom w:type="dxa" w:w="100"/>
              <w:right w:type="dxa" w:w="120"/>
            </w:tcMar>
          </w:tcPr>
          <w:p>
            <w:r>
              <w:rPr>
                <w:b w:val="false"/>
                <w:bCs w:val="false"/>
                <w:color w:val="1A1F2B"/>
                <w:sz w:val="20"/>
                <w:szCs w:val="20"/>
              </w:rPr>
              <w:t xml:space="preserve">Post cargo, search capacity, review matches, book, track, pay, rate</w:t>
            </w:r>
          </w:p>
        </w:tc>
      </w:tr>
      <w:tr>
        <w:tc>
          <w:tcPr>
            <w:tcW w:type="dxa" w:w="2800"/>
            <w:tcMar>
              <w:top w:type="dxa" w:w="100"/>
              <w:left w:type="dxa" w:w="120"/>
              <w:bottom w:type="dxa" w:w="100"/>
              <w:right w:type="dxa" w:w="120"/>
            </w:tcMar>
          </w:tcPr>
          <w:p>
            <w:r>
              <w:rPr>
                <w:b w:val="false"/>
                <w:bCs w:val="false"/>
                <w:color w:val="1A1F2B"/>
                <w:sz w:val="20"/>
                <w:szCs w:val="20"/>
              </w:rPr>
              <w:t xml:space="preserve">Truck Owner / Driver</w:t>
            </w:r>
          </w:p>
        </w:tc>
        <w:tc>
          <w:tcPr>
            <w:tcW w:type="dxa" w:w="6550"/>
            <w:tcMar>
              <w:top w:type="dxa" w:w="100"/>
              <w:left w:type="dxa" w:w="120"/>
              <w:bottom w:type="dxa" w:w="100"/>
              <w:right w:type="dxa" w:w="120"/>
            </w:tcMar>
          </w:tcPr>
          <w:p>
            <w:r>
              <w:rPr>
                <w:b w:val="false"/>
                <w:bCs w:val="false"/>
                <w:color w:val="1A1F2B"/>
                <w:sz w:val="20"/>
                <w:szCs w:val="20"/>
              </w:rPr>
              <w:t xml:space="preserve">Manage vehicle profile, run Cargo Hunt, accept/negotiate bookings, navigate, update trip status, upload POD</w:t>
            </w:r>
          </w:p>
        </w:tc>
      </w:tr>
      <w:tr>
        <w:tc>
          <w:tcPr>
            <w:tcW w:type="dxa" w:w="2800"/>
            <w:tcMar>
              <w:top w:type="dxa" w:w="100"/>
              <w:left w:type="dxa" w:w="120"/>
              <w:bottom w:type="dxa" w:w="100"/>
              <w:right w:type="dxa" w:w="120"/>
            </w:tcMar>
          </w:tcPr>
          <w:p>
            <w:r>
              <w:rPr>
                <w:b w:val="false"/>
                <w:bCs w:val="false"/>
                <w:color w:val="1A1F2B"/>
                <w:sz w:val="20"/>
                <w:szCs w:val="20"/>
              </w:rPr>
              <w:t xml:space="preserve">Fleet Manager</w:t>
            </w:r>
          </w:p>
        </w:tc>
        <w:tc>
          <w:tcPr>
            <w:tcW w:type="dxa" w:w="6550"/>
            <w:tcMar>
              <w:top w:type="dxa" w:w="100"/>
              <w:left w:type="dxa" w:w="120"/>
              <w:bottom w:type="dxa" w:w="100"/>
              <w:right w:type="dxa" w:w="120"/>
            </w:tcMar>
          </w:tcPr>
          <w:p>
            <w:r>
              <w:rPr>
                <w:b w:val="false"/>
                <w:bCs w:val="false"/>
                <w:color w:val="1A1F2B"/>
                <w:sz w:val="20"/>
                <w:szCs w:val="20"/>
              </w:rPr>
              <w:t xml:space="preserve">Manage multiple vehicles/drivers, capacity, trips, utilization, documents, earnings</w:t>
            </w:r>
          </w:p>
        </w:tc>
      </w:tr>
      <w:tr>
        <w:tc>
          <w:tcPr>
            <w:tcW w:type="dxa" w:w="2800"/>
            <w:tcMar>
              <w:top w:type="dxa" w:w="100"/>
              <w:left w:type="dxa" w:w="120"/>
              <w:bottom w:type="dxa" w:w="100"/>
              <w:right w:type="dxa" w:w="120"/>
            </w:tcMar>
          </w:tcPr>
          <w:p>
            <w:r>
              <w:rPr>
                <w:b w:val="false"/>
                <w:bCs w:val="false"/>
                <w:color w:val="1A1F2B"/>
                <w:sz w:val="20"/>
                <w:szCs w:val="20"/>
              </w:rPr>
              <w:t xml:space="preserve">Operations / Support</w:t>
            </w:r>
          </w:p>
        </w:tc>
        <w:tc>
          <w:tcPr>
            <w:tcW w:type="dxa" w:w="6550"/>
            <w:tcMar>
              <w:top w:type="dxa" w:w="100"/>
              <w:left w:type="dxa" w:w="120"/>
              <w:bottom w:type="dxa" w:w="100"/>
              <w:right w:type="dxa" w:w="120"/>
            </w:tcMar>
          </w:tcPr>
          <w:p>
            <w:r>
              <w:rPr>
                <w:b w:val="false"/>
                <w:bCs w:val="false"/>
                <w:color w:val="1A1F2B"/>
                <w:sz w:val="20"/>
                <w:szCs w:val="20"/>
              </w:rPr>
              <w:t xml:space="preserve">Monitor trips, resolve exceptions, handle disputes</w:t>
            </w:r>
          </w:p>
        </w:tc>
      </w:tr>
      <w:tr>
        <w:tc>
          <w:tcPr>
            <w:tcW w:type="dxa" w:w="2800"/>
            <w:tcMar>
              <w:top w:type="dxa" w:w="100"/>
              <w:left w:type="dxa" w:w="120"/>
              <w:bottom w:type="dxa" w:w="100"/>
              <w:right w:type="dxa" w:w="120"/>
            </w:tcMar>
          </w:tcPr>
          <w:p>
            <w:r>
              <w:rPr>
                <w:b w:val="false"/>
                <w:bCs w:val="false"/>
                <w:color w:val="1A1F2B"/>
                <w:sz w:val="20"/>
                <w:szCs w:val="20"/>
              </w:rPr>
              <w:t xml:space="preserve">Admin</w:t>
            </w:r>
          </w:p>
        </w:tc>
        <w:tc>
          <w:tcPr>
            <w:tcW w:type="dxa" w:w="6550"/>
            <w:tcMar>
              <w:top w:type="dxa" w:w="100"/>
              <w:left w:type="dxa" w:w="120"/>
              <w:bottom w:type="dxa" w:w="100"/>
              <w:right w:type="dxa" w:w="120"/>
            </w:tcMar>
          </w:tcPr>
          <w:p>
            <w:r>
              <w:rPr>
                <w:b w:val="false"/>
                <w:bCs w:val="false"/>
                <w:color w:val="1A1F2B"/>
                <w:sz w:val="20"/>
                <w:szCs w:val="20"/>
              </w:rPr>
              <w:t xml:space="preserve">Verification, users, vehicles, cargo, bookings, payments, disputes, analytics, fraud controls</w:t>
            </w:r>
          </w:p>
        </w:tc>
      </w:tr>
    </w:tbl>
    <w:p>
      <w:pPr>
        <w:spacing w:after="140"/>
      </w:pPr>
      <w:r>
        <w:t xml:space="preserve">Build one Flutter app with role-based experiences (not separate apps), plus a separate Next.js admin portal.</w:t>
      </w:r>
    </w:p>
    <w:p>
      <w:pPr>
        <w:pStyle w:val="Heading1"/>
        <w:spacing w:after="160" w:before="360"/>
      </w:pPr>
      <w:r>
        <w:t xml:space="preserve">3. Tech stack (use exactly this — chosen for speed now + scale later)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B1730" w:val="clear"/>
            <w:tcMar>
              <w:top w:type="dxa" w:w="100"/>
              <w:left w:type="dxa" w:w="120"/>
              <w:bottom w:type="dxa" w:w="100"/>
              <w:right w:type="dxa" w:w="120"/>
            </w:tcMar>
          </w:tcPr>
          <w:p>
            <w:r>
              <w:rPr>
                <w:b/>
                <w:bCs/>
                <w:color w:val="FFFFFF"/>
                <w:sz w:val="20"/>
                <w:szCs w:val="20"/>
              </w:rPr>
              <w:t xml:space="preserve">Layer</w:t>
            </w:r>
          </w:p>
        </w:tc>
        <w:tc>
          <w:tcPr>
            <w:tcW w:type="dxa" w:w="6550"/>
            <w:shd w:fill="0B1730" w:val="clear"/>
            <w:tcMar>
              <w:top w:type="dxa" w:w="100"/>
              <w:left w:type="dxa" w:w="120"/>
              <w:bottom w:type="dxa" w:w="100"/>
              <w:right w:type="dxa" w:w="120"/>
            </w:tcMar>
          </w:tcPr>
          <w:p>
            <w:r>
              <w:rPr>
                <w:b/>
                <w:bCs/>
                <w:color w:val="FFFFFF"/>
                <w:sz w:val="20"/>
                <w:szCs w:val="20"/>
              </w:rPr>
              <w:t xml:space="preserve">Technology</w:t>
            </w:r>
          </w:p>
        </w:tc>
      </w:tr>
      <w:tr>
        <w:tc>
          <w:tcPr>
            <w:tcW w:type="dxa" w:w="2800"/>
            <w:tcMar>
              <w:top w:type="dxa" w:w="100"/>
              <w:left w:type="dxa" w:w="120"/>
              <w:bottom w:type="dxa" w:w="100"/>
              <w:right w:type="dxa" w:w="120"/>
            </w:tcMar>
          </w:tcPr>
          <w:p>
            <w:r>
              <w:rPr>
                <w:b w:val="false"/>
                <w:bCs w:val="false"/>
                <w:color w:val="1A1F2B"/>
                <w:sz w:val="20"/>
                <w:szCs w:val="20"/>
              </w:rPr>
              <w:t xml:space="preserve">Mobile app</w:t>
            </w:r>
          </w:p>
        </w:tc>
        <w:tc>
          <w:tcPr>
            <w:tcW w:type="dxa" w:w="6550"/>
            <w:tcMar>
              <w:top w:type="dxa" w:w="100"/>
              <w:left w:type="dxa" w:w="120"/>
              <w:bottom w:type="dxa" w:w="100"/>
              <w:right w:type="dxa" w:w="120"/>
            </w:tcMar>
          </w:tcPr>
          <w:p>
            <w:r>
              <w:rPr>
                <w:b w:val="false"/>
                <w:bCs w:val="false"/>
                <w:color w:val="1A1F2B"/>
                <w:sz w:val="20"/>
                <w:szCs w:val="20"/>
              </w:rPr>
              <w:t xml:space="preserve">Flutter + Dart</w:t>
            </w:r>
          </w:p>
        </w:tc>
      </w:tr>
      <w:tr>
        <w:tc>
          <w:tcPr>
            <w:tcW w:type="dxa" w:w="2800"/>
            <w:tcMar>
              <w:top w:type="dxa" w:w="100"/>
              <w:left w:type="dxa" w:w="120"/>
              <w:bottom w:type="dxa" w:w="100"/>
              <w:right w:type="dxa" w:w="120"/>
            </w:tcMar>
          </w:tcPr>
          <w:p>
            <w:r>
              <w:rPr>
                <w:b w:val="false"/>
                <w:bCs w:val="false"/>
                <w:color w:val="1A1F2B"/>
                <w:sz w:val="20"/>
                <w:szCs w:val="20"/>
              </w:rPr>
              <w:t xml:space="preserve">Mobile state management</w:t>
            </w:r>
          </w:p>
        </w:tc>
        <w:tc>
          <w:tcPr>
            <w:tcW w:type="dxa" w:w="6550"/>
            <w:tcMar>
              <w:top w:type="dxa" w:w="100"/>
              <w:left w:type="dxa" w:w="120"/>
              <w:bottom w:type="dxa" w:w="100"/>
              <w:right w:type="dxa" w:w="120"/>
            </w:tcMar>
          </w:tcPr>
          <w:p>
            <w:r>
              <w:rPr>
                <w:b w:val="false"/>
                <w:bCs w:val="false"/>
                <w:color w:val="1A1F2B"/>
                <w:sz w:val="20"/>
                <w:szCs w:val="20"/>
              </w:rPr>
              <w:t xml:space="preserve">Riverpod</w:t>
            </w:r>
          </w:p>
        </w:tc>
      </w:tr>
      <w:tr>
        <w:tc>
          <w:tcPr>
            <w:tcW w:type="dxa" w:w="2800"/>
            <w:tcMar>
              <w:top w:type="dxa" w:w="100"/>
              <w:left w:type="dxa" w:w="120"/>
              <w:bottom w:type="dxa" w:w="100"/>
              <w:right w:type="dxa" w:w="120"/>
            </w:tcMar>
          </w:tcPr>
          <w:p>
            <w:r>
              <w:rPr>
                <w:b w:val="false"/>
                <w:bCs w:val="false"/>
                <w:color w:val="1A1F2B"/>
                <w:sz w:val="20"/>
                <w:szCs w:val="20"/>
              </w:rPr>
              <w:t xml:space="preserve">Mobile networking</w:t>
            </w:r>
          </w:p>
        </w:tc>
        <w:tc>
          <w:tcPr>
            <w:tcW w:type="dxa" w:w="6550"/>
            <w:tcMar>
              <w:top w:type="dxa" w:w="100"/>
              <w:left w:type="dxa" w:w="120"/>
              <w:bottom w:type="dxa" w:w="100"/>
              <w:right w:type="dxa" w:w="120"/>
            </w:tcMar>
          </w:tcPr>
          <w:p>
            <w:r>
              <w:rPr>
                <w:b w:val="false"/>
                <w:bCs w:val="false"/>
                <w:color w:val="1A1F2B"/>
                <w:sz w:val="20"/>
                <w:szCs w:val="20"/>
              </w:rPr>
              <w:t xml:space="preserve">Dio (interceptors, centralized errors/retries)</w:t>
            </w:r>
          </w:p>
        </w:tc>
      </w:tr>
      <w:tr>
        <w:tc>
          <w:tcPr>
            <w:tcW w:type="dxa" w:w="2800"/>
            <w:tcMar>
              <w:top w:type="dxa" w:w="100"/>
              <w:left w:type="dxa" w:w="120"/>
              <w:bottom w:type="dxa" w:w="100"/>
              <w:right w:type="dxa" w:w="120"/>
            </w:tcMar>
          </w:tcPr>
          <w:p>
            <w:r>
              <w:rPr>
                <w:b w:val="false"/>
                <w:bCs w:val="false"/>
                <w:color w:val="1A1F2B"/>
                <w:sz w:val="20"/>
                <w:szCs w:val="20"/>
              </w:rPr>
              <w:t xml:space="preserve">Mobile navigation</w:t>
            </w:r>
          </w:p>
        </w:tc>
        <w:tc>
          <w:tcPr>
            <w:tcW w:type="dxa" w:w="6550"/>
            <w:tcMar>
              <w:top w:type="dxa" w:w="100"/>
              <w:left w:type="dxa" w:w="120"/>
              <w:bottom w:type="dxa" w:w="100"/>
              <w:right w:type="dxa" w:w="120"/>
            </w:tcMar>
          </w:tcPr>
          <w:p>
            <w:r>
              <w:rPr>
                <w:b w:val="false"/>
                <w:bCs w:val="false"/>
                <w:color w:val="1A1F2B"/>
                <w:sz w:val="20"/>
                <w:szCs w:val="20"/>
              </w:rPr>
              <w:t xml:space="preserve">GoRouter (role-aware routing)</w:t>
            </w:r>
          </w:p>
        </w:tc>
      </w:tr>
      <w:tr>
        <w:tc>
          <w:tcPr>
            <w:tcW w:type="dxa" w:w="2800"/>
            <w:tcMar>
              <w:top w:type="dxa" w:w="100"/>
              <w:left w:type="dxa" w:w="120"/>
              <w:bottom w:type="dxa" w:w="100"/>
              <w:right w:type="dxa" w:w="120"/>
            </w:tcMar>
          </w:tcPr>
          <w:p>
            <w:r>
              <w:rPr>
                <w:b w:val="false"/>
                <w:bCs w:val="false"/>
                <w:color w:val="1A1F2B"/>
                <w:sz w:val="20"/>
                <w:szCs w:val="20"/>
              </w:rPr>
              <w:t xml:space="preserve">Admin web</w:t>
            </w:r>
          </w:p>
        </w:tc>
        <w:tc>
          <w:tcPr>
            <w:tcW w:type="dxa" w:w="6550"/>
            <w:tcMar>
              <w:top w:type="dxa" w:w="100"/>
              <w:left w:type="dxa" w:w="120"/>
              <w:bottom w:type="dxa" w:w="100"/>
              <w:right w:type="dxa" w:w="120"/>
            </w:tcMar>
          </w:tcPr>
          <w:p>
            <w:r>
              <w:rPr>
                <w:b w:val="false"/>
                <w:bCs w:val="false"/>
                <w:color w:val="1A1F2B"/>
                <w:sz w:val="20"/>
                <w:szCs w:val="20"/>
              </w:rPr>
              <w:t xml:space="preserve">Next.js + TypeScript</w:t>
            </w:r>
          </w:p>
        </w:tc>
      </w:tr>
      <w:tr>
        <w:tc>
          <w:tcPr>
            <w:tcW w:type="dxa" w:w="2800"/>
            <w:tcMar>
              <w:top w:type="dxa" w:w="100"/>
              <w:left w:type="dxa" w:w="120"/>
              <w:bottom w:type="dxa" w:w="100"/>
              <w:right w:type="dxa" w:w="120"/>
            </w:tcMar>
          </w:tcPr>
          <w:p>
            <w:r>
              <w:rPr>
                <w:b w:val="false"/>
                <w:bCs w:val="false"/>
                <w:color w:val="1A1F2B"/>
                <w:sz w:val="20"/>
                <w:szCs w:val="20"/>
              </w:rPr>
              <w:t xml:space="preserve">Backend</w:t>
            </w:r>
          </w:p>
        </w:tc>
        <w:tc>
          <w:tcPr>
            <w:tcW w:type="dxa" w:w="6550"/>
            <w:tcMar>
              <w:top w:type="dxa" w:w="100"/>
              <w:left w:type="dxa" w:w="120"/>
              <w:bottom w:type="dxa" w:w="100"/>
              <w:right w:type="dxa" w:w="120"/>
            </w:tcMar>
          </w:tcPr>
          <w:p>
            <w:r>
              <w:rPr>
                <w:b w:val="false"/>
                <w:bCs w:val="false"/>
                <w:color w:val="1A1F2B"/>
                <w:sz w:val="20"/>
                <w:szCs w:val="20"/>
              </w:rPr>
              <w:t xml:space="preserve">NestJS + TypeScript, modular monolith (strict module boundaries, one deployable)</w:t>
            </w:r>
          </w:p>
        </w:tc>
      </w:tr>
      <w:tr>
        <w:tc>
          <w:tcPr>
            <w:tcW w:type="dxa" w:w="2800"/>
            <w:tcMar>
              <w:top w:type="dxa" w:w="100"/>
              <w:left w:type="dxa" w:w="120"/>
              <w:bottom w:type="dxa" w:w="100"/>
              <w:right w:type="dxa" w:w="120"/>
            </w:tcMar>
          </w:tcPr>
          <w:p>
            <w:r>
              <w:rPr>
                <w:b w:val="false"/>
                <w:bCs w:val="false"/>
                <w:color w:val="1A1F2B"/>
                <w:sz w:val="20"/>
                <w:szCs w:val="20"/>
              </w:rPr>
              <w:t xml:space="preserve">API style</w:t>
            </w:r>
          </w:p>
        </w:tc>
        <w:tc>
          <w:tcPr>
            <w:tcW w:type="dxa" w:w="6550"/>
            <w:tcMar>
              <w:top w:type="dxa" w:w="100"/>
              <w:left w:type="dxa" w:w="120"/>
              <w:bottom w:type="dxa" w:w="100"/>
              <w:right w:type="dxa" w:w="120"/>
            </w:tcMar>
          </w:tcPr>
          <w:p>
            <w:r>
              <w:rPr>
                <w:b w:val="false"/>
                <w:bCs w:val="false"/>
                <w:color w:val="1A1F2B"/>
                <w:sz w:val="20"/>
                <w:szCs w:val="20"/>
              </w:rPr>
              <w:t xml:space="preserve">REST for business APIs, WebSockets for live trip/tracking events</w:t>
            </w:r>
          </w:p>
        </w:tc>
      </w:tr>
      <w:tr>
        <w:tc>
          <w:tcPr>
            <w:tcW w:type="dxa" w:w="2800"/>
            <w:tcMar>
              <w:top w:type="dxa" w:w="100"/>
              <w:left w:type="dxa" w:w="120"/>
              <w:bottom w:type="dxa" w:w="100"/>
              <w:right w:type="dxa" w:w="120"/>
            </w:tcMar>
          </w:tcPr>
          <w:p>
            <w:r>
              <w:rPr>
                <w:b w:val="false"/>
                <w:bCs w:val="false"/>
                <w:color w:val="1A1F2B"/>
                <w:sz w:val="20"/>
                <w:szCs w:val="20"/>
              </w:rPr>
              <w:t xml:space="preserve">Database</w:t>
            </w:r>
          </w:p>
        </w:tc>
        <w:tc>
          <w:tcPr>
            <w:tcW w:type="dxa" w:w="6550"/>
            <w:tcMar>
              <w:top w:type="dxa" w:w="100"/>
              <w:left w:type="dxa" w:w="120"/>
              <w:bottom w:type="dxa" w:w="100"/>
              <w:right w:type="dxa" w:w="120"/>
            </w:tcMar>
          </w:tcPr>
          <w:p>
            <w:r>
              <w:rPr>
                <w:b w:val="false"/>
                <w:bCs w:val="false"/>
                <w:color w:val="1A1F2B"/>
                <w:sz w:val="20"/>
                <w:szCs w:val="20"/>
              </w:rPr>
              <w:t xml:space="preserve">PostgreSQL + PostGIS (transactions + geospatial queries)</w:t>
            </w:r>
          </w:p>
        </w:tc>
      </w:tr>
      <w:tr>
        <w:tc>
          <w:tcPr>
            <w:tcW w:type="dxa" w:w="2800"/>
            <w:tcMar>
              <w:top w:type="dxa" w:w="100"/>
              <w:left w:type="dxa" w:w="120"/>
              <w:bottom w:type="dxa" w:w="100"/>
              <w:right w:type="dxa" w:w="120"/>
            </w:tcMar>
          </w:tcPr>
          <w:p>
            <w:r>
              <w:rPr>
                <w:b w:val="false"/>
                <w:bCs w:val="false"/>
                <w:color w:val="1A1F2B"/>
                <w:sz w:val="20"/>
                <w:szCs w:val="20"/>
              </w:rPr>
              <w:t xml:space="preserve">Cache / jobs</w:t>
            </w:r>
          </w:p>
        </w:tc>
        <w:tc>
          <w:tcPr>
            <w:tcW w:type="dxa" w:w="6550"/>
            <w:tcMar>
              <w:top w:type="dxa" w:w="100"/>
              <w:left w:type="dxa" w:w="120"/>
              <w:bottom w:type="dxa" w:w="100"/>
              <w:right w:type="dxa" w:w="120"/>
            </w:tcMar>
          </w:tcPr>
          <w:p>
            <w:r>
              <w:rPr>
                <w:b w:val="false"/>
                <w:bCs w:val="false"/>
                <w:color w:val="1A1F2B"/>
                <w:sz w:val="20"/>
                <w:szCs w:val="20"/>
              </w:rPr>
              <w:t xml:space="preserve">Redis + BullMQ (background jobs, retries, async work)</w:t>
            </w:r>
          </w:p>
        </w:tc>
      </w:tr>
      <w:tr>
        <w:tc>
          <w:tcPr>
            <w:tcW w:type="dxa" w:w="2800"/>
            <w:tcMar>
              <w:top w:type="dxa" w:w="100"/>
              <w:left w:type="dxa" w:w="120"/>
              <w:bottom w:type="dxa" w:w="100"/>
              <w:right w:type="dxa" w:w="120"/>
            </w:tcMar>
          </w:tcPr>
          <w:p>
            <w:r>
              <w:rPr>
                <w:b w:val="false"/>
                <w:bCs w:val="false"/>
                <w:color w:val="1A1F2B"/>
                <w:sz w:val="20"/>
                <w:szCs w:val="20"/>
              </w:rPr>
              <w:t xml:space="preserve">Maps</w:t>
            </w:r>
          </w:p>
        </w:tc>
        <w:tc>
          <w:tcPr>
            <w:tcW w:type="dxa" w:w="6550"/>
            <w:tcMar>
              <w:top w:type="dxa" w:w="100"/>
              <w:left w:type="dxa" w:w="120"/>
              <w:bottom w:type="dxa" w:w="100"/>
              <w:right w:type="dxa" w:w="120"/>
            </w:tcMar>
          </w:tcPr>
          <w:p>
            <w:r>
              <w:rPr>
                <w:b w:val="false"/>
                <w:bCs w:val="false"/>
                <w:color w:val="1A1F2B"/>
                <w:sz w:val="20"/>
                <w:szCs w:val="20"/>
              </w:rPr>
              <w:t xml:space="preserve">Google Maps Platform (Routes API for route/ETA/detour calculations)</w:t>
            </w:r>
          </w:p>
        </w:tc>
      </w:tr>
      <w:tr>
        <w:tc>
          <w:tcPr>
            <w:tcW w:type="dxa" w:w="2800"/>
            <w:tcMar>
              <w:top w:type="dxa" w:w="100"/>
              <w:left w:type="dxa" w:w="120"/>
              <w:bottom w:type="dxa" w:w="100"/>
              <w:right w:type="dxa" w:w="120"/>
            </w:tcMar>
          </w:tcPr>
          <w:p>
            <w:r>
              <w:rPr>
                <w:b w:val="false"/>
                <w:bCs w:val="false"/>
                <w:color w:val="1A1F2B"/>
                <w:sz w:val="20"/>
                <w:szCs w:val="20"/>
              </w:rPr>
              <w:t xml:space="preserve">File storage</w:t>
            </w:r>
          </w:p>
        </w:tc>
        <w:tc>
          <w:tcPr>
            <w:tcW w:type="dxa" w:w="6550"/>
            <w:tcMar>
              <w:top w:type="dxa" w:w="100"/>
              <w:left w:type="dxa" w:w="120"/>
              <w:bottom w:type="dxa" w:w="100"/>
              <w:right w:type="dxa" w:w="120"/>
            </w:tcMar>
          </w:tcPr>
          <w:p>
            <w:r>
              <w:rPr>
                <w:b w:val="false"/>
                <w:bCs w:val="false"/>
                <w:color w:val="1A1F2B"/>
                <w:sz w:val="20"/>
                <w:szCs w:val="20"/>
              </w:rPr>
              <w:t xml:space="preserve">Amazon S3 (POD, documents, media) + CDN</w:t>
            </w:r>
          </w:p>
        </w:tc>
      </w:tr>
      <w:tr>
        <w:tc>
          <w:tcPr>
            <w:tcW w:type="dxa" w:w="2800"/>
            <w:tcMar>
              <w:top w:type="dxa" w:w="100"/>
              <w:left w:type="dxa" w:w="120"/>
              <w:bottom w:type="dxa" w:w="100"/>
              <w:right w:type="dxa" w:w="120"/>
            </w:tcMar>
          </w:tcPr>
          <w:p>
            <w:r>
              <w:rPr>
                <w:b w:val="false"/>
                <w:bCs w:val="false"/>
                <w:color w:val="1A1F2B"/>
                <w:sz w:val="20"/>
                <w:szCs w:val="20"/>
              </w:rPr>
              <w:t xml:space="preserve">Auth</w:t>
            </w:r>
          </w:p>
        </w:tc>
        <w:tc>
          <w:tcPr>
            <w:tcW w:type="dxa" w:w="6550"/>
            <w:tcMar>
              <w:top w:type="dxa" w:w="100"/>
              <w:left w:type="dxa" w:w="120"/>
              <w:bottom w:type="dxa" w:w="100"/>
              <w:right w:type="dxa" w:w="120"/>
            </w:tcMar>
          </w:tcPr>
          <w:p>
            <w:r>
              <w:rPr>
                <w:b w:val="false"/>
                <w:bCs w:val="false"/>
                <w:color w:val="1A1F2B"/>
                <w:sz w:val="20"/>
                <w:szCs w:val="20"/>
              </w:rPr>
              <w:t xml:space="preserve">Firebase Auth or managed OTP provider (phone-based), backend does authorization</w:t>
            </w:r>
          </w:p>
        </w:tc>
      </w:tr>
      <w:tr>
        <w:tc>
          <w:tcPr>
            <w:tcW w:type="dxa" w:w="2800"/>
            <w:tcMar>
              <w:top w:type="dxa" w:w="100"/>
              <w:left w:type="dxa" w:w="120"/>
              <w:bottom w:type="dxa" w:w="100"/>
              <w:right w:type="dxa" w:w="120"/>
            </w:tcMar>
          </w:tcPr>
          <w:p>
            <w:r>
              <w:rPr>
                <w:b w:val="false"/>
                <w:bCs w:val="false"/>
                <w:color w:val="1A1F2B"/>
                <w:sz w:val="20"/>
                <w:szCs w:val="20"/>
              </w:rPr>
              <w:t xml:space="preserve">Push notifications</w:t>
            </w:r>
          </w:p>
        </w:tc>
        <w:tc>
          <w:tcPr>
            <w:tcW w:type="dxa" w:w="6550"/>
            <w:tcMar>
              <w:top w:type="dxa" w:w="100"/>
              <w:left w:type="dxa" w:w="120"/>
              <w:bottom w:type="dxa" w:w="100"/>
              <w:right w:type="dxa" w:w="120"/>
            </w:tcMar>
          </w:tcPr>
          <w:p>
            <w:r>
              <w:rPr>
                <w:b w:val="false"/>
                <w:bCs w:val="false"/>
                <w:color w:val="1A1F2B"/>
                <w:sz w:val="20"/>
                <w:szCs w:val="20"/>
              </w:rPr>
              <w:t xml:space="preserve">Firebase Cloud Messaging</w:t>
            </w:r>
          </w:p>
        </w:tc>
      </w:tr>
      <w:tr>
        <w:tc>
          <w:tcPr>
            <w:tcW w:type="dxa" w:w="2800"/>
            <w:tcMar>
              <w:top w:type="dxa" w:w="100"/>
              <w:left w:type="dxa" w:w="120"/>
              <w:bottom w:type="dxa" w:w="100"/>
              <w:right w:type="dxa" w:w="120"/>
            </w:tcMar>
          </w:tcPr>
          <w:p>
            <w:r>
              <w:rPr>
                <w:b w:val="false"/>
                <w:bCs w:val="false"/>
                <w:color w:val="1A1F2B"/>
                <w:sz w:val="20"/>
                <w:szCs w:val="20"/>
              </w:rPr>
              <w:t xml:space="preserve">Payments</w:t>
            </w:r>
          </w:p>
        </w:tc>
        <w:tc>
          <w:tcPr>
            <w:tcW w:type="dxa" w:w="6550"/>
            <w:tcMar>
              <w:top w:type="dxa" w:w="100"/>
              <w:left w:type="dxa" w:w="120"/>
              <w:bottom w:type="dxa" w:w="100"/>
              <w:right w:type="dxa" w:w="120"/>
            </w:tcMar>
          </w:tcPr>
          <w:p>
            <w:r>
              <w:rPr>
                <w:b w:val="false"/>
                <w:bCs w:val="false"/>
                <w:color w:val="1A1F2B"/>
                <w:sz w:val="20"/>
                <w:szCs w:val="20"/>
              </w:rPr>
              <w:t xml:space="preserve">Razorpay (India-focused)</w:t>
            </w:r>
          </w:p>
        </w:tc>
      </w:tr>
      <w:tr>
        <w:tc>
          <w:tcPr>
            <w:tcW w:type="dxa" w:w="2800"/>
            <w:tcMar>
              <w:top w:type="dxa" w:w="100"/>
              <w:left w:type="dxa" w:w="120"/>
              <w:bottom w:type="dxa" w:w="100"/>
              <w:right w:type="dxa" w:w="120"/>
            </w:tcMar>
          </w:tcPr>
          <w:p>
            <w:r>
              <w:rPr>
                <w:b w:val="false"/>
                <w:bCs w:val="false"/>
                <w:color w:val="1A1F2B"/>
                <w:sz w:val="20"/>
                <w:szCs w:val="20"/>
              </w:rPr>
              <w:t xml:space="preserve">Infra</w:t>
            </w:r>
          </w:p>
        </w:tc>
        <w:tc>
          <w:tcPr>
            <w:tcW w:type="dxa" w:w="6550"/>
            <w:tcMar>
              <w:top w:type="dxa" w:w="100"/>
              <w:left w:type="dxa" w:w="120"/>
              <w:bottom w:type="dxa" w:w="100"/>
              <w:right w:type="dxa" w:w="120"/>
            </w:tcMar>
          </w:tcPr>
          <w:p>
            <w:r>
              <w:rPr>
                <w:b w:val="false"/>
                <w:bCs w:val="false"/>
                <w:color w:val="1A1F2B"/>
                <w:sz w:val="20"/>
                <w:szCs w:val="20"/>
              </w:rPr>
              <w:t xml:space="preserve">AWS + Docker, Application Load Balancer, RDS PostgreSQL Multi-AZ + read replicas</w:t>
            </w:r>
          </w:p>
        </w:tc>
      </w:tr>
      <w:tr>
        <w:tc>
          <w:tcPr>
            <w:tcW w:type="dxa" w:w="2800"/>
            <w:tcMar>
              <w:top w:type="dxa" w:w="100"/>
              <w:left w:type="dxa" w:w="120"/>
              <w:bottom w:type="dxa" w:w="100"/>
              <w:right w:type="dxa" w:w="120"/>
            </w:tcMar>
          </w:tcPr>
          <w:p>
            <w:r>
              <w:rPr>
                <w:b w:val="false"/>
                <w:bCs w:val="false"/>
                <w:color w:val="1A1F2B"/>
                <w:sz w:val="20"/>
                <w:szCs w:val="20"/>
              </w:rPr>
              <w:t xml:space="preserve">Monitoring</w:t>
            </w:r>
          </w:p>
        </w:tc>
        <w:tc>
          <w:tcPr>
            <w:tcW w:type="dxa" w:w="6550"/>
            <w:tcMar>
              <w:top w:type="dxa" w:w="100"/>
              <w:left w:type="dxa" w:w="120"/>
              <w:bottom w:type="dxa" w:w="100"/>
              <w:right w:type="dxa" w:w="120"/>
            </w:tcMar>
          </w:tcPr>
          <w:p>
            <w:r>
              <w:rPr>
                <w:b w:val="false"/>
                <w:bCs w:val="false"/>
                <w:color w:val="1A1F2B"/>
                <w:sz w:val="20"/>
                <w:szCs w:val="20"/>
              </w:rPr>
              <w:t xml:space="preserve">Sentry (errors/perf) + CloudWatch (infra)</w:t>
            </w:r>
          </w:p>
        </w:tc>
      </w:tr>
      <w:tr>
        <w:tc>
          <w:tcPr>
            <w:tcW w:type="dxa" w:w="2800"/>
            <w:tcMar>
              <w:top w:type="dxa" w:w="100"/>
              <w:left w:type="dxa" w:w="120"/>
              <w:bottom w:type="dxa" w:w="100"/>
              <w:right w:type="dxa" w:w="120"/>
            </w:tcMar>
          </w:tcPr>
          <w:p>
            <w:r>
              <w:rPr>
                <w:b w:val="false"/>
                <w:bCs w:val="false"/>
                <w:color w:val="1A1F2B"/>
                <w:sz w:val="20"/>
                <w:szCs w:val="20"/>
              </w:rPr>
              <w:t xml:space="preserve">CI/CD</w:t>
            </w:r>
          </w:p>
        </w:tc>
        <w:tc>
          <w:tcPr>
            <w:tcW w:type="dxa" w:w="6550"/>
            <w:tcMar>
              <w:top w:type="dxa" w:w="100"/>
              <w:left w:type="dxa" w:w="120"/>
              <w:bottom w:type="dxa" w:w="100"/>
              <w:right w:type="dxa" w:w="120"/>
            </w:tcMar>
          </w:tcPr>
          <w:p>
            <w:r>
              <w:rPr>
                <w:b w:val="false"/>
                <w:bCs w:val="false"/>
                <w:color w:val="1A1F2B"/>
                <w:sz w:val="20"/>
                <w:szCs w:val="20"/>
              </w:rPr>
              <w:t xml:space="preserve">GitHub Actions</w:t>
            </w:r>
          </w:p>
        </w:tc>
      </w:tr>
      <w:tr>
        <w:tc>
          <w:tcPr>
            <w:tcW w:type="dxa" w:w="2800"/>
            <w:tcMar>
              <w:top w:type="dxa" w:w="100"/>
              <w:left w:type="dxa" w:w="120"/>
              <w:bottom w:type="dxa" w:w="100"/>
              <w:right w:type="dxa" w:w="120"/>
            </w:tcMar>
          </w:tcPr>
          <w:p>
            <w:r>
              <w:rPr>
                <w:b w:val="false"/>
                <w:bCs w:val="false"/>
                <w:color w:val="1A1F2B"/>
                <w:sz w:val="20"/>
                <w:szCs w:val="20"/>
              </w:rPr>
              <w:t xml:space="preserve">API docs</w:t>
            </w:r>
          </w:p>
        </w:tc>
        <w:tc>
          <w:tcPr>
            <w:tcW w:type="dxa" w:w="6550"/>
            <w:tcMar>
              <w:top w:type="dxa" w:w="100"/>
              <w:left w:type="dxa" w:w="120"/>
              <w:bottom w:type="dxa" w:w="100"/>
              <w:right w:type="dxa" w:w="120"/>
            </w:tcMar>
          </w:tcPr>
          <w:p>
            <w:r>
              <w:rPr>
                <w:b w:val="false"/>
                <w:bCs w:val="false"/>
                <w:color w:val="1A1F2B"/>
                <w:sz w:val="20"/>
                <w:szCs w:val="20"/>
              </w:rPr>
              <w:t xml:space="preserve">OpenAPI / Swagger</w:t>
            </w:r>
          </w:p>
        </w:tc>
      </w:tr>
      <w:tr>
        <w:tc>
          <w:tcPr>
            <w:tcW w:type="dxa" w:w="2800"/>
            <w:tcMar>
              <w:top w:type="dxa" w:w="100"/>
              <w:left w:type="dxa" w:w="120"/>
              <w:bottom w:type="dxa" w:w="100"/>
              <w:right w:type="dxa" w:w="120"/>
            </w:tcMar>
          </w:tcPr>
          <w:p>
            <w:r>
              <w:rPr>
                <w:b w:val="false"/>
                <w:bCs w:val="false"/>
                <w:color w:val="1A1F2B"/>
                <w:sz w:val="20"/>
                <w:szCs w:val="20"/>
              </w:rPr>
              <w:t xml:space="preserve">Future ML layer</w:t>
            </w:r>
          </w:p>
        </w:tc>
        <w:tc>
          <w:tcPr>
            <w:tcW w:type="dxa" w:w="6550"/>
            <w:tcMar>
              <w:top w:type="dxa" w:w="100"/>
              <w:left w:type="dxa" w:w="120"/>
              <w:bottom w:type="dxa" w:w="100"/>
              <w:right w:type="dxa" w:w="120"/>
            </w:tcMar>
          </w:tcPr>
          <w:p>
            <w:r>
              <w:rPr>
                <w:b w:val="false"/>
                <w:bCs w:val="false"/>
                <w:color w:val="1A1F2B"/>
                <w:sz w:val="20"/>
                <w:szCs w:val="20"/>
              </w:rPr>
              <w:t xml:space="preserve">Python + FastAPI (separate service, added once there's enough trip data)</w:t>
            </w:r>
          </w:p>
        </w:tc>
      </w:tr>
    </w:tbl>
    <w:p>
      <w:pPr>
        <w:spacing w:after="140"/>
      </w:pPr>
      <w:r>
        <w:rPr>
          <w:b/>
          <w:bCs/>
        </w:rPr>
        <w:t xml:space="preserve">Architecture rule: modular monolith first. Clear module boundaries inside one NestJS backend (Auth, Vehicles/Fleets, Cargo/Matching, Trips/Tracking, Payments/Notifications, Admin). Do not split into microservices until a specific module's load actually justifies it.</w:t>
      </w:r>
    </w:p>
    <w:p>
      <w:pPr>
        <w:pStyle w:val="Heading2"/>
        <w:spacing w:after="120" w:before="260"/>
      </w:pPr>
      <w:r>
        <w:t xml:space="preserve">Suggested repo layout</w:t>
      </w:r>
    </w:p>
    <w:p>
      <w:pPr>
        <w:spacing w:after="140"/>
      </w:pPr>
      <w:r>
        <w:rPr>
          <w:rFonts w:ascii="Consolas" w:cs="Consolas" w:eastAsia="Consolas" w:hAnsi="Consolas"/>
          <w:sz w:val="18"/>
          <w:szCs w:val="18"/>
        </w:rPr>
        <w:t xml:space="preserve">EmptyMiles/ ├── apps/mobile (Flutter) ├── apps/admin (Next.js) ├── services/api (NestJS) ├── workers/jobs (BullMQ) ├── ml/matching-service (future Python/FastAPI) ├── packages/api-contracts, documentation ├── infrastructure/docker, aws, ci-cd ├── database/migrations, seed └── docs/</w:t>
      </w:r>
    </w:p>
    <w:p>
      <w:pPr>
        <w:pStyle w:val="Heading1"/>
        <w:spacing w:after="160" w:before="360"/>
      </w:pPr>
      <w:r>
        <w:t xml:space="preserve">4. Database entities (PostgreSQL + PostGIS)</w:t>
      </w:r>
    </w:p>
    <w:p>
      <w:pPr>
        <w:spacing w:after="140"/>
      </w:pPr>
      <w:r>
        <w:t xml:space="preserve">users, businesses, drivers, vehicles, fleets, cargo_requests, capacity_offers, matches, bookings, trips, trip_stops, tracking_points, payments, settlements, documents, ratings, notifications, disputes, audit_logs.</w:t>
      </w:r>
    </w:p>
    <w:p>
      <w:pPr>
        <w:spacing w:after="140"/>
      </w:pPr>
      <w:r>
        <w:t xml:space="preserve">Rules: foreign keys + NOT NULL where appropriate, indexes on frequent filters, spatial indexes on location columns, DB transactions around booking/payment state changes, audit records on sensitive state changes. Don't write every raw GPS ping into a primary transactional table — aggregate tracking events instead (via Redis/queue) and keep tracking_points for meaningful, retained history.</w:t>
      </w:r>
    </w:p>
    <w:p>
      <w:pPr>
        <w:pStyle w:val="Heading1"/>
        <w:spacing w:after="160" w:before="360"/>
      </w:pPr>
      <w:r>
        <w:t xml:space="preserve">5. Cargo Hunt / matching engine</w:t>
      </w:r>
    </w:p>
    <w:p>
      <w:pPr>
        <w:spacing w:after="140"/>
      </w:pPr>
      <w:r>
        <w:t xml:space="preserve">Two layers: hard constraints first (reject anything with impossible capacity, timing, or vehicle mismatch), then score what's left.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50"/>
        <w:gridCol w:w="2800"/>
      </w:tblGrid>
      <w:tr>
        <w:tc>
          <w:tcPr>
            <w:tcW w:type="dxa" w:w="6550"/>
            <w:shd w:fill="0B1730" w:val="clear"/>
            <w:tcMar>
              <w:top w:type="dxa" w:w="100"/>
              <w:left w:type="dxa" w:w="120"/>
              <w:bottom w:type="dxa" w:w="100"/>
              <w:right w:type="dxa" w:w="120"/>
            </w:tcMar>
          </w:tcPr>
          <w:p>
            <w:r>
              <w:rPr>
                <w:b/>
                <w:bCs/>
                <w:color w:val="FFFFFF"/>
                <w:sz w:val="20"/>
                <w:szCs w:val="20"/>
              </w:rPr>
              <w:t xml:space="preserve">Factor</w:t>
            </w:r>
          </w:p>
        </w:tc>
        <w:tc>
          <w:tcPr>
            <w:tcW w:type="dxa" w:w="2800"/>
            <w:shd w:fill="0B1730" w:val="clear"/>
            <w:tcMar>
              <w:top w:type="dxa" w:w="100"/>
              <w:left w:type="dxa" w:w="120"/>
              <w:bottom w:type="dxa" w:w="100"/>
              <w:right w:type="dxa" w:w="120"/>
            </w:tcMar>
          </w:tcPr>
          <w:p>
            <w:r>
              <w:rPr>
                <w:b/>
                <w:bCs/>
                <w:color w:val="FFFFFF"/>
                <w:sz w:val="20"/>
                <w:szCs w:val="20"/>
              </w:rPr>
              <w:t xml:space="preserve">Weight</w:t>
            </w:r>
          </w:p>
        </w:tc>
      </w:tr>
      <w:tr>
        <w:tc>
          <w:tcPr>
            <w:tcW w:type="dxa" w:w="6550"/>
            <w:tcMar>
              <w:top w:type="dxa" w:w="100"/>
              <w:left w:type="dxa" w:w="120"/>
              <w:bottom w:type="dxa" w:w="100"/>
              <w:right w:type="dxa" w:w="120"/>
            </w:tcMar>
          </w:tcPr>
          <w:p>
            <w:r>
              <w:rPr>
                <w:b w:val="false"/>
                <w:bCs w:val="false"/>
                <w:color w:val="1A1F2B"/>
                <w:sz w:val="20"/>
                <w:szCs w:val="20"/>
              </w:rPr>
              <w:t xml:space="preserve">Route compatibility</w:t>
            </w:r>
          </w:p>
        </w:tc>
        <w:tc>
          <w:tcPr>
            <w:tcW w:type="dxa" w:w="2800"/>
            <w:tcMar>
              <w:top w:type="dxa" w:w="100"/>
              <w:left w:type="dxa" w:w="120"/>
              <w:bottom w:type="dxa" w:w="100"/>
              <w:right w:type="dxa" w:w="120"/>
            </w:tcMar>
          </w:tcPr>
          <w:p>
            <w:r>
              <w:rPr>
                <w:b w:val="false"/>
                <w:bCs w:val="false"/>
                <w:color w:val="1A1F2B"/>
                <w:sz w:val="20"/>
                <w:szCs w:val="20"/>
              </w:rPr>
              <w:t xml:space="preserve">30%</w:t>
            </w:r>
          </w:p>
        </w:tc>
      </w:tr>
      <w:tr>
        <w:tc>
          <w:tcPr>
            <w:tcW w:type="dxa" w:w="6550"/>
            <w:tcMar>
              <w:top w:type="dxa" w:w="100"/>
              <w:left w:type="dxa" w:w="120"/>
              <w:bottom w:type="dxa" w:w="100"/>
              <w:right w:type="dxa" w:w="120"/>
            </w:tcMar>
          </w:tcPr>
          <w:p>
            <w:r>
              <w:rPr>
                <w:b w:val="false"/>
                <w:bCs w:val="false"/>
                <w:color w:val="1A1F2B"/>
                <w:sz w:val="20"/>
                <w:szCs w:val="20"/>
              </w:rPr>
              <w:t xml:space="preserve">Available capacity fit</w:t>
            </w:r>
          </w:p>
        </w:tc>
        <w:tc>
          <w:tcPr>
            <w:tcW w:type="dxa" w:w="2800"/>
            <w:tcMar>
              <w:top w:type="dxa" w:w="100"/>
              <w:left w:type="dxa" w:w="120"/>
              <w:bottom w:type="dxa" w:w="100"/>
              <w:right w:type="dxa" w:w="120"/>
            </w:tcMar>
          </w:tcPr>
          <w:p>
            <w:r>
              <w:rPr>
                <w:b w:val="false"/>
                <w:bCs w:val="false"/>
                <w:color w:val="1A1F2B"/>
                <w:sz w:val="20"/>
                <w:szCs w:val="20"/>
              </w:rPr>
              <w:t xml:space="preserve">20%</w:t>
            </w:r>
          </w:p>
        </w:tc>
      </w:tr>
      <w:tr>
        <w:tc>
          <w:tcPr>
            <w:tcW w:type="dxa" w:w="6550"/>
            <w:tcMar>
              <w:top w:type="dxa" w:w="100"/>
              <w:left w:type="dxa" w:w="120"/>
              <w:bottom w:type="dxa" w:w="100"/>
              <w:right w:type="dxa" w:w="120"/>
            </w:tcMar>
          </w:tcPr>
          <w:p>
            <w:r>
              <w:rPr>
                <w:b w:val="false"/>
                <w:bCs w:val="false"/>
                <w:color w:val="1A1F2B"/>
                <w:sz w:val="20"/>
                <w:szCs w:val="20"/>
              </w:rPr>
              <w:t xml:space="preserve">Pickup timing</w:t>
            </w:r>
          </w:p>
        </w:tc>
        <w:tc>
          <w:tcPr>
            <w:tcW w:type="dxa" w:w="2800"/>
            <w:tcMar>
              <w:top w:type="dxa" w:w="100"/>
              <w:left w:type="dxa" w:w="120"/>
              <w:bottom w:type="dxa" w:w="100"/>
              <w:right w:type="dxa" w:w="120"/>
            </w:tcMar>
          </w:tcPr>
          <w:p>
            <w:r>
              <w:rPr>
                <w:b w:val="false"/>
                <w:bCs w:val="false"/>
                <w:color w:val="1A1F2B"/>
                <w:sz w:val="20"/>
                <w:szCs w:val="20"/>
              </w:rPr>
              <w:t xml:space="preserve">15%</w:t>
            </w:r>
          </w:p>
        </w:tc>
      </w:tr>
      <w:tr>
        <w:tc>
          <w:tcPr>
            <w:tcW w:type="dxa" w:w="6550"/>
            <w:tcMar>
              <w:top w:type="dxa" w:w="100"/>
              <w:left w:type="dxa" w:w="120"/>
              <w:bottom w:type="dxa" w:w="100"/>
              <w:right w:type="dxa" w:w="120"/>
            </w:tcMar>
          </w:tcPr>
          <w:p>
            <w:r>
              <w:rPr>
                <w:b w:val="false"/>
                <w:bCs w:val="false"/>
                <w:color w:val="1A1F2B"/>
                <w:sz w:val="20"/>
                <w:szCs w:val="20"/>
              </w:rPr>
              <w:t xml:space="preserve">Delivery timing</w:t>
            </w:r>
          </w:p>
        </w:tc>
        <w:tc>
          <w:tcPr>
            <w:tcW w:type="dxa" w:w="2800"/>
            <w:tcMar>
              <w:top w:type="dxa" w:w="100"/>
              <w:left w:type="dxa" w:w="120"/>
              <w:bottom w:type="dxa" w:w="100"/>
              <w:right w:type="dxa" w:w="120"/>
            </w:tcMar>
          </w:tcPr>
          <w:p>
            <w:r>
              <w:rPr>
                <w:b w:val="false"/>
                <w:bCs w:val="false"/>
                <w:color w:val="1A1F2B"/>
                <w:sz w:val="20"/>
                <w:szCs w:val="20"/>
              </w:rPr>
              <w:t xml:space="preserve">10%</w:t>
            </w:r>
          </w:p>
        </w:tc>
      </w:tr>
      <w:tr>
        <w:tc>
          <w:tcPr>
            <w:tcW w:type="dxa" w:w="6550"/>
            <w:tcMar>
              <w:top w:type="dxa" w:w="100"/>
              <w:left w:type="dxa" w:w="120"/>
              <w:bottom w:type="dxa" w:w="100"/>
              <w:right w:type="dxa" w:w="120"/>
            </w:tcMar>
          </w:tcPr>
          <w:p>
            <w:r>
              <w:rPr>
                <w:b w:val="false"/>
                <w:bCs w:val="false"/>
                <w:color w:val="1A1F2B"/>
                <w:sz w:val="20"/>
                <w:szCs w:val="20"/>
              </w:rPr>
              <w:t xml:space="preserve">Vehicle compatibility</w:t>
            </w:r>
          </w:p>
        </w:tc>
        <w:tc>
          <w:tcPr>
            <w:tcW w:type="dxa" w:w="2800"/>
            <w:tcMar>
              <w:top w:type="dxa" w:w="100"/>
              <w:left w:type="dxa" w:w="120"/>
              <w:bottom w:type="dxa" w:w="100"/>
              <w:right w:type="dxa" w:w="120"/>
            </w:tcMar>
          </w:tcPr>
          <w:p>
            <w:r>
              <w:rPr>
                <w:b w:val="false"/>
                <w:bCs w:val="false"/>
                <w:color w:val="1A1F2B"/>
                <w:sz w:val="20"/>
                <w:szCs w:val="20"/>
              </w:rPr>
              <w:t xml:space="preserve">10%</w:t>
            </w:r>
          </w:p>
        </w:tc>
      </w:tr>
      <w:tr>
        <w:tc>
          <w:tcPr>
            <w:tcW w:type="dxa" w:w="6550"/>
            <w:tcMar>
              <w:top w:type="dxa" w:w="100"/>
              <w:left w:type="dxa" w:w="120"/>
              <w:bottom w:type="dxa" w:w="100"/>
              <w:right w:type="dxa" w:w="120"/>
            </w:tcMar>
          </w:tcPr>
          <w:p>
            <w:r>
              <w:rPr>
                <w:b w:val="false"/>
                <w:bCs w:val="false"/>
                <w:color w:val="1A1F2B"/>
                <w:sz w:val="20"/>
                <w:szCs w:val="20"/>
              </w:rPr>
              <w:t xml:space="preserve">Price</w:t>
            </w:r>
          </w:p>
        </w:tc>
        <w:tc>
          <w:tcPr>
            <w:tcW w:type="dxa" w:w="2800"/>
            <w:tcMar>
              <w:top w:type="dxa" w:w="100"/>
              <w:left w:type="dxa" w:w="120"/>
              <w:bottom w:type="dxa" w:w="100"/>
              <w:right w:type="dxa" w:w="120"/>
            </w:tcMar>
          </w:tcPr>
          <w:p>
            <w:r>
              <w:rPr>
                <w:b w:val="false"/>
                <w:bCs w:val="false"/>
                <w:color w:val="1A1F2B"/>
                <w:sz w:val="20"/>
                <w:szCs w:val="20"/>
              </w:rPr>
              <w:t xml:space="preserve">10%</w:t>
            </w:r>
          </w:p>
        </w:tc>
      </w:tr>
      <w:tr>
        <w:tc>
          <w:tcPr>
            <w:tcW w:type="dxa" w:w="6550"/>
            <w:tcMar>
              <w:top w:type="dxa" w:w="100"/>
              <w:left w:type="dxa" w:w="120"/>
              <w:bottom w:type="dxa" w:w="100"/>
              <w:right w:type="dxa" w:w="120"/>
            </w:tcMar>
          </w:tcPr>
          <w:p>
            <w:r>
              <w:rPr>
                <w:b w:val="false"/>
                <w:bCs w:val="false"/>
                <w:color w:val="1A1F2B"/>
                <w:sz w:val="20"/>
                <w:szCs w:val="20"/>
              </w:rPr>
              <w:t xml:space="preserve">Detour</w:t>
            </w:r>
          </w:p>
        </w:tc>
        <w:tc>
          <w:tcPr>
            <w:tcW w:type="dxa" w:w="2800"/>
            <w:tcMar>
              <w:top w:type="dxa" w:w="100"/>
              <w:left w:type="dxa" w:w="120"/>
              <w:bottom w:type="dxa" w:w="100"/>
              <w:right w:type="dxa" w:w="120"/>
            </w:tcMar>
          </w:tcPr>
          <w:p>
            <w:r>
              <w:rPr>
                <w:b w:val="false"/>
                <w:bCs w:val="false"/>
                <w:color w:val="1A1F2B"/>
                <w:sz w:val="20"/>
                <w:szCs w:val="20"/>
              </w:rPr>
              <w:t xml:space="preserve">5%</w:t>
            </w:r>
          </w:p>
        </w:tc>
      </w:tr>
    </w:tbl>
    <w:p>
      <w:pPr>
        <w:spacing w:after="140"/>
      </w:pPr>
      <w:r>
        <w:t xml:space="preserve">V1 is deterministic and explainable (show why a match scored the way it did — this is a trust feature, not just a number). Don't build ML into v1; leave a clean interface so a future FastAPI service can plug in acceptance-probability, delay-prediction, and dynamic pricing models once there's real trip data.</w:t>
      </w:r>
    </w:p>
    <w:p>
      <w:pPr>
        <w:pStyle w:val="Heading1"/>
        <w:spacing w:after="160" w:before="360"/>
      </w:pPr>
      <w:r>
        <w:t xml:space="preserve">6. Core features to build (in priority order)</w:t>
      </w:r>
    </w:p>
    <w:p>
      <w:pPr>
        <w:pStyle w:val="ListParagraph"/>
        <w:numPr>
          <w:ilvl w:val="0"/>
          <w:numId w:val="2"/>
        </w:numPr>
        <w:spacing w:after="80"/>
      </w:pPr>
      <w:r>
        <w:t xml:space="preserve">Auth &amp; profiles — phone/email OTP, role selection, business profile, KYC/verification status</w:t>
      </w:r>
    </w:p>
    <w:p>
      <w:pPr>
        <w:pStyle w:val="ListParagraph"/>
        <w:numPr>
          <w:ilvl w:val="0"/>
          <w:numId w:val="2"/>
        </w:numPr>
        <w:spacing w:after="80"/>
      </w:pPr>
      <w:r>
        <w:t xml:space="preserve">Vehicle &amp; fleet management — type, capacity, dimensions, documents, insurance/fitness, availability</w:t>
      </w:r>
    </w:p>
    <w:p>
      <w:pPr>
        <w:pStyle w:val="ListParagraph"/>
        <w:numPr>
          <w:ilvl w:val="0"/>
          <w:numId w:val="2"/>
        </w:numPr>
        <w:spacing w:after="80"/>
      </w:pPr>
      <w:r>
        <w:t xml:space="preserve">Cargo posting — pickup/destination, weight/volume, cargo type, vehicle requirement, time windows, price</w:t>
      </w:r>
    </w:p>
    <w:p>
      <w:pPr>
        <w:pStyle w:val="ListParagraph"/>
        <w:numPr>
          <w:ilvl w:val="0"/>
          <w:numId w:val="2"/>
        </w:numPr>
        <w:spacing w:after="80"/>
      </w:pPr>
      <w:r>
        <w:t xml:space="preserve">Cargo Hunt + Smart Match Score — as specified above</w:t>
      </w:r>
    </w:p>
    <w:p>
      <w:pPr>
        <w:pStyle w:val="ListParagraph"/>
        <w:numPr>
          <w:ilvl w:val="0"/>
          <w:numId w:val="2"/>
        </w:numPr>
        <w:spacing w:after="80"/>
      </w:pPr>
      <w:r>
        <w:t xml:space="preserve">Booking management — accept/negotiate/cancel, status history, audit trail</w:t>
      </w:r>
    </w:p>
    <w:p>
      <w:pPr>
        <w:pStyle w:val="ListParagraph"/>
        <w:numPr>
          <w:ilvl w:val="0"/>
          <w:numId w:val="2"/>
        </w:numPr>
        <w:spacing w:after="80"/>
      </w:pPr>
      <w:r>
        <w:t xml:space="preserve">Live tracking — WebSocket location sharing, trip status, ETA, route progress on map</w:t>
      </w:r>
    </w:p>
    <w:p>
      <w:pPr>
        <w:pStyle w:val="ListParagraph"/>
        <w:numPr>
          <w:ilvl w:val="0"/>
          <w:numId w:val="2"/>
        </w:numPr>
        <w:spacing w:after="80"/>
      </w:pPr>
      <w:r>
        <w:t xml:space="preserve">Digital POD — photo/signature/document upload with timestamp</w:t>
      </w:r>
    </w:p>
    <w:p>
      <w:pPr>
        <w:pStyle w:val="ListParagraph"/>
        <w:numPr>
          <w:ilvl w:val="0"/>
          <w:numId w:val="2"/>
        </w:numPr>
        <w:spacing w:after="80"/>
      </w:pPr>
      <w:r>
        <w:t xml:space="preserve">Payments &amp; settlements — Razorpay integration, platform fee/commission, settlement records, refunds</w:t>
      </w:r>
    </w:p>
    <w:p>
      <w:pPr>
        <w:pStyle w:val="ListParagraph"/>
        <w:numPr>
          <w:ilvl w:val="0"/>
          <w:numId w:val="2"/>
        </w:numPr>
        <w:spacing w:after="80"/>
      </w:pPr>
      <w:r>
        <w:t xml:space="preserve">Ratings &amp; trust — post-trip ratings, reliability history</w:t>
      </w:r>
    </w:p>
    <w:p>
      <w:pPr>
        <w:pStyle w:val="ListParagraph"/>
        <w:numPr>
          <w:ilvl w:val="0"/>
          <w:numId w:val="2"/>
        </w:numPr>
        <w:spacing w:after="80"/>
      </w:pPr>
      <w:r>
        <w:t xml:space="preserve">Notifications — push for matches, bookings, trip status, payments</w:t>
      </w:r>
    </w:p>
    <w:p>
      <w:pPr>
        <w:pStyle w:val="ListParagraph"/>
        <w:numPr>
          <w:ilvl w:val="0"/>
          <w:numId w:val="2"/>
        </w:numPr>
        <w:spacing w:after="80"/>
      </w:pPr>
      <w:r>
        <w:t xml:space="preserve">Admin dashboard — verification queue, users/vehicles/cargo/bookings/payments, disputes, analytics</w:t>
      </w:r>
    </w:p>
    <w:p>
      <w:pPr>
        <w:spacing w:after="140"/>
      </w:pPr>
      <w:r>
        <w:rPr>
          <w:b/>
          <w:bCs/>
        </w:rPr>
        <w:t xml:space="preserve">Nice-to-have, build after the above works end-to-end:</w:t>
      </w:r>
    </w:p>
    <w:p>
      <w:pPr>
        <w:spacing w:after="140"/>
      </w:pPr>
      <w:r>
        <w:t xml:space="preserve">Capacity Wallet, Multi-Load Planning, Demand Heatmap, Driver/Shipper Reliability Score, Smart Price Suggestion, Trip Health Monitor, Document Expiry Alerts, Saved Lanes, Instant Re-Match, Dispute Center, Business API/ERP integration, multi-language UI.</w:t>
      </w:r>
    </w:p>
    <w:p>
      <w:pPr>
        <w:pStyle w:val="Heading1"/>
        <w:spacing w:after="160" w:before="360"/>
      </w:pPr>
      <w:r>
        <w:t xml:space="preserve">7. Screens to build (Flutter, role-aware)</w:t>
      </w:r>
    </w:p>
    <w:p>
      <w:pPr>
        <w:pStyle w:val="Heading2"/>
        <w:spacing w:after="120" w:before="260"/>
      </w:pPr>
      <w:r>
        <w:t xml:space="preserve">Onboarding</w:t>
      </w:r>
    </w:p>
    <w:p>
      <w:pPr>
        <w:spacing w:after="140"/>
      </w:pPr>
      <w:r>
        <w:t xml:space="preserve">Splash → value prop → language picker → role picker (Truck Owner / Shipper / Both) → phone login → OTP → (truck owner only) vehicle/cargo-type setup → home.</w:t>
      </w:r>
    </w:p>
    <w:p>
      <w:pPr>
        <w:pStyle w:val="Heading2"/>
        <w:spacing w:after="120" w:before="260"/>
      </w:pPr>
      <w:r>
        <w:t xml:space="preserve">Truck owner / driver</w:t>
      </w:r>
    </w:p>
    <w:p>
      <w:pPr>
        <w:spacing w:after="140"/>
      </w:pPr>
      <w:r>
        <w:t xml:space="preserve">Home (capacity summary, quick actions, earnings snapshot) → Cargo Hunt (ranked match list with % score, price, detour) → Cargo details (pickup/delivery windows, estimated earnings, accept/negotiate) → Live Trip (map, ETA, stop list, call/navigate) → Trips (ongoing/completed/cancelled) → Earnings (weekly chart, breakdown) → Wallet (balance, add/withdraw, transaction history) → Notifications → Profile/Settings.</w:t>
      </w:r>
    </w:p>
    <w:p>
      <w:pPr>
        <w:pStyle w:val="Heading2"/>
        <w:spacing w:after="120" w:before="260"/>
      </w:pPr>
      <w:r>
        <w:t xml:space="preserve">Shipper</w:t>
      </w:r>
    </w:p>
    <w:p>
      <w:pPr>
        <w:spacing w:after="140"/>
      </w:pPr>
      <w:r>
        <w:t xml:space="preserve">Post cargo → matched capacity list → booking → tracking → POD confirmation → payment → rate delivery.</w:t>
      </w:r>
    </w:p>
    <w:p>
      <w:pPr>
        <w:pStyle w:val="Heading2"/>
        <w:spacing w:after="120" w:before="260"/>
      </w:pPr>
      <w:r>
        <w:t xml:space="preserve">Admin (Next.js)</w:t>
      </w:r>
    </w:p>
    <w:p>
      <w:pPr>
        <w:spacing w:after="140"/>
      </w:pPr>
      <w:r>
        <w:t xml:space="preserve">Dashboard/verification queue → users/fleets/vehicles → cargo/bookings → payments/disputes → analytics.</w:t>
      </w:r>
    </w:p>
    <w:p>
      <w:pPr>
        <w:pStyle w:val="Heading1"/>
        <w:spacing w:after="160" w:before="360"/>
      </w:pPr>
      <w:r>
        <w:t xml:space="preserve">8. Design system — premium, simple, Rapido/Porter-grade</w:t>
      </w:r>
    </w:p>
    <w:p>
      <w:pPr>
        <w:spacing w:after="140"/>
      </w:pPr>
      <w:r>
        <w:t xml:space="preserve">Don't reuse generic Material defaults. Use this token system:</w:t>
      </w:r>
    </w:p>
    <w:p>
      <w:pPr>
        <w:pStyle w:val="Heading2"/>
        <w:spacing w:after="120" w:before="260"/>
      </w:pPr>
      <w:r>
        <w:t xml:space="preserve">Color</w:t>
      </w:r>
    </w:p>
    <w:p>
      <w:pPr>
        <w:pStyle w:val="ListParagraph"/>
        <w:numPr>
          <w:ilvl w:val="0"/>
          <w:numId w:val="1"/>
        </w:numPr>
        <w:spacing w:after="80"/>
      </w:pPr>
      <w:r>
        <w:t xml:space="preserve">Ink / primary: #0B1730 (near-black navy — backgrounds for hero cards, primary buttons on dark)</w:t>
      </w:r>
    </w:p>
    <w:p>
      <w:pPr>
        <w:pStyle w:val="ListParagraph"/>
        <w:numPr>
          <w:ilvl w:val="0"/>
          <w:numId w:val="1"/>
        </w:numPr>
        <w:spacing w:after="80"/>
      </w:pPr>
      <w:r>
        <w:t xml:space="preserve">Primary variant: #152A52</w:t>
      </w:r>
    </w:p>
    <w:p>
      <w:pPr>
        <w:pStyle w:val="ListParagraph"/>
        <w:numPr>
          <w:ilvl w:val="0"/>
          <w:numId w:val="1"/>
        </w:numPr>
        <w:spacing w:after="80"/>
      </w:pPr>
      <w:r>
        <w:t xml:space="preserve">Accent (the one bold color — use sparingly, for CTAs and highlights only): #FF6B1A → #FF8A3D gradient</w:t>
      </w:r>
    </w:p>
    <w:p>
      <w:pPr>
        <w:pStyle w:val="ListParagraph"/>
        <w:numPr>
          <w:ilvl w:val="0"/>
          <w:numId w:val="1"/>
        </w:numPr>
        <w:spacing w:after="80"/>
      </w:pPr>
      <w:r>
        <w:t xml:space="preserve">Surface: #FFFFFF · App background: #F5F6FA · Border/hairline: #E8EAF2 · Muted text: #6B7690</w:t>
      </w:r>
    </w:p>
    <w:p>
      <w:pPr>
        <w:pStyle w:val="ListParagraph"/>
        <w:numPr>
          <w:ilvl w:val="0"/>
          <w:numId w:val="1"/>
        </w:numPr>
        <w:spacing w:after="80"/>
      </w:pPr>
      <w:r>
        <w:t xml:space="preserve">Success/earnings: #16A34A · Warning/mid-match: #B98900 on #FFF6DC · Error/low-match: #B23B3B on #FDEBEB</w:t>
      </w:r>
    </w:p>
    <w:p>
      <w:pPr>
        <w:pStyle w:val="Heading2"/>
        <w:spacing w:after="120" w:before="260"/>
      </w:pPr>
      <w:r>
        <w:t xml:space="preserve">Typography</w:t>
      </w:r>
    </w:p>
    <w:p>
      <w:pPr>
        <w:pStyle w:val="ListParagraph"/>
        <w:numPr>
          <w:ilvl w:val="0"/>
          <w:numId w:val="1"/>
        </w:numPr>
        <w:spacing w:after="80"/>
      </w:pPr>
      <w:r>
        <w:t xml:space="preserve">Headings/numbers/buttons: Poppins (600–800 weight) — confident, slightly rounded, fintech-meets-logistics feel</w:t>
      </w:r>
    </w:p>
    <w:p>
      <w:pPr>
        <w:pStyle w:val="ListParagraph"/>
        <w:numPr>
          <w:ilvl w:val="0"/>
          <w:numId w:val="1"/>
        </w:numPr>
        <w:spacing w:after="80"/>
      </w:pPr>
      <w:r>
        <w:t xml:space="preserve">Body/labels: Inter (400–600 weight)</w:t>
      </w:r>
    </w:p>
    <w:p>
      <w:pPr>
        <w:pStyle w:val="ListParagraph"/>
        <w:numPr>
          <w:ilvl w:val="0"/>
          <w:numId w:val="1"/>
        </w:numPr>
        <w:spacing w:after="80"/>
      </w:pPr>
      <w:r>
        <w:t xml:space="preserve">Don't use more than these two families. Don't put labels in all-caps.</w:t>
      </w:r>
    </w:p>
    <w:p>
      <w:pPr>
        <w:pStyle w:val="Heading2"/>
        <w:spacing w:after="120" w:before="260"/>
      </w:pPr>
      <w:r>
        <w:t xml:space="preserve">Layout &amp; components</w:t>
      </w:r>
    </w:p>
    <w:p>
      <w:pPr>
        <w:pStyle w:val="ListParagraph"/>
        <w:numPr>
          <w:ilvl w:val="0"/>
          <w:numId w:val="1"/>
        </w:numPr>
        <w:spacing w:after="80"/>
      </w:pPr>
      <w:r>
        <w:t xml:space="preserve">Cards: 16–20px radius, soft shadow, never a hard grey border-and-shadow combo</w:t>
      </w:r>
    </w:p>
    <w:p>
      <w:pPr>
        <w:pStyle w:val="ListParagraph"/>
        <w:numPr>
          <w:ilvl w:val="0"/>
          <w:numId w:val="1"/>
        </w:numPr>
        <w:spacing w:after="80"/>
      </w:pPr>
      <w:r>
        <w:t xml:space="preserve">One hero dark navy card per screen (capacity status, live trip ETA, earnings total) — everything else stays light and quiet</w:t>
      </w:r>
    </w:p>
    <w:p>
      <w:pPr>
        <w:pStyle w:val="ListParagraph"/>
        <w:numPr>
          <w:ilvl w:val="0"/>
          <w:numId w:val="1"/>
        </w:numPr>
        <w:spacing w:after="80"/>
      </w:pPr>
      <w:r>
        <w:t xml:space="preserve">Match score shown as a colored pill (green/amber/red), not a plain number</w:t>
      </w:r>
    </w:p>
    <w:p>
      <w:pPr>
        <w:pStyle w:val="ListParagraph"/>
        <w:numPr>
          <w:ilvl w:val="0"/>
          <w:numId w:val="1"/>
        </w:numPr>
        <w:spacing w:after="80"/>
      </w:pPr>
      <w:r>
        <w:t xml:space="preserve">Bottom nav: 4 items max, one filled accent dot for the active state — no heavy icon outlines</w:t>
      </w:r>
    </w:p>
    <w:p>
      <w:pPr>
        <w:pStyle w:val="ListParagraph"/>
        <w:numPr>
          <w:ilvl w:val="0"/>
          <w:numId w:val="1"/>
        </w:numPr>
        <w:spacing w:after="80"/>
      </w:pPr>
      <w:r>
        <w:t xml:space="preserve">Buttons: solid accent for the single primary action per screen, dark navy for secondary, ghost/outline for tertiary</w:t>
      </w:r>
    </w:p>
    <w:p>
      <w:pPr>
        <w:pStyle w:val="ListParagraph"/>
        <w:numPr>
          <w:ilvl w:val="0"/>
          <w:numId w:val="1"/>
        </w:numPr>
        <w:spacing w:after="80"/>
      </w:pPr>
      <w:r>
        <w:t xml:space="preserve">Route/stop lists use a vertical timeline with a colored dot per stop (green = done, orange = pending)</w:t>
      </w:r>
    </w:p>
    <w:p>
      <w:pPr>
        <w:pStyle w:val="ListParagraph"/>
        <w:numPr>
          <w:ilvl w:val="0"/>
          <w:numId w:val="1"/>
        </w:numPr>
        <w:spacing w:after="80"/>
      </w:pPr>
      <w:r>
        <w:t xml:space="preserve">Keep information density high but breathing room generous — fewer borders, more whitespace, one accent color doing all the visual signaling</w:t>
      </w:r>
    </w:p>
    <w:p>
      <w:pPr>
        <w:pStyle w:val="Heading1"/>
        <w:spacing w:after="160" w:before="360"/>
      </w:pPr>
      <w:r>
        <w:t xml:space="preserve">9. Non-functional requirements</w:t>
      </w:r>
    </w:p>
    <w:p>
      <w:pPr>
        <w:pStyle w:val="Heading2"/>
        <w:spacing w:after="120" w:before="260"/>
      </w:pPr>
      <w:r>
        <w:t xml:space="preserve">Reliability</w:t>
      </w:r>
    </w:p>
    <w:p>
      <w:pPr>
        <w:spacing w:after="140"/>
      </w:pPr>
      <w:r>
        <w:t xml:space="preserve">Loading/empty/error/retry states on every screen, DB transactions on booking/payment, idempotency keys on sensitive operations, offline-aware mobile flows, staging environment, feature flags.</w:t>
      </w:r>
    </w:p>
    <w:p>
      <w:pPr>
        <w:pStyle w:val="Heading2"/>
        <w:spacing w:after="120" w:before="260"/>
      </w:pPr>
      <w:r>
        <w:t xml:space="preserve">Security</w:t>
      </w:r>
    </w:p>
    <w:p>
      <w:pPr>
        <w:spacing w:after="140"/>
      </w:pPr>
      <w:r>
        <w:t xml:space="preserve">RBAC, server-side authorization on every endpoint, HTTPS/TLS, secrets in managed secret storage (never in source), verified payment webhooks, audit logs on admin/financial actions.</w:t>
      </w:r>
    </w:p>
    <w:p>
      <w:pPr>
        <w:pStyle w:val="Heading2"/>
        <w:spacing w:after="120" w:before="260"/>
      </w:pPr>
      <w:r>
        <w:t xml:space="preserve">Performance</w:t>
      </w:r>
    </w:p>
    <w:p>
      <w:pPr>
        <w:spacing w:after="140"/>
      </w:pPr>
      <w:r>
        <w:t xml:space="preserve">Stateless API servers behind a load balancer, Redis caching, DB connection pooling + read replicas, cursor-based pagination, WebSocket throttling for location updates, rate limiting.</w:t>
      </w:r>
    </w:p>
    <w:p>
      <w:pPr>
        <w:pStyle w:val="Heading2"/>
        <w:spacing w:after="120" w:before="260"/>
      </w:pPr>
      <w:r>
        <w:t xml:space="preserve">Payments lifecycle</w:t>
      </w:r>
    </w:p>
    <w:p>
      <w:pPr>
        <w:spacing w:after="140"/>
      </w:pPr>
      <w:r>
        <w:t xml:space="preserve">Create booking with unique transaction reference → initiate payment → verify webhook before changing state → record POD → calculate platform fee → create settlement record → support refund/dispute transitions. (Use "settlement," not "escrow" — get real legal/compliance review before implementing anything resembling escrow.)</w:t>
      </w:r>
    </w:p>
    <w:p>
      <w:pPr>
        <w:pStyle w:val="Heading1"/>
        <w:spacing w:after="160" w:before="360"/>
      </w:pPr>
      <w:r>
        <w:t xml:space="preserve">10. Build order (don't build everything at once)</w:t>
      </w:r>
    </w:p>
    <w:p>
      <w:pPr>
        <w:pStyle w:val="ListParagraph"/>
        <w:numPr>
          <w:ilvl w:val="0"/>
          <w:numId w:val="3"/>
        </w:numPr>
        <w:spacing w:after="80"/>
      </w:pPr>
      <w:r>
        <w:t xml:space="preserve">Foundation — architecture, auth, roles, Postgres schema, backend module skeleton, Flutter app shell, admin shell</w:t>
      </w:r>
    </w:p>
    <w:p>
      <w:pPr>
        <w:pStyle w:val="ListParagraph"/>
        <w:numPr>
          <w:ilvl w:val="0"/>
          <w:numId w:val="3"/>
        </w:numPr>
        <w:spacing w:after="80"/>
      </w:pPr>
      <w:r>
        <w:t xml:space="preserve">Marketplace — vehicles, cargo posting, capacity, search, profiles, basic booking</w:t>
      </w:r>
    </w:p>
    <w:p>
      <w:pPr>
        <w:pStyle w:val="ListParagraph"/>
        <w:numPr>
          <w:ilvl w:val="0"/>
          <w:numId w:val="3"/>
        </w:numPr>
        <w:spacing w:after="80"/>
      </w:pPr>
      <w:r>
        <w:t xml:space="preserve">Cargo Hunt — hard constraints + scoring + route/detour checks (this is the product's core; don't rush it)</w:t>
      </w:r>
    </w:p>
    <w:p>
      <w:pPr>
        <w:pStyle w:val="ListParagraph"/>
        <w:numPr>
          <w:ilvl w:val="0"/>
          <w:numId w:val="3"/>
        </w:numPr>
        <w:spacing w:after="80"/>
      </w:pPr>
      <w:r>
        <w:t xml:space="preserve">Logistics — trips, live tracking, maps/ETA, notifications, POD</w:t>
      </w:r>
    </w:p>
    <w:p>
      <w:pPr>
        <w:pStyle w:val="ListParagraph"/>
        <w:numPr>
          <w:ilvl w:val="0"/>
          <w:numId w:val="3"/>
        </w:numPr>
        <w:spacing w:after="80"/>
      </w:pPr>
      <w:r>
        <w:t xml:space="preserve">Money &amp; trust — payments, settlements, ratings, verification, disputes</w:t>
      </w:r>
    </w:p>
    <w:p>
      <w:pPr>
        <w:pStyle w:val="ListParagraph"/>
        <w:numPr>
          <w:ilvl w:val="0"/>
          <w:numId w:val="3"/>
        </w:numPr>
        <w:spacing w:after="80"/>
      </w:pPr>
      <w:r>
        <w:t xml:space="preserve">Scale — Redis/queues, load balancing, DB optimization, monitoring, autoscaling</w:t>
      </w:r>
    </w:p>
    <w:p>
      <w:pPr>
        <w:pStyle w:val="ListParagraph"/>
        <w:numPr>
          <w:ilvl w:val="0"/>
          <w:numId w:val="3"/>
        </w:numPr>
        <w:spacing w:after="80"/>
      </w:pPr>
      <w:r>
        <w:t xml:space="preserve">Intelligence — ML-based match ranking, pricing, demand/delay prediction</w:t>
      </w:r>
    </w:p>
    <w:p>
      <w:pPr>
        <w:pStyle w:val="ListParagraph"/>
        <w:numPr>
          <w:ilvl w:val="0"/>
          <w:numId w:val="3"/>
        </w:numPr>
        <w:spacing w:after="80"/>
      </w:pPr>
      <w:r>
        <w:t xml:space="preserve">Enterprise — APIs, ERP integrations, multi-fleet analytics</w:t>
      </w:r>
    </w:p>
    <w:p>
      <w:pPr>
        <w:spacing w:after="140"/>
      </w:pPr>
      <w:r>
        <w:rPr>
          <w:b/>
          <w:bCs/>
        </w:rPr>
        <w:t xml:space="preserve">Ground rules while building: design the DB schema and API contracts before generating large UI sections; build and test one module at a time; never let generated code skip authorization or validation; use migrations, not manual DB edits; document Cargo Hunt's scoring rules and booking state machine as you build them; prefer the modular monolith over adding new services without a clear justified reason.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733d73637ac39fb81e769b20b7f2ddda6bf24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2026-09-26T07:12:13.822Z</dcterms:created>
  <dcterms:modified xsi:type="dcterms:W3CDTF">2026-09-26T07:12:13.831Z</dcterms:modified>
</cp:coreProperties>
</file>

<file path=docProps/custom.xml><?xml version="1.0" encoding="utf-8"?>
<Properties xmlns="http://schemas.openxmlformats.org/officeDocument/2006/custom-properties" xmlns:vt="http://schemas.openxmlformats.org/officeDocument/2006/docPropsVTypes"/>
</file>