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E2D"/>
          <w:sz w:val="52"/>
        </w:rPr>
        <w:t>DEADSTOCK AI PLATFORM</w:t>
      </w:r>
    </w:p>
    <w:p>
      <w:pPr>
        <w:spacing w:after="400"/>
        <w:jc w:val="center"/>
      </w:pPr>
      <w:r>
        <w:rPr>
          <w:i/>
          <w:color w:val="2563EB"/>
          <w:sz w:val="26"/>
        </w:rPr>
        <w:t>Comprehensive Project Report &amp; Solution Architecture Specification</w:t>
      </w:r>
    </w:p>
    <w:tbl>
      <w:tblPr>
        <w:tblW w:type="auto" w:w="0"/>
        <w:jc w:val="center"/>
        <w:tblLayout w:type="fixed"/>
        <w:tblLook w:firstColumn="1" w:firstRow="1" w:lastColumn="0" w:lastRow="0" w:noHBand="0" w:noVBand="1" w:val="04A0"/>
      </w:tblPr>
      <w:tblGrid>
        <w:gridCol w:w="4680"/>
        <w:gridCol w:w="4680"/>
      </w:tblGrid>
      <w:tr>
        <w:tc>
          <w:tcPr>
            <w:tcW w:type="dxa" w:w="2880"/>
            <w:shd w:val="clear" w:color="auto" w:fill="F1F5F9"/>
            <w:tcMar>
              <w:top w:w="80" w:type="dxa"/>
              <w:bottom w:w="80" w:type="dxa"/>
              <w:left w:w="100" w:type="dxa"/>
              <w:right w:w="100" w:type="dxa"/>
            </w:tcMar>
          </w:tcPr>
          <w:p>
            <w:r>
              <w:rPr>
                <w:b/>
                <w:color w:val="0B1E2D"/>
                <w:sz w:val="19"/>
              </w:rPr>
              <w:t>Project Name:</w:t>
            </w:r>
          </w:p>
        </w:tc>
        <w:tc>
          <w:tcPr>
            <w:tcW w:type="dxa" w:w="6480"/>
            <w:shd w:val="clear" w:color="auto" w:fill="F8FAFC"/>
            <w:tcMar>
              <w:top w:w="80" w:type="dxa"/>
              <w:bottom w:w="80" w:type="dxa"/>
              <w:left w:w="100" w:type="dxa"/>
              <w:right w:w="100" w:type="dxa"/>
            </w:tcMar>
          </w:tcPr>
          <w:p>
            <w:r>
              <w:rPr>
                <w:color w:val="475569"/>
                <w:sz w:val="19"/>
              </w:rPr>
              <w:t>DeadStock (AI-Powered B2B Circular Liquidation Platform)</w:t>
            </w:r>
          </w:p>
        </w:tc>
      </w:tr>
      <w:tr>
        <w:tc>
          <w:tcPr>
            <w:tcW w:type="dxa" w:w="2880"/>
            <w:shd w:val="clear" w:color="auto" w:fill="F1F5F9"/>
            <w:tcMar>
              <w:top w:w="80" w:type="dxa"/>
              <w:bottom w:w="80" w:type="dxa"/>
              <w:left w:w="100" w:type="dxa"/>
              <w:right w:w="100" w:type="dxa"/>
            </w:tcMar>
          </w:tcPr>
          <w:p>
            <w:r>
              <w:rPr>
                <w:b/>
                <w:color w:val="0B1E2D"/>
                <w:sz w:val="19"/>
              </w:rPr>
              <w:t>Version &amp; Status:</w:t>
            </w:r>
          </w:p>
        </w:tc>
        <w:tc>
          <w:tcPr>
            <w:tcW w:type="dxa" w:w="6480"/>
            <w:shd w:val="clear" w:color="auto" w:fill="F8FAFC"/>
            <w:tcMar>
              <w:top w:w="80" w:type="dxa"/>
              <w:bottom w:w="80" w:type="dxa"/>
              <w:left w:w="100" w:type="dxa"/>
              <w:right w:w="100" w:type="dxa"/>
            </w:tcMar>
          </w:tcPr>
          <w:p>
            <w:r>
              <w:rPr>
                <w:color w:val="475569"/>
                <w:sz w:val="19"/>
              </w:rPr>
              <w:t>Version 1.0.0 (Full-Stack Next.js 16 + Laravel 12 Architecture)</w:t>
            </w:r>
          </w:p>
        </w:tc>
      </w:tr>
      <w:tr>
        <w:tc>
          <w:tcPr>
            <w:tcW w:type="dxa" w:w="2880"/>
            <w:shd w:val="clear" w:color="auto" w:fill="F1F5F9"/>
            <w:tcMar>
              <w:top w:w="80" w:type="dxa"/>
              <w:bottom w:w="80" w:type="dxa"/>
              <w:left w:w="100" w:type="dxa"/>
              <w:right w:w="100" w:type="dxa"/>
            </w:tcMar>
          </w:tcPr>
          <w:p>
            <w:r>
              <w:rPr>
                <w:b/>
                <w:color w:val="0B1E2D"/>
                <w:sz w:val="19"/>
              </w:rPr>
              <w:t>Domain / Industry:</w:t>
            </w:r>
          </w:p>
        </w:tc>
        <w:tc>
          <w:tcPr>
            <w:tcW w:type="dxa" w:w="6480"/>
            <w:shd w:val="clear" w:color="auto" w:fill="F8FAFC"/>
            <w:tcMar>
              <w:top w:w="80" w:type="dxa"/>
              <w:bottom w:w="80" w:type="dxa"/>
              <w:left w:w="100" w:type="dxa"/>
              <w:right w:w="100" w:type="dxa"/>
            </w:tcMar>
          </w:tcPr>
          <w:p>
            <w:r>
              <w:rPr>
                <w:color w:val="475569"/>
                <w:sz w:val="19"/>
              </w:rPr>
              <w:t>Industrial Supply Chain, B2B Inventory Risk &amp; Circular Economy</w:t>
            </w:r>
          </w:p>
        </w:tc>
      </w:tr>
      <w:tr>
        <w:tc>
          <w:tcPr>
            <w:tcW w:type="dxa" w:w="2880"/>
            <w:shd w:val="clear" w:color="auto" w:fill="F1F5F9"/>
            <w:tcMar>
              <w:top w:w="80" w:type="dxa"/>
              <w:bottom w:w="80" w:type="dxa"/>
              <w:left w:w="100" w:type="dxa"/>
              <w:right w:w="100" w:type="dxa"/>
            </w:tcMar>
          </w:tcPr>
          <w:p>
            <w:r>
              <w:rPr>
                <w:b/>
                <w:color w:val="0B1E2D"/>
                <w:sz w:val="19"/>
              </w:rPr>
              <w:t>Prepared For:</w:t>
            </w:r>
          </w:p>
        </w:tc>
        <w:tc>
          <w:tcPr>
            <w:tcW w:type="dxa" w:w="6480"/>
            <w:shd w:val="clear" w:color="auto" w:fill="F8FAFC"/>
            <w:tcMar>
              <w:top w:w="80" w:type="dxa"/>
              <w:bottom w:w="80" w:type="dxa"/>
              <w:left w:w="100" w:type="dxa"/>
              <w:right w:w="100" w:type="dxa"/>
            </w:tcMar>
          </w:tcPr>
          <w:p>
            <w:r>
              <w:rPr>
                <w:color w:val="475569"/>
                <w:sz w:val="19"/>
              </w:rPr>
              <w:t>Executive Leadership, Stakeholders &amp; Engineering Teams</w:t>
            </w:r>
          </w:p>
        </w:tc>
      </w:tr>
    </w:tbl>
    <w:p>
      <w:pPr>
        <w:spacing w:after="360"/>
      </w:pPr>
    </w:p>
    <w:p>
      <w:pPr>
        <w:spacing w:before="360" w:after="120"/>
      </w:pPr>
      <w:r>
        <w:rPr>
          <w:b/>
          <w:color w:val="0B1E2D"/>
          <w:sz w:val="32"/>
        </w:rPr>
        <w:t>1. Executive Summary</w:t>
      </w:r>
    </w:p>
    <w:p>
      <w:r>
        <w:t>DeadStock is a next-generation, AI-driven B2B circular inventory monetization and risk mitigation platform. Engineered specifically for industrial manufacturers, distributors, component assemblers, and supply chain enterprises, DeadStock prevents dead inventory before it crystallizes into complete balance sheet write-offs.</w:t>
      </w:r>
    </w:p>
    <w:p>
      <w:r>
        <w:t>By fusing predictive degradation algorithms, 5-factor buyer matchmaking, 8-month multi-channel recovery simulations, and integrated freight crating logistics, the platform enables enterprises to unlock up to 70%–85% of dormant working capital while diverting thousands of tons of industrial surplus from landfills.</w:t>
      </w:r>
    </w:p>
    <w:p>
      <w:pPr>
        <w:spacing w:before="360" w:after="120"/>
      </w:pPr>
      <w:r>
        <w:rPr>
          <w:b/>
          <w:color w:val="0B1E2D"/>
          <w:sz w:val="32"/>
        </w:rPr>
        <w:t>2. Problem Statement &amp; The Reality of Dead Inventory</w:t>
      </w:r>
    </w:p>
    <w:p>
      <w:r>
        <w:t>In modern manufacturing and distribution, dead stock is rarely an instantaneous event. It is a slow, compound financial bleed. Industrial supply chains face critical bottlenecks:</w:t>
      </w:r>
    </w:p>
    <w:p>
      <w:pPr>
        <w:pStyle w:val="ListBullet"/>
        <w:spacing w:after="60"/>
      </w:pPr>
      <w:r>
        <w:rPr>
          <w:b/>
          <w:color w:val="0B1E2D"/>
        </w:rPr>
        <w:t>Holding Cost Hemorrhage:</w:t>
      </w:r>
      <w:r>
        <w:rPr>
          <w:color w:val="0F172A"/>
        </w:rPr>
        <w:t xml:space="preserve"> Inventory carries an average 18% to 24% annual carrying cost bleed (warehousing footprint, capital interest, insurance, labor, and depreciation).</w:t>
      </w:r>
    </w:p>
    <w:p>
      <w:pPr>
        <w:pStyle w:val="ListBullet"/>
        <w:spacing w:after="60"/>
      </w:pPr>
      <w:r>
        <w:rPr>
          <w:b/>
          <w:color w:val="0B1E2D"/>
        </w:rPr>
        <w:t>Order Cancellations &amp; Specification Shifts:</w:t>
      </w:r>
      <w:r>
        <w:rPr>
          <w:color w:val="0F172A"/>
        </w:rPr>
        <w:t xml:space="preserve"> Sudden client PO cancellations leave custom-machined or bulk batches with zero active downstream run-rate, freezing operating liquidity.</w:t>
      </w:r>
    </w:p>
    <w:p>
      <w:pPr>
        <w:pStyle w:val="ListBullet"/>
        <w:spacing w:after="60"/>
      </w:pPr>
      <w:r>
        <w:rPr>
          <w:b/>
          <w:color w:val="0B1E2D"/>
        </w:rPr>
        <w:t>Forecasting Inaccuracies &amp; MOQs:</w:t>
      </w:r>
      <w:r>
        <w:rPr>
          <w:color w:val="0F172A"/>
        </w:rPr>
        <w:t xml:space="preserve"> Procurement teams are forced to purchase minimum order quantities based on optimistic projections, causing 4x to 10x supply overhangs.</w:t>
      </w:r>
    </w:p>
    <w:p>
      <w:pPr>
        <w:pStyle w:val="ListBullet"/>
        <w:spacing w:after="60"/>
      </w:pPr>
      <w:r>
        <w:rPr>
          <w:b/>
          <w:color w:val="0B1E2D"/>
        </w:rPr>
        <w:t>Component Obsolescence:</w:t>
      </w:r>
      <w:r>
        <w:rPr>
          <w:color w:val="0F172A"/>
        </w:rPr>
        <w:t xml:space="preserve"> Rapid firmware changes, revised engineering tolerances, or statutory environmental changes render inventory obsolete before traditional sales channels can react.</w:t>
      </w:r>
    </w:p>
    <w:p>
      <w:pPr>
        <w:pStyle w:val="ListBullet"/>
        <w:spacing w:after="60"/>
      </w:pPr>
      <w:r>
        <w:rPr>
          <w:b/>
          <w:color w:val="0B1E2D"/>
        </w:rPr>
        <w:t>Fragmented Scrap Channels:</w:t>
      </w:r>
      <w:r>
        <w:rPr>
          <w:color w:val="0F172A"/>
        </w:rPr>
        <w:t xml:space="preserve"> Without structured digital marketplaces, companies liquidate surplus through local scrap dealers for pennies on the dollar (5%–10% salvage value).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E2D"/>
            <w:tcMar>
              <w:top w:w="100" w:type="dxa"/>
              <w:bottom w:w="100" w:type="dxa"/>
              <w:left w:w="100" w:type="dxa"/>
              <w:right w:w="100" w:type="dxa"/>
            </w:tcMar>
          </w:tcPr>
          <w:p>
            <w:r>
              <w:rPr>
                <w:b/>
                <w:color w:val="FFFFFF"/>
                <w:sz w:val="19"/>
              </w:rPr>
              <w:t>Problem Vector</w:t>
            </w:r>
          </w:p>
        </w:tc>
        <w:tc>
          <w:tcPr>
            <w:tcW w:type="dxa" w:w="2340"/>
            <w:shd w:val="clear" w:color="auto" w:fill="0B1E2D"/>
            <w:tcMar>
              <w:top w:w="100" w:type="dxa"/>
              <w:bottom w:w="100" w:type="dxa"/>
              <w:left w:w="100" w:type="dxa"/>
              <w:right w:w="100" w:type="dxa"/>
            </w:tcMar>
          </w:tcPr>
          <w:p>
            <w:r>
              <w:rPr>
                <w:b/>
                <w:color w:val="FFFFFF"/>
                <w:sz w:val="19"/>
              </w:rPr>
              <w:t>Root Cause</w:t>
            </w:r>
          </w:p>
        </w:tc>
        <w:tc>
          <w:tcPr>
            <w:tcW w:type="dxa" w:w="2340"/>
            <w:shd w:val="clear" w:color="auto" w:fill="0B1E2D"/>
            <w:tcMar>
              <w:top w:w="100" w:type="dxa"/>
              <w:bottom w:w="100" w:type="dxa"/>
              <w:left w:w="100" w:type="dxa"/>
              <w:right w:w="100" w:type="dxa"/>
            </w:tcMar>
          </w:tcPr>
          <w:p>
            <w:r>
              <w:rPr>
                <w:b/>
                <w:color w:val="FFFFFF"/>
                <w:sz w:val="19"/>
              </w:rPr>
              <w:t>Financial Impact</w:t>
            </w:r>
          </w:p>
        </w:tc>
        <w:tc>
          <w:tcPr>
            <w:tcW w:type="dxa" w:w="2340"/>
            <w:shd w:val="clear" w:color="auto" w:fill="0B1E2D"/>
            <w:tcMar>
              <w:top w:w="100" w:type="dxa"/>
              <w:bottom w:w="100" w:type="dxa"/>
              <w:left w:w="100" w:type="dxa"/>
              <w:right w:w="100" w:type="dxa"/>
            </w:tcMar>
          </w:tcPr>
          <w:p>
            <w:r>
              <w:rPr>
                <w:b/>
                <w:color w:val="FFFFFF"/>
                <w:sz w:val="19"/>
              </w:rPr>
              <w:t>DeadStock Countermeasure</w:t>
            </w:r>
          </w:p>
        </w:tc>
      </w:tr>
      <w:tr>
        <w:tc>
          <w:tcPr>
            <w:tcW w:type="dxa" w:w="2340"/>
            <w:shd w:val="clear" w:color="auto" w:fill="F8FAFC"/>
            <w:tcMar>
              <w:top w:w="80" w:type="dxa"/>
              <w:bottom w:w="80" w:type="dxa"/>
              <w:left w:w="100" w:type="dxa"/>
              <w:right w:w="100" w:type="dxa"/>
            </w:tcMar>
          </w:tcPr>
          <w:p>
            <w:r>
              <w:rPr>
                <w:sz w:val="18"/>
              </w:rPr>
              <w:t>Velocity Stagnation</w:t>
            </w:r>
          </w:p>
        </w:tc>
        <w:tc>
          <w:tcPr>
            <w:tcW w:type="dxa" w:w="2340"/>
            <w:shd w:val="clear" w:color="auto" w:fill="F8FAFC"/>
            <w:tcMar>
              <w:top w:w="80" w:type="dxa"/>
              <w:bottom w:w="80" w:type="dxa"/>
              <w:left w:w="100" w:type="dxa"/>
              <w:right w:w="100" w:type="dxa"/>
            </w:tcMar>
          </w:tcPr>
          <w:p>
            <w:r>
              <w:rPr>
                <w:sz w:val="18"/>
              </w:rPr>
              <w:t>Gradual drop in demand</w:t>
            </w:r>
          </w:p>
        </w:tc>
        <w:tc>
          <w:tcPr>
            <w:tcW w:type="dxa" w:w="2340"/>
            <w:shd w:val="clear" w:color="auto" w:fill="F8FAFC"/>
            <w:tcMar>
              <w:top w:w="80" w:type="dxa"/>
              <w:bottom w:w="80" w:type="dxa"/>
              <w:left w:w="100" w:type="dxa"/>
              <w:right w:w="100" w:type="dxa"/>
            </w:tcMar>
          </w:tcPr>
          <w:p>
            <w:r>
              <w:rPr>
                <w:sz w:val="18"/>
              </w:rPr>
              <w:t>18-24% annual holding bleed</w:t>
            </w:r>
          </w:p>
        </w:tc>
        <w:tc>
          <w:tcPr>
            <w:tcW w:type="dxa" w:w="2340"/>
            <w:shd w:val="clear" w:color="auto" w:fill="F8FAFC"/>
            <w:tcMar>
              <w:top w:w="80" w:type="dxa"/>
              <w:bottom w:w="80" w:type="dxa"/>
              <w:left w:w="100" w:type="dxa"/>
              <w:right w:w="100" w:type="dxa"/>
            </w:tcMar>
          </w:tcPr>
          <w:p>
            <w:r>
              <w:rPr>
                <w:sz w:val="18"/>
              </w:rPr>
              <w:t>Early AI risk velocity alerts at 60-day mark</w:t>
            </w:r>
          </w:p>
        </w:tc>
      </w:tr>
      <w:tr>
        <w:tc>
          <w:tcPr>
            <w:tcW w:type="dxa" w:w="2340"/>
            <w:shd w:val="clear" w:color="auto" w:fill="FFFFFF"/>
            <w:tcMar>
              <w:top w:w="80" w:type="dxa"/>
              <w:bottom w:w="80" w:type="dxa"/>
              <w:left w:w="100" w:type="dxa"/>
              <w:right w:w="100" w:type="dxa"/>
            </w:tcMar>
          </w:tcPr>
          <w:p>
            <w:r>
              <w:rPr>
                <w:sz w:val="18"/>
              </w:rPr>
              <w:t>Cancelled Orders</w:t>
            </w:r>
          </w:p>
        </w:tc>
        <w:tc>
          <w:tcPr>
            <w:tcW w:type="dxa" w:w="2340"/>
            <w:shd w:val="clear" w:color="auto" w:fill="FFFFFF"/>
            <w:tcMar>
              <w:top w:w="80" w:type="dxa"/>
              <w:bottom w:w="80" w:type="dxa"/>
              <w:left w:w="100" w:type="dxa"/>
              <w:right w:w="100" w:type="dxa"/>
            </w:tcMar>
          </w:tcPr>
          <w:p>
            <w:r>
              <w:rPr>
                <w:sz w:val="18"/>
              </w:rPr>
              <w:t>Downstream buyer pullback</w:t>
            </w:r>
          </w:p>
        </w:tc>
        <w:tc>
          <w:tcPr>
            <w:tcW w:type="dxa" w:w="2340"/>
            <w:shd w:val="clear" w:color="auto" w:fill="FFFFFF"/>
            <w:tcMar>
              <w:top w:w="80" w:type="dxa"/>
              <w:bottom w:w="80" w:type="dxa"/>
              <w:left w:w="100" w:type="dxa"/>
              <w:right w:w="100" w:type="dxa"/>
            </w:tcMar>
          </w:tcPr>
          <w:p>
            <w:r>
              <w:rPr>
                <w:sz w:val="18"/>
              </w:rPr>
              <w:t>100% locked working capital</w:t>
            </w:r>
          </w:p>
        </w:tc>
        <w:tc>
          <w:tcPr>
            <w:tcW w:type="dxa" w:w="2340"/>
            <w:shd w:val="clear" w:color="auto" w:fill="FFFFFF"/>
            <w:tcMar>
              <w:top w:w="80" w:type="dxa"/>
              <w:bottom w:w="80" w:type="dxa"/>
              <w:left w:w="100" w:type="dxa"/>
              <w:right w:w="100" w:type="dxa"/>
            </w:tcMar>
          </w:tcPr>
          <w:p>
            <w:r>
              <w:rPr>
                <w:sz w:val="18"/>
              </w:rPr>
              <w:t>Instant automated B2B buyer matchmaking</w:t>
            </w:r>
          </w:p>
        </w:tc>
      </w:tr>
      <w:tr>
        <w:tc>
          <w:tcPr>
            <w:tcW w:type="dxa" w:w="2340"/>
            <w:shd w:val="clear" w:color="auto" w:fill="F8FAFC"/>
            <w:tcMar>
              <w:top w:w="80" w:type="dxa"/>
              <w:bottom w:w="80" w:type="dxa"/>
              <w:left w:w="100" w:type="dxa"/>
              <w:right w:w="100" w:type="dxa"/>
            </w:tcMar>
          </w:tcPr>
          <w:p>
            <w:r>
              <w:rPr>
                <w:sz w:val="18"/>
              </w:rPr>
              <w:t>MOQ Overhang</w:t>
            </w:r>
          </w:p>
        </w:tc>
        <w:tc>
          <w:tcPr>
            <w:tcW w:type="dxa" w:w="2340"/>
            <w:shd w:val="clear" w:color="auto" w:fill="F8FAFC"/>
            <w:tcMar>
              <w:top w:w="80" w:type="dxa"/>
              <w:bottom w:w="80" w:type="dxa"/>
              <w:left w:w="100" w:type="dxa"/>
              <w:right w:w="100" w:type="dxa"/>
            </w:tcMar>
          </w:tcPr>
          <w:p>
            <w:r>
              <w:rPr>
                <w:sz w:val="18"/>
              </w:rPr>
              <w:t>Bulk procurement rules</w:t>
            </w:r>
          </w:p>
        </w:tc>
        <w:tc>
          <w:tcPr>
            <w:tcW w:type="dxa" w:w="2340"/>
            <w:shd w:val="clear" w:color="auto" w:fill="F8FAFC"/>
            <w:tcMar>
              <w:top w:w="80" w:type="dxa"/>
              <w:bottom w:w="80" w:type="dxa"/>
              <w:left w:w="100" w:type="dxa"/>
              <w:right w:w="100" w:type="dxa"/>
            </w:tcMar>
          </w:tcPr>
          <w:p>
            <w:r>
              <w:rPr>
                <w:sz w:val="18"/>
              </w:rPr>
              <w:t>Severe balance sheet liability</w:t>
            </w:r>
          </w:p>
        </w:tc>
        <w:tc>
          <w:tcPr>
            <w:tcW w:type="dxa" w:w="2340"/>
            <w:shd w:val="clear" w:color="auto" w:fill="F8FAFC"/>
            <w:tcMar>
              <w:top w:w="80" w:type="dxa"/>
              <w:bottom w:w="80" w:type="dxa"/>
              <w:left w:w="100" w:type="dxa"/>
              <w:right w:w="100" w:type="dxa"/>
            </w:tcMar>
          </w:tcPr>
          <w:p>
            <w:r>
              <w:rPr>
                <w:sz w:val="18"/>
              </w:rPr>
              <w:t>Inter-depot transfer &amp; secondary marketplace</w:t>
            </w:r>
          </w:p>
        </w:tc>
      </w:tr>
      <w:tr>
        <w:tc>
          <w:tcPr>
            <w:tcW w:type="dxa" w:w="2340"/>
            <w:shd w:val="clear" w:color="auto" w:fill="FFFFFF"/>
            <w:tcMar>
              <w:top w:w="80" w:type="dxa"/>
              <w:bottom w:w="80" w:type="dxa"/>
              <w:left w:w="100" w:type="dxa"/>
              <w:right w:w="100" w:type="dxa"/>
            </w:tcMar>
          </w:tcPr>
          <w:p>
            <w:r>
              <w:rPr>
                <w:sz w:val="18"/>
              </w:rPr>
              <w:t>Component EOL</w:t>
            </w:r>
          </w:p>
        </w:tc>
        <w:tc>
          <w:tcPr>
            <w:tcW w:type="dxa" w:w="2340"/>
            <w:shd w:val="clear" w:color="auto" w:fill="FFFFFF"/>
            <w:tcMar>
              <w:top w:w="80" w:type="dxa"/>
              <w:bottom w:w="80" w:type="dxa"/>
              <w:left w:w="100" w:type="dxa"/>
              <w:right w:w="100" w:type="dxa"/>
            </w:tcMar>
          </w:tcPr>
          <w:p>
            <w:r>
              <w:rPr>
                <w:sz w:val="18"/>
              </w:rPr>
              <w:t>Spec &amp; firmware revisions</w:t>
            </w:r>
          </w:p>
        </w:tc>
        <w:tc>
          <w:tcPr>
            <w:tcW w:type="dxa" w:w="2340"/>
            <w:shd w:val="clear" w:color="auto" w:fill="FFFFFF"/>
            <w:tcMar>
              <w:top w:w="80" w:type="dxa"/>
              <w:bottom w:w="80" w:type="dxa"/>
              <w:left w:w="100" w:type="dxa"/>
              <w:right w:w="100" w:type="dxa"/>
            </w:tcMar>
          </w:tcPr>
          <w:p>
            <w:r>
              <w:rPr>
                <w:sz w:val="18"/>
              </w:rPr>
              <w:t>Total scrap write-off (0%)</w:t>
            </w:r>
          </w:p>
        </w:tc>
        <w:tc>
          <w:tcPr>
            <w:tcW w:type="dxa" w:w="2340"/>
            <w:shd w:val="clear" w:color="auto" w:fill="FFFFFF"/>
            <w:tcMar>
              <w:top w:w="80" w:type="dxa"/>
              <w:bottom w:w="80" w:type="dxa"/>
              <w:left w:w="100" w:type="dxa"/>
              <w:right w:w="100" w:type="dxa"/>
            </w:tcMar>
          </w:tcPr>
          <w:p>
            <w:r>
              <w:rPr>
                <w:sz w:val="18"/>
              </w:rPr>
              <w:t>Multi-channel recovery simulation &amp; recycling</w:t>
            </w:r>
          </w:p>
        </w:tc>
      </w:tr>
    </w:tbl>
    <w:p>
      <w:pPr>
        <w:spacing w:after="240"/>
      </w:pPr>
    </w:p>
    <w:p>
      <w:pPr>
        <w:spacing w:before="360" w:after="120"/>
      </w:pPr>
      <w:r>
        <w:rPr>
          <w:b/>
          <w:color w:val="0B1E2D"/>
          <w:sz w:val="32"/>
        </w:rPr>
        <w:t>3. The DeadStock Solution Architecture</w:t>
      </w:r>
    </w:p>
    <w:p>
      <w:r>
        <w:t>DeadStock operates on a dual-engine paradigm: Upstream Predictive Risk Triage combined with Downstream Circular Liquidation Execution. The system continuously audits enterprise inventory velocity and maps surplus to active manufacturing demand.</w:t>
      </w:r>
    </w:p>
    <w:p>
      <w:pPr>
        <w:spacing w:before="240" w:after="80"/>
      </w:pPr>
      <w:r>
        <w:rPr>
          <w:b/>
          <w:color w:val="2563EB"/>
          <w:sz w:val="25"/>
        </w:rPr>
        <w:t>Core Subsystems &amp; Functional Modules</w:t>
      </w:r>
    </w:p>
    <w:p>
      <w:pPr>
        <w:pStyle w:val="ListBullet"/>
        <w:spacing w:after="60"/>
      </w:pPr>
      <w:r>
        <w:rPr>
          <w:b/>
          <w:color w:val="0B1E2D"/>
        </w:rPr>
        <w:t>1. Inventory Ingestion &amp; Health Engine:</w:t>
      </w:r>
      <w:r>
        <w:rPr>
          <w:color w:val="0F172A"/>
        </w:rPr>
        <w:t xml:space="preserve"> Connects to enterprise ERP systems or ingests bulk CSV datasets, automatically evaluating age, unit costs, monthly demand, and degradation risk.</w:t>
      </w:r>
    </w:p>
    <w:p>
      <w:pPr>
        <w:pStyle w:val="ListBullet"/>
        <w:spacing w:after="60"/>
      </w:pPr>
      <w:r>
        <w:rPr>
          <w:b/>
          <w:color w:val="0B1E2D"/>
        </w:rPr>
        <w:t>2. Multi-Channel Recovery Calculator:</w:t>
      </w:r>
      <w:r>
        <w:rPr>
          <w:color w:val="0F172A"/>
        </w:rPr>
        <w:t xml:space="preserve"> Simulates financial return across 5 recovery strategies: Direct B2B Liquidation, Inter-depot Transfer, Vendor Restock Claim, Discounted Flash Clearance, and Certified Circular Recycling.</w:t>
      </w:r>
    </w:p>
    <w:p>
      <w:pPr>
        <w:pStyle w:val="ListBullet"/>
        <w:spacing w:after="60"/>
      </w:pPr>
      <w:r>
        <w:rPr>
          <w:b/>
          <w:color w:val="0B1E2D"/>
        </w:rPr>
        <w:t>3. 5-Factor Algorithmic Matchmaker:</w:t>
      </w:r>
      <w:r>
        <w:rPr>
          <w:color w:val="0F172A"/>
        </w:rPr>
        <w:t xml:space="preserve"> Ranks potential buyer enterprises using composite vectors: Product Compatibility, Quantity Tolerance, Industry Domain, Geographic Logistics Proximity, and Price Alignment.</w:t>
      </w:r>
    </w:p>
    <w:p>
      <w:pPr>
        <w:pStyle w:val="ListBullet"/>
        <w:spacing w:after="60"/>
      </w:pPr>
      <w:r>
        <w:rPr>
          <w:b/>
          <w:color w:val="0B1E2D"/>
        </w:rPr>
        <w:t>4. Live Circular Marketplace:</w:t>
      </w:r>
      <w:r>
        <w:rPr>
          <w:color w:val="0F172A"/>
        </w:rPr>
        <w:t xml:space="preserve"> A secure, verified B2B trading floor for surplus industrial components, polymer connectors, PCBs, and packaging materials.</w:t>
      </w:r>
    </w:p>
    <w:p>
      <w:pPr>
        <w:pStyle w:val="ListBullet"/>
        <w:spacing w:after="60"/>
      </w:pPr>
      <w:r>
        <w:rPr>
          <w:b/>
          <w:color w:val="0B1E2D"/>
        </w:rPr>
        <w:t>5. Pack-and-Ship Freight Logistics:</w:t>
      </w:r>
      <w:r>
        <w:rPr>
          <w:color w:val="0F172A"/>
        </w:rPr>
        <w:t xml:space="preserve"> Automated crating guides, freight dispatch coordination, shipment tracking, and escrow settlement.</w:t>
      </w:r>
    </w:p>
    <w:p>
      <w:pPr>
        <w:pStyle w:val="ListBullet"/>
        <w:spacing w:after="60"/>
      </w:pPr>
      <w:r>
        <w:rPr>
          <w:b/>
          <w:color w:val="0B1E2D"/>
        </w:rPr>
        <w:t>6. ESG &amp; Circular Sustainability Ledger:</w:t>
      </w:r>
      <w:r>
        <w:rPr>
          <w:color w:val="0F172A"/>
        </w:rPr>
        <w:t xml:space="preserve"> Calculates avoided landfill tonnage, recirculated component counts, and Scope 3 greenhouse gas offsets.</w:t>
      </w:r>
    </w:p>
    <w:p>
      <w:pPr>
        <w:pStyle w:val="ListBullet"/>
        <w:spacing w:after="60"/>
      </w:pPr>
      <w:r>
        <w:rPr>
          <w:b/>
          <w:color w:val="0B1E2D"/>
        </w:rPr>
        <w:t>7. DeadStock AI Intelligence Assistant:</w:t>
      </w:r>
      <w:r>
        <w:rPr>
          <w:color w:val="0F172A"/>
        </w:rPr>
        <w:t xml:space="preserve"> Natural language conversational agent that parses user intent, prioritizes emergency liquidation, and generates instant executive summaries.</w:t>
      </w:r>
    </w:p>
    <w:p>
      <w:pPr>
        <w:spacing w:before="360" w:after="120"/>
      </w:pPr>
      <w:r>
        <w:rPr>
          <w:b/>
          <w:color w:val="0B1E2D"/>
          <w:sz w:val="32"/>
        </w:rPr>
        <w:t>4. In-Depth Feature Specification</w:t>
      </w:r>
    </w:p>
    <w:p>
      <w:pPr>
        <w:spacing w:before="240" w:after="80"/>
      </w:pPr>
      <w:r>
        <w:rPr>
          <w:b/>
          <w:color w:val="2563EB"/>
          <w:sz w:val="25"/>
        </w:rPr>
        <w:t>4.1. Predictive Risk Scoring Model</w:t>
      </w:r>
    </w:p>
    <w:p>
      <w:r>
        <w:t>Each SKU is evaluated continuously and assigned an AI Risk Score (0% to 100%) and a categorical risk tier:</w:t>
      </w:r>
    </w:p>
    <w:p>
      <w:pPr>
        <w:pStyle w:val="ListBullet"/>
        <w:spacing w:after="60"/>
      </w:pPr>
      <w:r>
        <w:rPr>
          <w:b/>
          <w:color w:val="0B1E2D"/>
        </w:rPr>
        <w:t>CRITICAL (80% - 100%):</w:t>
      </w:r>
      <w:r>
        <w:rPr>
          <w:color w:val="0F172A"/>
        </w:rPr>
        <w:t xml:space="preserve"> Stock level exceeds 3.5x annual run-rate with velocity drop &gt; 50%. Immediate liquidation protocol triggered.</w:t>
      </w:r>
    </w:p>
    <w:p>
      <w:pPr>
        <w:pStyle w:val="ListBullet"/>
        <w:spacing w:after="60"/>
      </w:pPr>
      <w:r>
        <w:rPr>
          <w:b/>
          <w:color w:val="0B1E2D"/>
        </w:rPr>
        <w:t>HIGH (60% - 79%):</w:t>
      </w:r>
      <w:r>
        <w:rPr>
          <w:color w:val="0F172A"/>
        </w:rPr>
        <w:t xml:space="preserve"> Holding costs exceed 15% of margin. Secondary buyer matching recommended.</w:t>
      </w:r>
    </w:p>
    <w:p>
      <w:pPr>
        <w:pStyle w:val="ListBullet"/>
        <w:spacing w:after="60"/>
      </w:pPr>
      <w:r>
        <w:rPr>
          <w:b/>
          <w:color w:val="0B1E2D"/>
        </w:rPr>
        <w:t>MODERATE (40% - 59%):</w:t>
      </w:r>
      <w:r>
        <w:rPr>
          <w:color w:val="0F172A"/>
        </w:rPr>
        <w:t xml:space="preserve"> Turnover rate decelerating. Recommended action: Monitor or apply localized promotional discount.</w:t>
      </w:r>
    </w:p>
    <w:p>
      <w:pPr>
        <w:pStyle w:val="ListBullet"/>
        <w:spacing w:after="60"/>
      </w:pPr>
      <w:r>
        <w:rPr>
          <w:b/>
          <w:color w:val="0B1E2D"/>
        </w:rPr>
        <w:t>LOW (0% - 39%):</w:t>
      </w:r>
      <w:r>
        <w:rPr>
          <w:color w:val="0F172A"/>
        </w:rPr>
        <w:t xml:space="preserve"> Healthy operating stock within standard procurement cycle turnover.</w:t>
      </w:r>
    </w:p>
    <w:p>
      <w:pPr>
        <w:spacing w:before="240" w:after="80"/>
      </w:pPr>
      <w:r>
        <w:rPr>
          <w:b/>
          <w:color w:val="2563EB"/>
          <w:sz w:val="25"/>
        </w:rPr>
        <w:t>4.2. Recovery Yield Comparison Matrix</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E2D"/>
            <w:tcMar>
              <w:top w:w="100" w:type="dxa"/>
              <w:bottom w:w="100" w:type="dxa"/>
              <w:left w:w="100" w:type="dxa"/>
              <w:right w:w="100" w:type="dxa"/>
            </w:tcMar>
          </w:tcPr>
          <w:p>
            <w:r>
              <w:rPr>
                <w:b/>
                <w:color w:val="FFFFFF"/>
                <w:sz w:val="19"/>
              </w:rPr>
              <w:t>Recovery Strategy</w:t>
            </w:r>
          </w:p>
        </w:tc>
        <w:tc>
          <w:tcPr>
            <w:tcW w:type="dxa" w:w="2340"/>
            <w:shd w:val="clear" w:color="auto" w:fill="0B1E2D"/>
            <w:tcMar>
              <w:top w:w="100" w:type="dxa"/>
              <w:bottom w:w="100" w:type="dxa"/>
              <w:left w:w="100" w:type="dxa"/>
              <w:right w:w="100" w:type="dxa"/>
            </w:tcMar>
          </w:tcPr>
          <w:p>
            <w:r>
              <w:rPr>
                <w:b/>
                <w:color w:val="FFFFFF"/>
                <w:sz w:val="19"/>
              </w:rPr>
              <w:t>Capital Recaptured</w:t>
            </w:r>
          </w:p>
        </w:tc>
        <w:tc>
          <w:tcPr>
            <w:tcW w:type="dxa" w:w="2340"/>
            <w:shd w:val="clear" w:color="auto" w:fill="0B1E2D"/>
            <w:tcMar>
              <w:top w:w="100" w:type="dxa"/>
              <w:bottom w:w="100" w:type="dxa"/>
              <w:left w:w="100" w:type="dxa"/>
              <w:right w:w="100" w:type="dxa"/>
            </w:tcMar>
          </w:tcPr>
          <w:p>
            <w:r>
              <w:rPr>
                <w:b/>
                <w:color w:val="FFFFFF"/>
                <w:sz w:val="19"/>
              </w:rPr>
              <w:t>Execution Time</w:t>
            </w:r>
          </w:p>
        </w:tc>
        <w:tc>
          <w:tcPr>
            <w:tcW w:type="dxa" w:w="2340"/>
            <w:shd w:val="clear" w:color="auto" w:fill="0B1E2D"/>
            <w:tcMar>
              <w:top w:w="100" w:type="dxa"/>
              <w:bottom w:w="100" w:type="dxa"/>
              <w:left w:w="100" w:type="dxa"/>
              <w:right w:w="100" w:type="dxa"/>
            </w:tcMar>
          </w:tcPr>
          <w:p>
            <w:r>
              <w:rPr>
                <w:b/>
                <w:color w:val="FFFFFF"/>
                <w:sz w:val="19"/>
              </w:rPr>
              <w:t>Primary Application</w:t>
            </w:r>
          </w:p>
        </w:tc>
      </w:tr>
      <w:tr>
        <w:tc>
          <w:tcPr>
            <w:tcW w:type="dxa" w:w="2340"/>
            <w:shd w:val="clear" w:color="auto" w:fill="F8FAFC"/>
            <w:tcMar>
              <w:top w:w="80" w:type="dxa"/>
              <w:bottom w:w="80" w:type="dxa"/>
              <w:left w:w="100" w:type="dxa"/>
              <w:right w:w="100" w:type="dxa"/>
            </w:tcMar>
          </w:tcPr>
          <w:p>
            <w:r>
              <w:rPr>
                <w:sz w:val="18"/>
              </w:rPr>
              <w:t>Direct B2B Buyer Sale</w:t>
            </w:r>
          </w:p>
        </w:tc>
        <w:tc>
          <w:tcPr>
            <w:tcW w:type="dxa" w:w="2340"/>
            <w:shd w:val="clear" w:color="auto" w:fill="F8FAFC"/>
            <w:tcMar>
              <w:top w:w="80" w:type="dxa"/>
              <w:bottom w:w="80" w:type="dxa"/>
              <w:left w:w="100" w:type="dxa"/>
              <w:right w:w="100" w:type="dxa"/>
            </w:tcMar>
          </w:tcPr>
          <w:p>
            <w:r>
              <w:rPr>
                <w:sz w:val="18"/>
              </w:rPr>
              <w:t>70% – 85% of Cost</w:t>
            </w:r>
          </w:p>
        </w:tc>
        <w:tc>
          <w:tcPr>
            <w:tcW w:type="dxa" w:w="2340"/>
            <w:shd w:val="clear" w:color="auto" w:fill="F8FAFC"/>
            <w:tcMar>
              <w:top w:w="80" w:type="dxa"/>
              <w:bottom w:w="80" w:type="dxa"/>
              <w:left w:w="100" w:type="dxa"/>
              <w:right w:w="100" w:type="dxa"/>
            </w:tcMar>
          </w:tcPr>
          <w:p>
            <w:r>
              <w:rPr>
                <w:sz w:val="18"/>
              </w:rPr>
              <w:t>3 – 7 Days</w:t>
            </w:r>
          </w:p>
        </w:tc>
        <w:tc>
          <w:tcPr>
            <w:tcW w:type="dxa" w:w="2340"/>
            <w:shd w:val="clear" w:color="auto" w:fill="F8FAFC"/>
            <w:tcMar>
              <w:top w:w="80" w:type="dxa"/>
              <w:bottom w:w="80" w:type="dxa"/>
              <w:left w:w="100" w:type="dxa"/>
              <w:right w:w="100" w:type="dxa"/>
            </w:tcMar>
          </w:tcPr>
          <w:p>
            <w:r>
              <w:rPr>
                <w:sz w:val="18"/>
              </w:rPr>
              <w:t>High-spec components matching active buyers</w:t>
            </w:r>
          </w:p>
        </w:tc>
      </w:tr>
      <w:tr>
        <w:tc>
          <w:tcPr>
            <w:tcW w:type="dxa" w:w="2340"/>
            <w:shd w:val="clear" w:color="auto" w:fill="FFFFFF"/>
            <w:tcMar>
              <w:top w:w="80" w:type="dxa"/>
              <w:bottom w:w="80" w:type="dxa"/>
              <w:left w:w="100" w:type="dxa"/>
              <w:right w:w="100" w:type="dxa"/>
            </w:tcMar>
          </w:tcPr>
          <w:p>
            <w:r>
              <w:rPr>
                <w:sz w:val="18"/>
              </w:rPr>
              <w:t>Inter-Depot Redistribution</w:t>
            </w:r>
          </w:p>
        </w:tc>
        <w:tc>
          <w:tcPr>
            <w:tcW w:type="dxa" w:w="2340"/>
            <w:shd w:val="clear" w:color="auto" w:fill="FFFFFF"/>
            <w:tcMar>
              <w:top w:w="80" w:type="dxa"/>
              <w:bottom w:w="80" w:type="dxa"/>
              <w:left w:w="100" w:type="dxa"/>
              <w:right w:w="100" w:type="dxa"/>
            </w:tcMar>
          </w:tcPr>
          <w:p>
            <w:r>
              <w:rPr>
                <w:sz w:val="18"/>
              </w:rPr>
              <w:t>90% – 95% of Value</w:t>
            </w:r>
          </w:p>
        </w:tc>
        <w:tc>
          <w:tcPr>
            <w:tcW w:type="dxa" w:w="2340"/>
            <w:shd w:val="clear" w:color="auto" w:fill="FFFFFF"/>
            <w:tcMar>
              <w:top w:w="80" w:type="dxa"/>
              <w:bottom w:w="80" w:type="dxa"/>
              <w:left w:w="100" w:type="dxa"/>
              <w:right w:w="100" w:type="dxa"/>
            </w:tcMar>
          </w:tcPr>
          <w:p>
            <w:r>
              <w:rPr>
                <w:sz w:val="18"/>
              </w:rPr>
              <w:t>2 – 4 Days</w:t>
            </w:r>
          </w:p>
        </w:tc>
        <w:tc>
          <w:tcPr>
            <w:tcW w:type="dxa" w:w="2340"/>
            <w:shd w:val="clear" w:color="auto" w:fill="FFFFFF"/>
            <w:tcMar>
              <w:top w:w="80" w:type="dxa"/>
              <w:bottom w:w="80" w:type="dxa"/>
              <w:left w:w="100" w:type="dxa"/>
              <w:right w:w="100" w:type="dxa"/>
            </w:tcMar>
          </w:tcPr>
          <w:p>
            <w:r>
              <w:rPr>
                <w:sz w:val="18"/>
              </w:rPr>
              <w:t>Stock deficit in sister warehouses</w:t>
            </w:r>
          </w:p>
        </w:tc>
      </w:tr>
      <w:tr>
        <w:tc>
          <w:tcPr>
            <w:tcW w:type="dxa" w:w="2340"/>
            <w:shd w:val="clear" w:color="auto" w:fill="F8FAFC"/>
            <w:tcMar>
              <w:top w:w="80" w:type="dxa"/>
              <w:bottom w:w="80" w:type="dxa"/>
              <w:left w:w="100" w:type="dxa"/>
              <w:right w:w="100" w:type="dxa"/>
            </w:tcMar>
          </w:tcPr>
          <w:p>
            <w:r>
              <w:rPr>
                <w:sz w:val="18"/>
              </w:rPr>
              <w:t>Vendor Return / Buyback</w:t>
            </w:r>
          </w:p>
        </w:tc>
        <w:tc>
          <w:tcPr>
            <w:tcW w:type="dxa" w:w="2340"/>
            <w:shd w:val="clear" w:color="auto" w:fill="F8FAFC"/>
            <w:tcMar>
              <w:top w:w="80" w:type="dxa"/>
              <w:bottom w:w="80" w:type="dxa"/>
              <w:left w:w="100" w:type="dxa"/>
              <w:right w:w="100" w:type="dxa"/>
            </w:tcMar>
          </w:tcPr>
          <w:p>
            <w:r>
              <w:rPr>
                <w:sz w:val="18"/>
              </w:rPr>
              <w:t>75% – 85% (less fee)</w:t>
            </w:r>
          </w:p>
        </w:tc>
        <w:tc>
          <w:tcPr>
            <w:tcW w:type="dxa" w:w="2340"/>
            <w:shd w:val="clear" w:color="auto" w:fill="F8FAFC"/>
            <w:tcMar>
              <w:top w:w="80" w:type="dxa"/>
              <w:bottom w:w="80" w:type="dxa"/>
              <w:left w:w="100" w:type="dxa"/>
              <w:right w:w="100" w:type="dxa"/>
            </w:tcMar>
          </w:tcPr>
          <w:p>
            <w:r>
              <w:rPr>
                <w:sz w:val="18"/>
              </w:rPr>
              <w:t>10 – 14 Days</w:t>
            </w:r>
          </w:p>
        </w:tc>
        <w:tc>
          <w:tcPr>
            <w:tcW w:type="dxa" w:w="2340"/>
            <w:shd w:val="clear" w:color="auto" w:fill="F8FAFC"/>
            <w:tcMar>
              <w:top w:w="80" w:type="dxa"/>
              <w:bottom w:w="80" w:type="dxa"/>
              <w:left w:w="100" w:type="dxa"/>
              <w:right w:w="100" w:type="dxa"/>
            </w:tcMar>
          </w:tcPr>
          <w:p>
            <w:r>
              <w:rPr>
                <w:sz w:val="18"/>
              </w:rPr>
              <w:t>Active vendor restock agreements</w:t>
            </w:r>
          </w:p>
        </w:tc>
      </w:tr>
      <w:tr>
        <w:tc>
          <w:tcPr>
            <w:tcW w:type="dxa" w:w="2340"/>
            <w:shd w:val="clear" w:color="auto" w:fill="FFFFFF"/>
            <w:tcMar>
              <w:top w:w="80" w:type="dxa"/>
              <w:bottom w:w="80" w:type="dxa"/>
              <w:left w:w="100" w:type="dxa"/>
              <w:right w:w="100" w:type="dxa"/>
            </w:tcMar>
          </w:tcPr>
          <w:p>
            <w:r>
              <w:rPr>
                <w:sz w:val="18"/>
              </w:rPr>
              <w:t>Marketplace Flash Clearance</w:t>
            </w:r>
          </w:p>
        </w:tc>
        <w:tc>
          <w:tcPr>
            <w:tcW w:type="dxa" w:w="2340"/>
            <w:shd w:val="clear" w:color="auto" w:fill="FFFFFF"/>
            <w:tcMar>
              <w:top w:w="80" w:type="dxa"/>
              <w:bottom w:w="80" w:type="dxa"/>
              <w:left w:w="100" w:type="dxa"/>
              <w:right w:w="100" w:type="dxa"/>
            </w:tcMar>
          </w:tcPr>
          <w:p>
            <w:r>
              <w:rPr>
                <w:sz w:val="18"/>
              </w:rPr>
              <w:t>50% – 65% of Cost</w:t>
            </w:r>
          </w:p>
        </w:tc>
        <w:tc>
          <w:tcPr>
            <w:tcW w:type="dxa" w:w="2340"/>
            <w:shd w:val="clear" w:color="auto" w:fill="FFFFFF"/>
            <w:tcMar>
              <w:top w:w="80" w:type="dxa"/>
              <w:bottom w:w="80" w:type="dxa"/>
              <w:left w:w="100" w:type="dxa"/>
              <w:right w:w="100" w:type="dxa"/>
            </w:tcMar>
          </w:tcPr>
          <w:p>
            <w:r>
              <w:rPr>
                <w:sz w:val="18"/>
              </w:rPr>
              <w:t>5 – 10 Days</w:t>
            </w:r>
          </w:p>
        </w:tc>
        <w:tc>
          <w:tcPr>
            <w:tcW w:type="dxa" w:w="2340"/>
            <w:shd w:val="clear" w:color="auto" w:fill="FFFFFF"/>
            <w:tcMar>
              <w:top w:w="80" w:type="dxa"/>
              <w:bottom w:w="80" w:type="dxa"/>
              <w:left w:w="100" w:type="dxa"/>
              <w:right w:w="100" w:type="dxa"/>
            </w:tcMar>
          </w:tcPr>
          <w:p>
            <w:r>
              <w:rPr>
                <w:sz w:val="18"/>
              </w:rPr>
              <w:t>Standardized commodity hardware</w:t>
            </w:r>
          </w:p>
        </w:tc>
      </w:tr>
      <w:tr>
        <w:tc>
          <w:tcPr>
            <w:tcW w:type="dxa" w:w="2340"/>
            <w:shd w:val="clear" w:color="auto" w:fill="F8FAFC"/>
            <w:tcMar>
              <w:top w:w="80" w:type="dxa"/>
              <w:bottom w:w="80" w:type="dxa"/>
              <w:left w:w="100" w:type="dxa"/>
              <w:right w:w="100" w:type="dxa"/>
            </w:tcMar>
          </w:tcPr>
          <w:p>
            <w:r>
              <w:rPr>
                <w:sz w:val="18"/>
              </w:rPr>
              <w:t>Certified Circular Recycling</w:t>
            </w:r>
          </w:p>
        </w:tc>
        <w:tc>
          <w:tcPr>
            <w:tcW w:type="dxa" w:w="2340"/>
            <w:shd w:val="clear" w:color="auto" w:fill="F8FAFC"/>
            <w:tcMar>
              <w:top w:w="80" w:type="dxa"/>
              <w:bottom w:w="80" w:type="dxa"/>
              <w:left w:w="100" w:type="dxa"/>
              <w:right w:w="100" w:type="dxa"/>
            </w:tcMar>
          </w:tcPr>
          <w:p>
            <w:r>
              <w:rPr>
                <w:sz w:val="18"/>
              </w:rPr>
              <w:t>25% – 40% (Material)</w:t>
            </w:r>
          </w:p>
        </w:tc>
        <w:tc>
          <w:tcPr>
            <w:tcW w:type="dxa" w:w="2340"/>
            <w:shd w:val="clear" w:color="auto" w:fill="F8FAFC"/>
            <w:tcMar>
              <w:top w:w="80" w:type="dxa"/>
              <w:bottom w:w="80" w:type="dxa"/>
              <w:left w:w="100" w:type="dxa"/>
              <w:right w:w="100" w:type="dxa"/>
            </w:tcMar>
          </w:tcPr>
          <w:p>
            <w:r>
              <w:rPr>
                <w:sz w:val="18"/>
              </w:rPr>
              <w:t>1 – 3 Days</w:t>
            </w:r>
          </w:p>
        </w:tc>
        <w:tc>
          <w:tcPr>
            <w:tcW w:type="dxa" w:w="2340"/>
            <w:shd w:val="clear" w:color="auto" w:fill="F8FAFC"/>
            <w:tcMar>
              <w:top w:w="80" w:type="dxa"/>
              <w:bottom w:w="80" w:type="dxa"/>
              <w:left w:w="100" w:type="dxa"/>
              <w:right w:w="100" w:type="dxa"/>
            </w:tcMar>
          </w:tcPr>
          <w:p>
            <w:r>
              <w:rPr>
                <w:sz w:val="18"/>
              </w:rPr>
              <w:t>Deprecated plastics, metals, and scrap</w:t>
            </w:r>
          </w:p>
        </w:tc>
      </w:tr>
    </w:tbl>
    <w:p>
      <w:pPr>
        <w:spacing w:after="240"/>
      </w:pPr>
    </w:p>
    <w:p>
      <w:pPr>
        <w:spacing w:before="360" w:after="120"/>
      </w:pPr>
      <w:r>
        <w:rPr>
          <w:b/>
          <w:color w:val="0B1E2D"/>
          <w:sz w:val="32"/>
        </w:rPr>
        <w:t>5. Technology Stack &amp; Technical Implementation</w:t>
      </w:r>
    </w:p>
    <w:p>
      <w:r>
        <w:t>DeadStock is built with a resilient, modern, high-performance decoupled architecture:</w:t>
      </w:r>
    </w:p>
    <w:p>
      <w:pPr>
        <w:pStyle w:val="ListBullet"/>
        <w:spacing w:after="60"/>
      </w:pPr>
      <w:r>
        <w:rPr>
          <w:b/>
          <w:color w:val="0B1E2D"/>
        </w:rPr>
        <w:t>Frontend Framework:</w:t>
      </w:r>
      <w:r>
        <w:rPr>
          <w:color w:val="0F172A"/>
        </w:rPr>
        <w:t xml:space="preserve"> Next.js 16 (App Router + Turbopack) leveraging React 19, TypeScript, and Server/Client Components.</w:t>
      </w:r>
    </w:p>
    <w:p>
      <w:pPr>
        <w:pStyle w:val="ListBullet"/>
        <w:spacing w:after="60"/>
      </w:pPr>
      <w:r>
        <w:rPr>
          <w:b/>
          <w:color w:val="0B1E2D"/>
        </w:rPr>
        <w:t>Styling &amp; UX:</w:t>
      </w:r>
      <w:r>
        <w:rPr>
          <w:color w:val="0F172A"/>
        </w:rPr>
        <w:t xml:space="preserve"> Tailwind CSS v4, Framer Motion for kinetic physics, GSAP, and Lucide React icons.</w:t>
      </w:r>
    </w:p>
    <w:p>
      <w:pPr>
        <w:pStyle w:val="ListBullet"/>
        <w:spacing w:after="60"/>
      </w:pPr>
      <w:r>
        <w:rPr>
          <w:b/>
          <w:color w:val="0B1E2D"/>
        </w:rPr>
        <w:t>Backend API Layer:</w:t>
      </w:r>
      <w:r>
        <w:rPr>
          <w:color w:val="0F172A"/>
        </w:rPr>
        <w:t xml:space="preserve"> Laravel 12 (PHP 8.3) with RESTful API v1 architecture, Eloquent ORM, and database-agnostic drivers (PostgreSQL / SQLite).</w:t>
      </w:r>
    </w:p>
    <w:p>
      <w:pPr>
        <w:pStyle w:val="ListBullet"/>
        <w:spacing w:after="60"/>
      </w:pPr>
      <w:r>
        <w:rPr>
          <w:b/>
          <w:color w:val="0B1E2D"/>
        </w:rPr>
        <w:t>Security &amp; Auth:</w:t>
      </w:r>
      <w:r>
        <w:rPr>
          <w:color w:val="0F172A"/>
        </w:rPr>
        <w:t xml:space="preserve"> Laravel Sanctum token-based authentication with role-based access control (Admin, Seller, Buyer, Auditor).</w:t>
      </w:r>
    </w:p>
    <w:p>
      <w:pPr>
        <w:pStyle w:val="ListBullet"/>
        <w:spacing w:after="60"/>
      </w:pPr>
      <w:r>
        <w:rPr>
          <w:b/>
          <w:color w:val="0B1E2D"/>
        </w:rPr>
        <w:t>Analytical / ML Bridge:</w:t>
      </w:r>
      <w:r>
        <w:rPr>
          <w:color w:val="0F172A"/>
        </w:rPr>
        <w:t xml:space="preserve"> Python / Scikit-Learn analytical scripts for demand forecasting and multi-dimensional regression modeling.</w:t>
      </w:r>
    </w:p>
    <w:p>
      <w:pPr>
        <w:spacing w:before="240" w:after="80"/>
      </w:pPr>
      <w:r>
        <w:rPr>
          <w:b/>
          <w:color w:val="2563EB"/>
          <w:sz w:val="25"/>
        </w:rPr>
        <w:t>Core API Endpoints Overview</w:t>
      </w:r>
    </w:p>
    <w:p>
      <w:pPr>
        <w:pStyle w:val="ListBullet"/>
        <w:spacing w:after="60"/>
      </w:pPr>
      <w:r>
        <w:rPr>
          <w:b/>
          <w:color w:val="0B1E2D"/>
        </w:rPr>
        <w:t>Authentication:</w:t>
      </w:r>
      <w:r>
        <w:rPr>
          <w:color w:val="0F172A"/>
        </w:rPr>
        <w:t xml:space="preserve"> POST /api/v1/auth/register, POST /api/v1/auth/login, GET /api/v1/auth/me</w:t>
      </w:r>
    </w:p>
    <w:p>
      <w:pPr>
        <w:pStyle w:val="ListBullet"/>
        <w:spacing w:after="60"/>
      </w:pPr>
      <w:r>
        <w:rPr>
          <w:b/>
          <w:color w:val="0B1E2D"/>
        </w:rPr>
        <w:t>Inventory &amp; Risk:</w:t>
      </w:r>
      <w:r>
        <w:rPr>
          <w:color w:val="0F172A"/>
        </w:rPr>
        <w:t xml:space="preserve"> GET /api/v1/inventory (with filters), GET /api/v1/inventory/{id}, POST /api/v1/inventory</w:t>
      </w:r>
    </w:p>
    <w:p>
      <w:pPr>
        <w:pStyle w:val="ListBullet"/>
        <w:spacing w:after="60"/>
      </w:pPr>
      <w:r>
        <w:rPr>
          <w:b/>
          <w:color w:val="0B1E2D"/>
        </w:rPr>
        <w:t>Buyer Matchmaking:</w:t>
      </w:r>
      <w:r>
        <w:rPr>
          <w:color w:val="0F172A"/>
        </w:rPr>
        <w:t xml:space="preserve"> GET /api/v1/matches, GET /api/v1/matches/{sku}</w:t>
      </w:r>
    </w:p>
    <w:p>
      <w:pPr>
        <w:pStyle w:val="ListBullet"/>
        <w:spacing w:after="60"/>
      </w:pPr>
      <w:r>
        <w:rPr>
          <w:b/>
          <w:color w:val="0B1E2D"/>
        </w:rPr>
        <w:t>Marketplace Operations:</w:t>
      </w:r>
      <w:r>
        <w:rPr>
          <w:color w:val="0F172A"/>
        </w:rPr>
        <w:t xml:space="preserve"> GET /api/v1/marketplace/listings, POST /api/v1/marketplace/listings</w:t>
      </w:r>
    </w:p>
    <w:p>
      <w:pPr>
        <w:pStyle w:val="ListBullet"/>
        <w:spacing w:after="60"/>
      </w:pPr>
      <w:r>
        <w:rPr>
          <w:b/>
          <w:color w:val="0B1E2D"/>
        </w:rPr>
        <w:t>Analytics &amp; ESG:</w:t>
      </w:r>
      <w:r>
        <w:rPr>
          <w:color w:val="0F172A"/>
        </w:rPr>
        <w:t xml:space="preserve"> GET /api/v1/dashboard/summary, GET /api/v1/sustainability/metrics</w:t>
      </w:r>
    </w:p>
    <w:p>
      <w:pPr>
        <w:pStyle w:val="ListBullet"/>
        <w:spacing w:after="60"/>
      </w:pPr>
      <w:r>
        <w:rPr>
          <w:b/>
          <w:color w:val="0B1E2D"/>
        </w:rPr>
        <w:t>AI Intelligence:</w:t>
      </w:r>
      <w:r>
        <w:rPr>
          <w:color w:val="0F172A"/>
        </w:rPr>
        <w:t xml:space="preserve"> POST /api/v1/ai/ask (Intent-driven conversational NLP engine)</w:t>
      </w:r>
    </w:p>
    <w:p>
      <w:pPr>
        <w:spacing w:before="360" w:after="120"/>
      </w:pPr>
      <w:r>
        <w:rPr>
          <w:b/>
          <w:color w:val="0B1E2D"/>
          <w:sz w:val="32"/>
        </w:rPr>
        <w:t>6. Business Model &amp; Commercial Strategy</w:t>
      </w:r>
    </w:p>
    <w:p>
      <w:r>
        <w:t>DeadStock deploys a diversified SaaS + Transaction fee monetization model designed to lower adoption barriers while capturing value upon successful liquidations.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E2D"/>
            <w:tcMar>
              <w:top w:w="100" w:type="dxa"/>
              <w:bottom w:w="100" w:type="dxa"/>
              <w:left w:w="100" w:type="dxa"/>
              <w:right w:w="100" w:type="dxa"/>
            </w:tcMar>
          </w:tcPr>
          <w:p>
            <w:r>
              <w:rPr>
                <w:b/>
                <w:color w:val="FFFFFF"/>
                <w:sz w:val="19"/>
              </w:rPr>
              <w:t>Plan Tier</w:t>
            </w:r>
          </w:p>
        </w:tc>
        <w:tc>
          <w:tcPr>
            <w:tcW w:type="dxa" w:w="2340"/>
            <w:shd w:val="clear" w:color="auto" w:fill="0B1E2D"/>
            <w:tcMar>
              <w:top w:w="100" w:type="dxa"/>
              <w:bottom w:w="100" w:type="dxa"/>
              <w:left w:w="100" w:type="dxa"/>
              <w:right w:w="100" w:type="dxa"/>
            </w:tcMar>
          </w:tcPr>
          <w:p>
            <w:r>
              <w:rPr>
                <w:b/>
                <w:color w:val="FFFFFF"/>
                <w:sz w:val="19"/>
              </w:rPr>
              <w:t>Monthly / Annual Price</w:t>
            </w:r>
          </w:p>
        </w:tc>
        <w:tc>
          <w:tcPr>
            <w:tcW w:type="dxa" w:w="2340"/>
            <w:shd w:val="clear" w:color="auto" w:fill="0B1E2D"/>
            <w:tcMar>
              <w:top w:w="100" w:type="dxa"/>
              <w:bottom w:w="100" w:type="dxa"/>
              <w:left w:w="100" w:type="dxa"/>
              <w:right w:w="100" w:type="dxa"/>
            </w:tcMar>
          </w:tcPr>
          <w:p>
            <w:r>
              <w:rPr>
                <w:b/>
                <w:color w:val="FFFFFF"/>
                <w:sz w:val="19"/>
              </w:rPr>
              <w:t>Included Listings &amp; Capacity</w:t>
            </w:r>
          </w:p>
        </w:tc>
        <w:tc>
          <w:tcPr>
            <w:tcW w:type="dxa" w:w="2340"/>
            <w:shd w:val="clear" w:color="auto" w:fill="0B1E2D"/>
            <w:tcMar>
              <w:top w:w="100" w:type="dxa"/>
              <w:bottom w:w="100" w:type="dxa"/>
              <w:left w:w="100" w:type="dxa"/>
              <w:right w:w="100" w:type="dxa"/>
            </w:tcMar>
          </w:tcPr>
          <w:p>
            <w:r>
              <w:rPr>
                <w:b/>
                <w:color w:val="FFFFFF"/>
                <w:sz w:val="19"/>
              </w:rPr>
              <w:t>Target Customer</w:t>
            </w:r>
          </w:p>
        </w:tc>
      </w:tr>
      <w:tr>
        <w:tc>
          <w:tcPr>
            <w:tcW w:type="dxa" w:w="2340"/>
            <w:shd w:val="clear" w:color="auto" w:fill="F8FAFC"/>
            <w:tcMar>
              <w:top w:w="80" w:type="dxa"/>
              <w:bottom w:w="80" w:type="dxa"/>
              <w:left w:w="100" w:type="dxa"/>
              <w:right w:w="100" w:type="dxa"/>
            </w:tcMar>
          </w:tcPr>
          <w:p>
            <w:r>
              <w:rPr>
                <w:sz w:val="18"/>
              </w:rPr>
              <w:t>Basic Tier</w:t>
            </w:r>
          </w:p>
        </w:tc>
        <w:tc>
          <w:tcPr>
            <w:tcW w:type="dxa" w:w="2340"/>
            <w:shd w:val="clear" w:color="auto" w:fill="F8FAFC"/>
            <w:tcMar>
              <w:top w:w="80" w:type="dxa"/>
              <w:bottom w:w="80" w:type="dxa"/>
              <w:left w:w="100" w:type="dxa"/>
              <w:right w:w="100" w:type="dxa"/>
            </w:tcMar>
          </w:tcPr>
          <w:p>
            <w:r>
              <w:rPr>
                <w:sz w:val="18"/>
              </w:rPr>
              <w:t>₹0 / Free</w:t>
            </w:r>
          </w:p>
        </w:tc>
        <w:tc>
          <w:tcPr>
            <w:tcW w:type="dxa" w:w="2340"/>
            <w:shd w:val="clear" w:color="auto" w:fill="F8FAFC"/>
            <w:tcMar>
              <w:top w:w="80" w:type="dxa"/>
              <w:bottom w:w="80" w:type="dxa"/>
              <w:left w:w="100" w:type="dxa"/>
              <w:right w:w="100" w:type="dxa"/>
            </w:tcMar>
          </w:tcPr>
          <w:p>
            <w:r>
              <w:rPr>
                <w:sz w:val="18"/>
              </w:rPr>
              <w:t>Up to 50 active listings, CSV import, basic analytics</w:t>
            </w:r>
          </w:p>
        </w:tc>
        <w:tc>
          <w:tcPr>
            <w:tcW w:type="dxa" w:w="2340"/>
            <w:shd w:val="clear" w:color="auto" w:fill="F8FAFC"/>
            <w:tcMar>
              <w:top w:w="80" w:type="dxa"/>
              <w:bottom w:w="80" w:type="dxa"/>
              <w:left w:w="100" w:type="dxa"/>
              <w:right w:w="100" w:type="dxa"/>
            </w:tcMar>
          </w:tcPr>
          <w:p>
            <w:r>
              <w:rPr>
                <w:sz w:val="18"/>
              </w:rPr>
              <w:t>Small businesses &amp; single-facility suppliers</w:t>
            </w:r>
          </w:p>
        </w:tc>
      </w:tr>
      <w:tr>
        <w:tc>
          <w:tcPr>
            <w:tcW w:type="dxa" w:w="2340"/>
            <w:shd w:val="clear" w:color="auto" w:fill="FFFFFF"/>
            <w:tcMar>
              <w:top w:w="80" w:type="dxa"/>
              <w:bottom w:w="80" w:type="dxa"/>
              <w:left w:w="100" w:type="dxa"/>
              <w:right w:w="100" w:type="dxa"/>
            </w:tcMar>
          </w:tcPr>
          <w:p>
            <w:r>
              <w:rPr>
                <w:sz w:val="18"/>
              </w:rPr>
              <w:t>Pro Plan</w:t>
            </w:r>
          </w:p>
        </w:tc>
        <w:tc>
          <w:tcPr>
            <w:tcW w:type="dxa" w:w="2340"/>
            <w:shd w:val="clear" w:color="auto" w:fill="FFFFFF"/>
            <w:tcMar>
              <w:top w:w="80" w:type="dxa"/>
              <w:bottom w:w="80" w:type="dxa"/>
              <w:left w:w="100" w:type="dxa"/>
              <w:right w:w="100" w:type="dxa"/>
            </w:tcMar>
          </w:tcPr>
          <w:p>
            <w:r>
              <w:rPr>
                <w:sz w:val="18"/>
              </w:rPr>
              <w:t>₹4,999/mo (₹3,999/mo yearly)</w:t>
            </w:r>
          </w:p>
        </w:tc>
        <w:tc>
          <w:tcPr>
            <w:tcW w:type="dxa" w:w="2340"/>
            <w:shd w:val="clear" w:color="auto" w:fill="FFFFFF"/>
            <w:tcMar>
              <w:top w:w="80" w:type="dxa"/>
              <w:bottom w:w="80" w:type="dxa"/>
              <w:left w:w="100" w:type="dxa"/>
              <w:right w:w="100" w:type="dxa"/>
            </w:tcMar>
          </w:tcPr>
          <w:p>
            <w:r>
              <w:rPr>
                <w:sz w:val="18"/>
              </w:rPr>
              <w:t>Unlimited listings, AI buyer matching, 50 shipments, 24/7 support</w:t>
            </w:r>
          </w:p>
        </w:tc>
        <w:tc>
          <w:tcPr>
            <w:tcW w:type="dxa" w:w="2340"/>
            <w:shd w:val="clear" w:color="auto" w:fill="FFFFFF"/>
            <w:tcMar>
              <w:top w:w="80" w:type="dxa"/>
              <w:bottom w:w="80" w:type="dxa"/>
              <w:left w:w="100" w:type="dxa"/>
              <w:right w:w="100" w:type="dxa"/>
            </w:tcMar>
          </w:tcPr>
          <w:p>
            <w:r>
              <w:rPr>
                <w:sz w:val="18"/>
              </w:rPr>
              <w:t>Mid-sized manufacturers &amp; active shippers</w:t>
            </w:r>
          </w:p>
        </w:tc>
      </w:tr>
      <w:tr>
        <w:tc>
          <w:tcPr>
            <w:tcW w:type="dxa" w:w="2340"/>
            <w:shd w:val="clear" w:color="auto" w:fill="F8FAFC"/>
            <w:tcMar>
              <w:top w:w="80" w:type="dxa"/>
              <w:bottom w:w="80" w:type="dxa"/>
              <w:left w:w="100" w:type="dxa"/>
              <w:right w:w="100" w:type="dxa"/>
            </w:tcMar>
          </w:tcPr>
          <w:p>
            <w:r>
              <w:rPr>
                <w:sz w:val="18"/>
              </w:rPr>
              <w:t>Enterprise</w:t>
            </w:r>
          </w:p>
        </w:tc>
        <w:tc>
          <w:tcPr>
            <w:tcW w:type="dxa" w:w="2340"/>
            <w:shd w:val="clear" w:color="auto" w:fill="F8FAFC"/>
            <w:tcMar>
              <w:top w:w="80" w:type="dxa"/>
              <w:bottom w:w="80" w:type="dxa"/>
              <w:left w:w="100" w:type="dxa"/>
              <w:right w:w="100" w:type="dxa"/>
            </w:tcMar>
          </w:tcPr>
          <w:p>
            <w:r>
              <w:rPr>
                <w:sz w:val="18"/>
              </w:rPr>
              <w:t>Custom Quote</w:t>
            </w:r>
          </w:p>
        </w:tc>
        <w:tc>
          <w:tcPr>
            <w:tcW w:type="dxa" w:w="2340"/>
            <w:shd w:val="clear" w:color="auto" w:fill="F8FAFC"/>
            <w:tcMar>
              <w:top w:w="80" w:type="dxa"/>
              <w:bottom w:w="80" w:type="dxa"/>
              <w:left w:w="100" w:type="dxa"/>
              <w:right w:w="100" w:type="dxa"/>
            </w:tcMar>
          </w:tcPr>
          <w:p>
            <w:r>
              <w:rPr>
                <w:sz w:val="18"/>
              </w:rPr>
              <w:t>Unlimited shipments, ERP/SAP integration, white-label, custom logistics</w:t>
            </w:r>
          </w:p>
        </w:tc>
        <w:tc>
          <w:tcPr>
            <w:tcW w:type="dxa" w:w="2340"/>
            <w:shd w:val="clear" w:color="auto" w:fill="F8FAFC"/>
            <w:tcMar>
              <w:top w:w="80" w:type="dxa"/>
              <w:bottom w:w="80" w:type="dxa"/>
              <w:left w:w="100" w:type="dxa"/>
              <w:right w:w="100" w:type="dxa"/>
            </w:tcMar>
          </w:tcPr>
          <w:p>
            <w:r>
              <w:rPr>
                <w:sz w:val="18"/>
              </w:rPr>
              <w:t>Multi-national industrial enterprises &amp; 3PLs</w:t>
            </w:r>
          </w:p>
        </w:tc>
      </w:tr>
    </w:tbl>
    <w:p>
      <w:pPr>
        <w:spacing w:after="240"/>
      </w:pPr>
    </w:p>
    <w:p>
      <w:pPr>
        <w:spacing w:before="360" w:after="120"/>
      </w:pPr>
      <w:r>
        <w:rPr>
          <w:b/>
          <w:color w:val="0B1E2D"/>
          <w:sz w:val="32"/>
        </w:rPr>
        <w:t>7. Strategic Advantages &amp; Future Roadmap</w:t>
      </w:r>
    </w:p>
    <w:p>
      <w:pPr>
        <w:spacing w:before="240" w:after="80"/>
      </w:pPr>
      <w:r>
        <w:rPr>
          <w:b/>
          <w:color w:val="2563EB"/>
          <w:sz w:val="25"/>
        </w:rPr>
        <w:t>Key Competitive Differentiators</w:t>
      </w:r>
    </w:p>
    <w:p>
      <w:pPr>
        <w:pStyle w:val="ListBullet"/>
        <w:spacing w:after="60"/>
      </w:pPr>
      <w:r>
        <w:rPr>
          <w:b/>
          <w:color w:val="0B1E2D"/>
        </w:rPr>
        <w:t>Proactive vs Reactive:</w:t>
      </w:r>
      <w:r>
        <w:rPr>
          <w:color w:val="0F172A"/>
        </w:rPr>
        <w:t xml:space="preserve"> Identifies risk in months 3-6 rather than writing off at month 18.</w:t>
      </w:r>
    </w:p>
    <w:p>
      <w:pPr>
        <w:pStyle w:val="ListBullet"/>
        <w:spacing w:after="60"/>
      </w:pPr>
      <w:r>
        <w:rPr>
          <w:b/>
          <w:color w:val="0B1E2D"/>
        </w:rPr>
        <w:t>High-Precision Matching:</w:t>
      </w:r>
      <w:r>
        <w:rPr>
          <w:color w:val="0F172A"/>
        </w:rPr>
        <w:t xml:space="preserve"> 5-factor compatibility removes guesswork for industrial procurement teams.</w:t>
      </w:r>
    </w:p>
    <w:p>
      <w:pPr>
        <w:pStyle w:val="ListBullet"/>
        <w:spacing w:after="60"/>
      </w:pPr>
      <w:r>
        <w:rPr>
          <w:b/>
          <w:color w:val="0B1E2D"/>
        </w:rPr>
        <w:t>Auditable ESG Impact:</w:t>
      </w:r>
      <w:r>
        <w:rPr>
          <w:color w:val="0F172A"/>
        </w:rPr>
        <w:t xml:space="preserve"> Provides direct Scope 3 carbon offset figures and landfill diversion certs.</w:t>
      </w:r>
    </w:p>
    <w:p>
      <w:pPr>
        <w:spacing w:before="240" w:after="80"/>
      </w:pPr>
      <w:r>
        <w:rPr>
          <w:b/>
          <w:color w:val="2563EB"/>
          <w:sz w:val="25"/>
        </w:rPr>
        <w:t>Strategic Roadmap Milestones</w:t>
      </w:r>
    </w:p>
    <w:p>
      <w:pPr>
        <w:pStyle w:val="ListBullet"/>
        <w:spacing w:after="60"/>
      </w:pPr>
      <w:r>
        <w:rPr>
          <w:b/>
          <w:color w:val="0B1E2D"/>
        </w:rPr>
        <w:t>Phase 1 (Completed):</w:t>
      </w:r>
      <w:r>
        <w:rPr>
          <w:color w:val="0F172A"/>
        </w:rPr>
        <w:t xml:space="preserve"> Core Next.js frontend, Laravel 12 API, AI risk model, and marketplace.</w:t>
      </w:r>
    </w:p>
    <w:p>
      <w:pPr>
        <w:pStyle w:val="ListBullet"/>
        <w:spacing w:after="60"/>
      </w:pPr>
      <w:r>
        <w:rPr>
          <w:b/>
          <w:color w:val="0B1E2D"/>
        </w:rPr>
        <w:t>Phase 2 (Upcoming):</w:t>
      </w:r>
      <w:r>
        <w:rPr>
          <w:color w:val="0F172A"/>
        </w:rPr>
        <w:t xml:space="preserve"> Direct bi-directional webhooks for SAP S/4HANA, Oracle NetSuite, and Microsoft Dynamics 365.</w:t>
      </w:r>
    </w:p>
    <w:p>
      <w:pPr>
        <w:pStyle w:val="ListBullet"/>
        <w:spacing w:after="60"/>
      </w:pPr>
      <w:r>
        <w:rPr>
          <w:b/>
          <w:color w:val="0B1E2D"/>
        </w:rPr>
        <w:t>Phase 3 (Expansion):</w:t>
      </w:r>
      <w:r>
        <w:rPr>
          <w:color w:val="0F172A"/>
        </w:rPr>
        <w:t xml:space="preserve"> Cross-border customs and GST-compliant e-invoicing for international freight liquidation.</w:t>
      </w:r>
    </w:p>
    <w:p>
      <w:pPr>
        <w:pStyle w:val="ListBullet"/>
        <w:spacing w:after="60"/>
      </w:pPr>
      <w:r>
        <w:rPr>
          <w:b/>
          <w:color w:val="0B1E2D"/>
        </w:rPr>
        <w:t>Phase 4 (Advanced):</w:t>
      </w:r>
      <w:r>
        <w:rPr>
          <w:color w:val="0F172A"/>
        </w:rPr>
        <w:t xml:space="preserve"> IoT-verified smart warehouse delivery contracts with instant escrow settlement.</w:t>
      </w:r>
    </w:p>
    <w:p>
      <w:pPr>
        <w:spacing w:before="360" w:after="120"/>
      </w:pPr>
      <w:r>
        <w:rPr>
          <w:b/>
          <w:color w:val="0B1E2D"/>
          <w:sz w:val="32"/>
        </w:rPr>
        <w:t>8. Conclusion</w:t>
      </w:r>
    </w:p>
    <w:p>
      <w:r>
        <w:t>DeadStock represents a structural upgrade to industrial supply chain management. By replacing opaque liquidation auctions with predictive risk intelligence and direct B2B buyer matchmaking, DeadStock safeguards profit margins, optimizes warehouse real estate, and fosters a zero-waste industrial economy.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