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AI SOFTWARE CO-AGENT</w:t>
      </w:r>
    </w:p>
    <w:p>
      <w:pPr>
        <w:jc w:val="center"/>
      </w:pPr>
      <w:r>
        <w:rPr>
          <w:b/>
          <w:sz w:val="40"/>
        </w:rPr>
        <w:t>TASK BACKLOG</w:t>
      </w:r>
    </w:p>
    <w:p>
      <w:pPr>
        <w:jc w:val="center"/>
      </w:pPr>
      <w:r>
        <w:rPr>
          <w:b/>
          <w:sz w:val="27"/>
        </w:rPr>
        <w:t>Version 1.0 — FINAL / LOCKED</w:t>
      </w:r>
    </w:p>
    <w:p>
      <w:pPr>
        <w:jc w:val="center"/>
      </w:pPr>
      <w:r>
        <w:rPr>
          <w:i/>
        </w:rPr>
        <w:t>Document ID: TBL-001 • Implementation-ready work-item baseline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vAlign w:val="center"/>
            <w:shd w:fill="D9EAF7"/>
          </w:tcPr>
          <w:p>
            <w:r/>
            <w:r>
              <w:rPr>
                <w:b/>
                <w:sz w:val="14"/>
              </w:rPr>
              <w:t>Field</w:t>
            </w:r>
          </w:p>
        </w:tc>
        <w:tc>
          <w:tcPr>
            <w:tcW w:type="dxa" w:w="5141"/>
            <w:vAlign w:val="center"/>
            <w:shd w:fill="D9EAF7"/>
          </w:tcPr>
          <w:p>
            <w:r/>
            <w:r>
              <w:rPr>
                <w:b/>
                <w:sz w:val="14"/>
              </w:rPr>
              <w:t>Value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Document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Task Backlog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Version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v1.0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Status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FINAL / LOCKED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Product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AI Software Co-Agent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Purpose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Convert the locked architecture and implementation plan into an ordered, traceable backlog of implementation, testing, security, documentation and release work.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Authority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Task sequencing and dependencies are governed here; detailed behavior remains governed by the applicable locked specifications.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Change policy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Material scope, dependency, priority or acceptance changes require versioned backlog/change control.</w:t>
            </w:r>
          </w:p>
        </w:tc>
      </w:tr>
    </w:tbl>
    <w:p/>
    <w:p>
      <w:r>
        <w:rPr>
          <w:b/>
        </w:rPr>
        <w:t xml:space="preserve">Lock Statement: </w:t>
      </w:r>
      <w:r>
        <w:t>Task Backlog v1.0 is the canonical implementation backlog baseline. Tasks may be broken into smaller implementation tickets without changing their locked intent, dependencies or acceptance conditions.</w:t>
      </w:r>
    </w:p>
    <w:p>
      <w:r>
        <w:br w:type="page"/>
      </w:r>
    </w:p>
    <w:p>
      <w:pPr>
        <w:pStyle w:val="Heading1"/>
      </w:pPr>
      <w:r>
        <w:t>1. Backlog Mission</w:t>
      </w:r>
    </w:p>
    <w:p>
      <w:r>
        <w:t>The backlog turns the approved architecture into executable work. It prioritizes safety-critical foundations before autonomy, keeps work traceable to locked documents, and makes each task independently reviewable through explicit acceptance criteria and evidence.</w:t>
      </w:r>
    </w:p>
    <w:p>
      <w:r>
        <w:rPr>
          <w:b/>
        </w:rPr>
        <w:t xml:space="preserve">Backlog principle: </w:t>
      </w:r>
      <w:r>
        <w:t>No task is considered Done because code exists; it is Done only when its required evidence and acceptance criteria pass.</w:t>
      </w:r>
    </w:p>
    <w:p>
      <w:pPr>
        <w:pStyle w:val="Heading1"/>
      </w:pPr>
      <w:r>
        <w:t>2. Backlog Status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vAlign w:val="center"/>
            <w:shd w:fill="D9EAF7"/>
          </w:tcPr>
          <w:p>
            <w:r/>
            <w:r>
              <w:rPr>
                <w:b/>
                <w:sz w:val="14"/>
              </w:rPr>
              <w:t>Status</w:t>
            </w:r>
          </w:p>
        </w:tc>
        <w:tc>
          <w:tcPr>
            <w:tcW w:type="dxa" w:w="5141"/>
            <w:vAlign w:val="center"/>
            <w:shd w:fill="D9EAF7"/>
          </w:tcPr>
          <w:p>
            <w:r/>
            <w:r>
              <w:rPr>
                <w:b/>
                <w:sz w:val="14"/>
              </w:rPr>
              <w:t>Meaning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BACKLOG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Approved work not yet started.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READY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Dependencies satisfied and implementation can begin.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IN PROGRESS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Active implementation.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BLOCKED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Dependency, decision or gate prevents progress.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READY FOR REVIEW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Implementation and required tests complete.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GATE REVIEW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Evidence is being checked against the phase gate.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DONE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Acceptance criteria and required evidence passed.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DEFERRED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Intentionally moved outside current implementation scope.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REJECTED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Explicitly removed by approved decision/change control.</w:t>
            </w:r>
          </w:p>
        </w:tc>
      </w:tr>
    </w:tbl>
    <w:p/>
    <w:p>
      <w:pPr>
        <w:pStyle w:val="Heading1"/>
      </w:pPr>
      <w:r>
        <w:t>3. Priority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vAlign w:val="center"/>
            <w:shd w:fill="D9EAF7"/>
          </w:tcPr>
          <w:p>
            <w:r/>
            <w:r>
              <w:rPr>
                <w:b/>
                <w:sz w:val="14"/>
              </w:rPr>
              <w:t>Priority</w:t>
            </w:r>
          </w:p>
        </w:tc>
        <w:tc>
          <w:tcPr>
            <w:tcW w:type="dxa" w:w="5141"/>
            <w:vAlign w:val="center"/>
            <w:shd w:fill="D9EAF7"/>
          </w:tcPr>
          <w:p>
            <w:r/>
            <w:r>
              <w:rPr>
                <w:b/>
                <w:sz w:val="14"/>
              </w:rPr>
              <w:t>Meaning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P0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Critical foundation/security/release blocker.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P1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Required for core usable system.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P2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Important capability or quality improvement.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P3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Optional enhancement; not required for v1 core.</w:t>
            </w:r>
          </w:p>
        </w:tc>
      </w:tr>
    </w:tbl>
    <w:p/>
    <w:p>
      <w:pPr>
        <w:pStyle w:val="Heading1"/>
      </w:pPr>
      <w:r>
        <w:t>4. Work Item Types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vAlign w:val="center"/>
            <w:shd w:fill="D9EAF7"/>
          </w:tcPr>
          <w:p>
            <w:r/>
            <w:r>
              <w:rPr>
                <w:b/>
                <w:sz w:val="14"/>
              </w:rPr>
              <w:t>Type</w:t>
            </w:r>
          </w:p>
        </w:tc>
        <w:tc>
          <w:tcPr>
            <w:tcW w:type="dxa" w:w="5141"/>
            <w:vAlign w:val="center"/>
            <w:shd w:fill="D9EAF7"/>
          </w:tcPr>
          <w:p>
            <w:r/>
            <w:r>
              <w:rPr>
                <w:b/>
                <w:sz w:val="14"/>
              </w:rPr>
              <w:t>Use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EPIC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Major implementation area containing related tasks.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TASK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Concrete implementation work.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SPIKE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Time-bounded investigation/benchmark producing evidence.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TEST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Dedicated validation/security/reliability work.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DOC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Documentation/traceability work.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OPS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Build/CI/release/operational work.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ADR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Formal architecture/technology decision work.</w:t>
            </w:r>
          </w:p>
        </w:tc>
      </w:tr>
    </w:tbl>
    <w:p/>
    <w:p>
      <w:pPr>
        <w:pStyle w:val="Heading1"/>
      </w:pPr>
      <w:r>
        <w:t>5. Master Backlog Structure</w:t>
      </w:r>
    </w:p>
    <w:p>
      <w:pPr>
        <w:spacing w:after="0"/>
      </w:pPr>
      <w:r>
        <w:rPr>
          <w:rFonts w:ascii="Consolas" w:hAnsi="Consolas"/>
          <w:sz w:val="14"/>
        </w:rPr>
        <w:t>EPIC-01 Foundation</w:t>
      </w:r>
    </w:p>
    <w:p>
      <w:pPr>
        <w:spacing w:after="0"/>
      </w:pPr>
      <w:r>
        <w:rPr>
          <w:rFonts w:ascii="Consolas" w:hAnsi="Consolas"/>
          <w:sz w:val="14"/>
        </w:rPr>
        <w:t>EPIC-02 Core Contracts &amp; State</w:t>
      </w:r>
    </w:p>
    <w:p>
      <w:pPr>
        <w:spacing w:after="0"/>
      </w:pPr>
      <w:r>
        <w:rPr>
          <w:rFonts w:ascii="Consolas" w:hAnsi="Consolas"/>
          <w:sz w:val="14"/>
        </w:rPr>
        <w:t>EPIC-03 Security &amp; Workspace</w:t>
      </w:r>
    </w:p>
    <w:p>
      <w:pPr>
        <w:spacing w:after="0"/>
      </w:pPr>
      <w:r>
        <w:rPr>
          <w:rFonts w:ascii="Consolas" w:hAnsi="Consolas"/>
          <w:sz w:val="14"/>
        </w:rPr>
        <w:t>EPIC-04 Tools, Policy &amp; Approval</w:t>
      </w:r>
    </w:p>
    <w:p>
      <w:pPr>
        <w:spacing w:after="0"/>
      </w:pPr>
      <w:r>
        <w:rPr>
          <w:rFonts w:ascii="Consolas" w:hAnsi="Consolas"/>
          <w:sz w:val="14"/>
        </w:rPr>
        <w:t>EPIC-05 Controlled Execution</w:t>
      </w:r>
    </w:p>
    <w:p>
      <w:pPr>
        <w:spacing w:after="0"/>
      </w:pPr>
      <w:r>
        <w:rPr>
          <w:rFonts w:ascii="Consolas" w:hAnsi="Consolas"/>
          <w:sz w:val="14"/>
        </w:rPr>
        <w:t>EPIC-06 Repository Intelligence</w:t>
      </w:r>
    </w:p>
    <w:p>
      <w:pPr>
        <w:spacing w:after="0"/>
      </w:pPr>
      <w:r>
        <w:rPr>
          <w:rFonts w:ascii="Consolas" w:hAnsi="Consolas"/>
          <w:sz w:val="14"/>
        </w:rPr>
        <w:t>EPIC-07 Context &amp; Memory</w:t>
      </w:r>
    </w:p>
    <w:p>
      <w:pPr>
        <w:spacing w:after="0"/>
      </w:pPr>
      <w:r>
        <w:rPr>
          <w:rFonts w:ascii="Consolas" w:hAnsi="Consolas"/>
          <w:sz w:val="14"/>
        </w:rPr>
        <w:t>EPIC-08 Model Gateway &amp; Agent</w:t>
      </w:r>
    </w:p>
    <w:p>
      <w:pPr>
        <w:spacing w:after="0"/>
      </w:pPr>
      <w:r>
        <w:rPr>
          <w:rFonts w:ascii="Consolas" w:hAnsi="Consolas"/>
          <w:sz w:val="14"/>
        </w:rPr>
        <w:t>EPIC-09 Validation, Completion &amp; Recovery</w:t>
      </w:r>
    </w:p>
    <w:p>
      <w:pPr>
        <w:spacing w:after="0"/>
      </w:pPr>
      <w:r>
        <w:rPr>
          <w:rFonts w:ascii="Consolas" w:hAnsi="Consolas"/>
          <w:sz w:val="14"/>
        </w:rPr>
        <w:t>EPIC-10 Audit, Artifacts &amp; Observability</w:t>
      </w:r>
    </w:p>
    <w:p>
      <w:pPr>
        <w:spacing w:after="0"/>
      </w:pPr>
      <w:r>
        <w:rPr>
          <w:rFonts w:ascii="Consolas" w:hAnsi="Consolas"/>
          <w:sz w:val="14"/>
        </w:rPr>
        <w:t>EPIC-11 VS Code &amp; CLI</w:t>
      </w:r>
    </w:p>
    <w:p>
      <w:pPr>
        <w:spacing w:after="0"/>
      </w:pPr>
      <w:r>
        <w:rPr>
          <w:rFonts w:ascii="Consolas" w:hAnsi="Consolas"/>
          <w:sz w:val="14"/>
        </w:rPr>
        <w:t>EPIC-12 E2E, Security &amp; Performance</w:t>
      </w:r>
    </w:p>
    <w:p>
      <w:pPr>
        <w:spacing w:after="0"/>
      </w:pPr>
      <w:r>
        <w:rPr>
          <w:rFonts w:ascii="Consolas" w:hAnsi="Consolas"/>
          <w:sz w:val="14"/>
        </w:rPr>
        <w:t>EPIC-13 Release</w:t>
      </w:r>
    </w:p>
    <w:p>
      <w:pPr>
        <w:spacing w:after="0"/>
      </w:pPr>
      <w:r>
        <w:rPr>
          <w:rFonts w:ascii="Consolas" w:hAnsi="Consolas"/>
          <w:sz w:val="14"/>
        </w:rPr>
        <w:t>EPIC-14 Deferred Technology / Research</w:t>
      </w:r>
    </w:p>
    <w:p>
      <w:pPr>
        <w:pStyle w:val="Heading1"/>
      </w:pPr>
      <w:r>
        <w:t>6. Epic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c>
          <w:tcPr>
            <w:tcW w:type="dxa" w:w="2570"/>
            <w:vAlign w:val="center"/>
            <w:shd w:fill="D9EAF7"/>
          </w:tcPr>
          <w:p>
            <w:r/>
            <w:r>
              <w:rPr>
                <w:b/>
                <w:sz w:val="14"/>
              </w:rPr>
              <w:t>Epic</w:t>
            </w:r>
          </w:p>
        </w:tc>
        <w:tc>
          <w:tcPr>
            <w:tcW w:type="dxa" w:w="2570"/>
            <w:vAlign w:val="center"/>
            <w:shd w:fill="D9EAF7"/>
          </w:tcPr>
          <w:p>
            <w:r/>
            <w:r>
              <w:rPr>
                <w:b/>
                <w:sz w:val="14"/>
              </w:rPr>
              <w:t>Outcome</w:t>
            </w:r>
          </w:p>
        </w:tc>
        <w:tc>
          <w:tcPr>
            <w:tcW w:type="dxa" w:w="2570"/>
            <w:vAlign w:val="center"/>
            <w:shd w:fill="D9EAF7"/>
          </w:tcPr>
          <w:p>
            <w:r/>
            <w:r>
              <w:rPr>
                <w:b/>
                <w:sz w:val="14"/>
              </w:rPr>
              <w:t>Priority</w:t>
            </w:r>
          </w:p>
        </w:tc>
        <w:tc>
          <w:tcPr>
            <w:tcW w:type="dxa" w:w="2570"/>
            <w:vAlign w:val="center"/>
            <w:shd w:fill="D9EAF7"/>
          </w:tcPr>
          <w:p>
            <w:r/>
            <w:r>
              <w:rPr>
                <w:b/>
                <w:sz w:val="14"/>
              </w:rPr>
              <w:t>Phase</w:t>
            </w:r>
          </w:p>
        </w:tc>
      </w:tr>
      <w:tr>
        <w:tc>
          <w:tcPr>
            <w:tcW w:type="dxa" w:w="2570"/>
            <w:vAlign w:val="center"/>
          </w:tcPr>
          <w:p>
            <w:r/>
            <w:r>
              <w:rPr>
                <w:b w:val="0"/>
                <w:sz w:val="14"/>
              </w:rPr>
              <w:t>EPIC-01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b w:val="0"/>
                <w:sz w:val="14"/>
              </w:rPr>
              <w:t>Reproducible repository/tooling baseline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b w:val="0"/>
                <w:sz w:val="14"/>
              </w:rPr>
              <w:t>P0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b w:val="0"/>
                <w:sz w:val="14"/>
              </w:rPr>
              <w:t>P0</w:t>
            </w:r>
          </w:p>
        </w:tc>
      </w:tr>
      <w:tr>
        <w:tc>
          <w:tcPr>
            <w:tcW w:type="dxa" w:w="2570"/>
            <w:vAlign w:val="center"/>
          </w:tcPr>
          <w:p>
            <w:r/>
            <w:r>
              <w:rPr>
                <w:b w:val="0"/>
                <w:sz w:val="14"/>
              </w:rPr>
              <w:t>EPIC-02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b w:val="0"/>
                <w:sz w:val="14"/>
              </w:rPr>
              <w:t>Stable types, state and protocol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b w:val="0"/>
                <w:sz w:val="14"/>
              </w:rPr>
              <w:t>P0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b w:val="0"/>
                <w:sz w:val="14"/>
              </w:rPr>
              <w:t>P1</w:t>
            </w:r>
          </w:p>
        </w:tc>
      </w:tr>
      <w:tr>
        <w:tc>
          <w:tcPr>
            <w:tcW w:type="dxa" w:w="2570"/>
            <w:vAlign w:val="center"/>
          </w:tcPr>
          <w:p>
            <w:r/>
            <w:r>
              <w:rPr>
                <w:b w:val="0"/>
                <w:sz w:val="14"/>
              </w:rPr>
              <w:t>EPIC-03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b w:val="0"/>
                <w:sz w:val="14"/>
              </w:rPr>
              <w:t>Safe scope and security primitives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b w:val="0"/>
                <w:sz w:val="14"/>
              </w:rPr>
              <w:t>P0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b w:val="0"/>
                <w:sz w:val="14"/>
              </w:rPr>
              <w:t>P2</w:t>
            </w:r>
          </w:p>
        </w:tc>
      </w:tr>
      <w:tr>
        <w:tc>
          <w:tcPr>
            <w:tcW w:type="dxa" w:w="2570"/>
            <w:vAlign w:val="center"/>
          </w:tcPr>
          <w:p>
            <w:r/>
            <w:r>
              <w:rPr>
                <w:b w:val="0"/>
                <w:sz w:val="14"/>
              </w:rPr>
              <w:t>EPIC-04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b w:val="0"/>
                <w:sz w:val="14"/>
              </w:rPr>
              <w:t>Single capability authorization path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b w:val="0"/>
                <w:sz w:val="14"/>
              </w:rPr>
              <w:t>P0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b w:val="0"/>
                <w:sz w:val="14"/>
              </w:rPr>
              <w:t>P3</w:t>
            </w:r>
          </w:p>
        </w:tc>
      </w:tr>
      <w:tr>
        <w:tc>
          <w:tcPr>
            <w:tcW w:type="dxa" w:w="2570"/>
            <w:vAlign w:val="center"/>
          </w:tcPr>
          <w:p>
            <w:r/>
            <w:r>
              <w:rPr>
                <w:b w:val="0"/>
                <w:sz w:val="14"/>
              </w:rPr>
              <w:t>EPIC-05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b w:val="0"/>
                <w:sz w:val="14"/>
              </w:rPr>
              <w:t>Bounded real-world execution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b w:val="0"/>
                <w:sz w:val="14"/>
              </w:rPr>
              <w:t>P0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b w:val="0"/>
                <w:sz w:val="14"/>
              </w:rPr>
              <w:t>P4</w:t>
            </w:r>
          </w:p>
        </w:tc>
      </w:tr>
      <w:tr>
        <w:tc>
          <w:tcPr>
            <w:tcW w:type="dxa" w:w="2570"/>
            <w:vAlign w:val="center"/>
          </w:tcPr>
          <w:p>
            <w:r/>
            <w:r>
              <w:rPr>
                <w:b w:val="0"/>
                <w:sz w:val="14"/>
              </w:rPr>
              <w:t>EPIC-06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b w:val="0"/>
                <w:sz w:val="14"/>
              </w:rPr>
              <w:t>Repository understanding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b w:val="0"/>
                <w:sz w:val="14"/>
              </w:rPr>
              <w:t>P1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b w:val="0"/>
                <w:sz w:val="14"/>
              </w:rPr>
              <w:t>P5</w:t>
            </w:r>
          </w:p>
        </w:tc>
      </w:tr>
      <w:tr>
        <w:tc>
          <w:tcPr>
            <w:tcW w:type="dxa" w:w="2570"/>
            <w:vAlign w:val="center"/>
          </w:tcPr>
          <w:p>
            <w:r/>
            <w:r>
              <w:rPr>
                <w:b w:val="0"/>
                <w:sz w:val="14"/>
              </w:rPr>
              <w:t>EPIC-07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b w:val="0"/>
                <w:sz w:val="14"/>
              </w:rPr>
              <w:t>Scoped context and memory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b w:val="0"/>
                <w:sz w:val="14"/>
              </w:rPr>
              <w:t>P1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b w:val="0"/>
                <w:sz w:val="14"/>
              </w:rPr>
              <w:t>P5</w:t>
            </w:r>
          </w:p>
        </w:tc>
      </w:tr>
      <w:tr>
        <w:tc>
          <w:tcPr>
            <w:tcW w:type="dxa" w:w="2570"/>
            <w:vAlign w:val="center"/>
          </w:tcPr>
          <w:p>
            <w:r/>
            <w:r>
              <w:rPr>
                <w:b w:val="0"/>
                <w:sz w:val="14"/>
              </w:rPr>
              <w:t>EPIC-08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b w:val="0"/>
                <w:sz w:val="14"/>
              </w:rPr>
              <w:t>Controlled model-driven agent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b w:val="0"/>
                <w:sz w:val="14"/>
              </w:rPr>
              <w:t>P1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b w:val="0"/>
                <w:sz w:val="14"/>
              </w:rPr>
              <w:t>P6</w:t>
            </w:r>
          </w:p>
        </w:tc>
      </w:tr>
      <w:tr>
        <w:tc>
          <w:tcPr>
            <w:tcW w:type="dxa" w:w="2570"/>
            <w:vAlign w:val="center"/>
          </w:tcPr>
          <w:p>
            <w:r/>
            <w:r>
              <w:rPr>
                <w:b w:val="0"/>
                <w:sz w:val="14"/>
              </w:rPr>
              <w:t>EPIC-09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b w:val="0"/>
                <w:sz w:val="14"/>
              </w:rPr>
              <w:t>Evidence-based completion and recovery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b w:val="0"/>
                <w:sz w:val="14"/>
              </w:rPr>
              <w:t>P0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b w:val="0"/>
                <w:sz w:val="14"/>
              </w:rPr>
              <w:t>P7</w:t>
            </w:r>
          </w:p>
        </w:tc>
      </w:tr>
      <w:tr>
        <w:tc>
          <w:tcPr>
            <w:tcW w:type="dxa" w:w="2570"/>
            <w:vAlign w:val="center"/>
          </w:tcPr>
          <w:p>
            <w:r/>
            <w:r>
              <w:rPr>
                <w:b w:val="0"/>
                <w:sz w:val="14"/>
              </w:rPr>
              <w:t>EPIC-10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b w:val="0"/>
                <w:sz w:val="14"/>
              </w:rPr>
              <w:t>Traceability and evidence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b w:val="0"/>
                <w:sz w:val="14"/>
              </w:rPr>
              <w:t>P1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b w:val="0"/>
                <w:sz w:val="14"/>
              </w:rPr>
              <w:t>P8</w:t>
            </w:r>
          </w:p>
        </w:tc>
      </w:tr>
      <w:tr>
        <w:tc>
          <w:tcPr>
            <w:tcW w:type="dxa" w:w="2570"/>
            <w:vAlign w:val="center"/>
          </w:tcPr>
          <w:p>
            <w:r/>
            <w:r>
              <w:rPr>
                <w:b w:val="0"/>
                <w:sz w:val="14"/>
              </w:rPr>
              <w:t>EPIC-11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b w:val="0"/>
                <w:sz w:val="14"/>
              </w:rPr>
              <w:t>Developer clients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b w:val="0"/>
                <w:sz w:val="14"/>
              </w:rPr>
              <w:t>P1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b w:val="0"/>
                <w:sz w:val="14"/>
              </w:rPr>
              <w:t>P9</w:t>
            </w:r>
          </w:p>
        </w:tc>
      </w:tr>
      <w:tr>
        <w:tc>
          <w:tcPr>
            <w:tcW w:type="dxa" w:w="2570"/>
            <w:vAlign w:val="center"/>
          </w:tcPr>
          <w:p>
            <w:r/>
            <w:r>
              <w:rPr>
                <w:b w:val="0"/>
                <w:sz w:val="14"/>
              </w:rPr>
              <w:t>EPIC-12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b w:val="0"/>
                <w:sz w:val="14"/>
              </w:rPr>
              <w:t>Hardening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b w:val="0"/>
                <w:sz w:val="14"/>
              </w:rPr>
              <w:t>P0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b w:val="0"/>
                <w:sz w:val="14"/>
              </w:rPr>
              <w:t>P10</w:t>
            </w:r>
          </w:p>
        </w:tc>
      </w:tr>
      <w:tr>
        <w:tc>
          <w:tcPr>
            <w:tcW w:type="dxa" w:w="2570"/>
            <w:vAlign w:val="center"/>
          </w:tcPr>
          <w:p>
            <w:r/>
            <w:r>
              <w:rPr>
                <w:b w:val="0"/>
                <w:sz w:val="14"/>
              </w:rPr>
              <w:t>EPIC-13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b w:val="0"/>
                <w:sz w:val="14"/>
              </w:rPr>
              <w:t>Release package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b w:val="0"/>
                <w:sz w:val="14"/>
              </w:rPr>
              <w:t>P0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b w:val="0"/>
                <w:sz w:val="14"/>
              </w:rPr>
              <w:t>P11</w:t>
            </w:r>
          </w:p>
        </w:tc>
      </w:tr>
      <w:tr>
        <w:tc>
          <w:tcPr>
            <w:tcW w:type="dxa" w:w="2570"/>
            <w:vAlign w:val="center"/>
          </w:tcPr>
          <w:p>
            <w:r/>
            <w:r>
              <w:rPr>
                <w:b w:val="0"/>
                <w:sz w:val="14"/>
              </w:rPr>
              <w:t>EPIC-14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b w:val="0"/>
                <w:sz w:val="14"/>
              </w:rPr>
              <w:t>Deferred evidence-driven choices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b w:val="0"/>
                <w:sz w:val="14"/>
              </w:rPr>
              <w:t>P2/P3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b w:val="0"/>
                <w:sz w:val="14"/>
              </w:rPr>
              <w:t>As triggered</w:t>
            </w:r>
          </w:p>
        </w:tc>
      </w:tr>
    </w:tbl>
    <w:p/>
    <w:p>
      <w:pPr>
        <w:pStyle w:val="Heading1"/>
      </w:pPr>
      <w:r>
        <w:t>7. EPIC-01 — Foundation Backlog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14"/>
        <w:gridCol w:w="1714"/>
        <w:gridCol w:w="1714"/>
        <w:gridCol w:w="1714"/>
        <w:gridCol w:w="1714"/>
        <w:gridCol w:w="1714"/>
      </w:tblGrid>
      <w:tr>
        <w:tc>
          <w:tcPr>
            <w:tcW w:type="dxa" w:w="1714"/>
            <w:vAlign w:val="center"/>
            <w:shd w:fill="D9EAF7"/>
          </w:tcPr>
          <w:p>
            <w:r/>
            <w:r>
              <w:rPr>
                <w:b/>
                <w:sz w:val="14"/>
              </w:rPr>
              <w:t>ID</w:t>
            </w:r>
          </w:p>
        </w:tc>
        <w:tc>
          <w:tcPr>
            <w:tcW w:type="dxa" w:w="1714"/>
            <w:vAlign w:val="center"/>
            <w:shd w:fill="D9EAF7"/>
          </w:tcPr>
          <w:p>
            <w:r/>
            <w:r>
              <w:rPr>
                <w:b/>
                <w:sz w:val="14"/>
              </w:rPr>
              <w:t>Type</w:t>
            </w:r>
          </w:p>
        </w:tc>
        <w:tc>
          <w:tcPr>
            <w:tcW w:type="dxa" w:w="1714"/>
            <w:vAlign w:val="center"/>
            <w:shd w:fill="D9EAF7"/>
          </w:tcPr>
          <w:p>
            <w:r/>
            <w:r>
              <w:rPr>
                <w:b/>
                <w:sz w:val="14"/>
              </w:rPr>
              <w:t>Task</w:t>
            </w:r>
          </w:p>
        </w:tc>
        <w:tc>
          <w:tcPr>
            <w:tcW w:type="dxa" w:w="1714"/>
            <w:vAlign w:val="center"/>
            <w:shd w:fill="D9EAF7"/>
          </w:tcPr>
          <w:p>
            <w:r/>
            <w:r>
              <w:rPr>
                <w:b/>
                <w:sz w:val="14"/>
              </w:rPr>
              <w:t>Pri</w:t>
            </w:r>
          </w:p>
        </w:tc>
        <w:tc>
          <w:tcPr>
            <w:tcW w:type="dxa" w:w="1714"/>
            <w:vAlign w:val="center"/>
            <w:shd w:fill="D9EAF7"/>
          </w:tcPr>
          <w:p>
            <w:r/>
            <w:r>
              <w:rPr>
                <w:b/>
                <w:sz w:val="14"/>
              </w:rPr>
              <w:t>Depends</w:t>
            </w:r>
          </w:p>
        </w:tc>
        <w:tc>
          <w:tcPr>
            <w:tcW w:type="dxa" w:w="1714"/>
            <w:vAlign w:val="center"/>
            <w:shd w:fill="D9EAF7"/>
          </w:tcPr>
          <w:p>
            <w:r/>
            <w:r>
              <w:rPr>
                <w:b/>
                <w:sz w:val="14"/>
              </w:rPr>
              <w:t>Acceptance</w:t>
            </w:r>
          </w:p>
        </w:tc>
      </w:tr>
      <w:tr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T001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TASK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Create canonical repository tree from Repository Blueprint.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P0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Required root/module structure exists.</w:t>
            </w:r>
          </w:p>
        </w:tc>
      </w:tr>
      <w:tr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T002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TASK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Create Python package/build configuration.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P0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T001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Clean environment installs/builds successfully.</w:t>
            </w:r>
          </w:p>
        </w:tc>
      </w:tr>
      <w:tr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T003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TASK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Create test, scripts, configs and docs skeleton.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P0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T001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Expected directories and baseline files exist.</w:t>
            </w:r>
          </w:p>
        </w:tc>
      </w:tr>
      <w:tr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T004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OPS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Create CI smoke workflow.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P0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T002,T003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CI installs and runs baseline checks.</w:t>
            </w:r>
          </w:p>
        </w:tc>
      </w:tr>
      <w:tr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T005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OPS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Add lint/format baseline.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P1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T002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Quality command runs reproducibly.</w:t>
            </w:r>
          </w:p>
        </w:tc>
      </w:tr>
      <w:tr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T006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OPS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Add static type-check baseline.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P1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T002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Canonical type checker runs without configuration drift.</w:t>
            </w:r>
          </w:p>
        </w:tc>
      </w:tr>
      <w:tr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T007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OPS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Add dependency/security scanning.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P0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T004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CI performs required scans.</w:t>
            </w:r>
          </w:p>
        </w:tc>
      </w:tr>
      <w:tr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T008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OPS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Add secret/config safety checks.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P0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T003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Secrets are not accepted in source-controlled config.</w:t>
            </w:r>
          </w:p>
        </w:tc>
      </w:tr>
      <w:tr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T009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DOC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Record bootstrap/run instructions.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P1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T001–T004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New developer can reproduce baseline setup.</w:t>
            </w:r>
          </w:p>
        </w:tc>
      </w:tr>
      <w:tr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T010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GATE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Pass G0 Foundation Gate.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P0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T001–T009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G0 evidence package approved.</w:t>
            </w:r>
          </w:p>
        </w:tc>
      </w:tr>
    </w:tbl>
    <w:p/>
    <w:p>
      <w:pPr>
        <w:pStyle w:val="Heading1"/>
      </w:pPr>
      <w:r>
        <w:t>8. EPIC-02 — Core Contracts &amp; State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14"/>
        <w:gridCol w:w="1714"/>
        <w:gridCol w:w="1714"/>
        <w:gridCol w:w="1714"/>
        <w:gridCol w:w="1714"/>
        <w:gridCol w:w="1714"/>
      </w:tblGrid>
      <w:tr>
        <w:tc>
          <w:tcPr>
            <w:tcW w:type="dxa" w:w="1714"/>
            <w:vAlign w:val="center"/>
            <w:shd w:fill="D9EAF7"/>
          </w:tcPr>
          <w:p>
            <w:r/>
            <w:r>
              <w:rPr>
                <w:b/>
                <w:sz w:val="14"/>
              </w:rPr>
              <w:t>ID</w:t>
            </w:r>
          </w:p>
        </w:tc>
        <w:tc>
          <w:tcPr>
            <w:tcW w:type="dxa" w:w="1714"/>
            <w:vAlign w:val="center"/>
            <w:shd w:fill="D9EAF7"/>
          </w:tcPr>
          <w:p>
            <w:r/>
            <w:r>
              <w:rPr>
                <w:b/>
                <w:sz w:val="14"/>
              </w:rPr>
              <w:t>Type</w:t>
            </w:r>
          </w:p>
        </w:tc>
        <w:tc>
          <w:tcPr>
            <w:tcW w:type="dxa" w:w="1714"/>
            <w:vAlign w:val="center"/>
            <w:shd w:fill="D9EAF7"/>
          </w:tcPr>
          <w:p>
            <w:r/>
            <w:r>
              <w:rPr>
                <w:b/>
                <w:sz w:val="14"/>
              </w:rPr>
              <w:t>Task</w:t>
            </w:r>
          </w:p>
        </w:tc>
        <w:tc>
          <w:tcPr>
            <w:tcW w:type="dxa" w:w="1714"/>
            <w:vAlign w:val="center"/>
            <w:shd w:fill="D9EAF7"/>
          </w:tcPr>
          <w:p>
            <w:r/>
            <w:r>
              <w:rPr>
                <w:b/>
                <w:sz w:val="14"/>
              </w:rPr>
              <w:t>Pri</w:t>
            </w:r>
          </w:p>
        </w:tc>
        <w:tc>
          <w:tcPr>
            <w:tcW w:type="dxa" w:w="1714"/>
            <w:vAlign w:val="center"/>
            <w:shd w:fill="D9EAF7"/>
          </w:tcPr>
          <w:p>
            <w:r/>
            <w:r>
              <w:rPr>
                <w:b/>
                <w:sz w:val="14"/>
              </w:rPr>
              <w:t>Depends</w:t>
            </w:r>
          </w:p>
        </w:tc>
        <w:tc>
          <w:tcPr>
            <w:tcW w:type="dxa" w:w="1714"/>
            <w:vAlign w:val="center"/>
            <w:shd w:fill="D9EAF7"/>
          </w:tcPr>
          <w:p>
            <w:r/>
            <w:r>
              <w:rPr>
                <w:b/>
                <w:sz w:val="14"/>
              </w:rPr>
              <w:t>Acceptance</w:t>
            </w:r>
          </w:p>
        </w:tc>
      </w:tr>
      <w:tr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T011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TASK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Implement stable IDs/correlation identifiers.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P0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T002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Session/task/request/event IDs are generated and propagated.</w:t>
            </w:r>
          </w:p>
        </w:tc>
      </w:tr>
      <w:tr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T012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TASK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Implement common result/error/event types.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P0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T011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Typed contracts cover success/failure/event envelopes.</w:t>
            </w:r>
          </w:p>
        </w:tc>
      </w:tr>
      <w:tr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T013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TASK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Implement session state model.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P0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T011,T012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Session lifecycle transitions are tested.</w:t>
            </w:r>
          </w:p>
        </w:tc>
      </w:tr>
      <w:tr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T014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TASK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Implement task state machine.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P0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T013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Invalid transitions are rejected.</w:t>
            </w:r>
          </w:p>
        </w:tc>
      </w:tr>
      <w:tr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T015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TASK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Implement versioned client/runtime protocol.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P0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T012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Messages validate and version correctly.</w:t>
            </w:r>
          </w:p>
        </w:tc>
      </w:tr>
      <w:tr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T016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TASK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Implement protocol error envelopes.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P1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T015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Malformed/unsupported requests produce typed errors.</w:t>
            </w:r>
          </w:p>
        </w:tc>
      </w:tr>
      <w:tr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T017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TEST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Create contract/serialization test suite.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P0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T015,T016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Contract tests pass.</w:t>
            </w:r>
          </w:p>
        </w:tc>
      </w:tr>
      <w:tr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T018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TEST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Create state-transition test suite.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P0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T014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Valid/invalid transitions pass.</w:t>
            </w:r>
          </w:p>
        </w:tc>
      </w:tr>
      <w:tr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T019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TASK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Implement minimal runtime health/task command.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P1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T014,T015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Runtime accepts a safe task command.</w:t>
            </w:r>
          </w:p>
        </w:tc>
      </w:tr>
      <w:tr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T020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GATE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Pass G1 Contracts Gate.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P0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T011–T019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G1 evidence package approved.</w:t>
            </w:r>
          </w:p>
        </w:tc>
      </w:tr>
    </w:tbl>
    <w:p/>
    <w:p>
      <w:pPr>
        <w:pStyle w:val="Heading1"/>
      </w:pPr>
      <w:r>
        <w:t>9. EPIC-03 — Security &amp; Workspace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14"/>
        <w:gridCol w:w="1714"/>
        <w:gridCol w:w="1714"/>
        <w:gridCol w:w="1714"/>
        <w:gridCol w:w="1714"/>
        <w:gridCol w:w="1714"/>
      </w:tblGrid>
      <w:tr>
        <w:tc>
          <w:tcPr>
            <w:tcW w:type="dxa" w:w="1714"/>
            <w:vAlign w:val="center"/>
            <w:shd w:fill="D9EAF7"/>
          </w:tcPr>
          <w:p>
            <w:r/>
            <w:r>
              <w:rPr>
                <w:b/>
                <w:sz w:val="14"/>
              </w:rPr>
              <w:t>ID</w:t>
            </w:r>
          </w:p>
        </w:tc>
        <w:tc>
          <w:tcPr>
            <w:tcW w:type="dxa" w:w="1714"/>
            <w:vAlign w:val="center"/>
            <w:shd w:fill="D9EAF7"/>
          </w:tcPr>
          <w:p>
            <w:r/>
            <w:r>
              <w:rPr>
                <w:b/>
                <w:sz w:val="14"/>
              </w:rPr>
              <w:t>Type</w:t>
            </w:r>
          </w:p>
        </w:tc>
        <w:tc>
          <w:tcPr>
            <w:tcW w:type="dxa" w:w="1714"/>
            <w:vAlign w:val="center"/>
            <w:shd w:fill="D9EAF7"/>
          </w:tcPr>
          <w:p>
            <w:r/>
            <w:r>
              <w:rPr>
                <w:b/>
                <w:sz w:val="14"/>
              </w:rPr>
              <w:t>Task</w:t>
            </w:r>
          </w:p>
        </w:tc>
        <w:tc>
          <w:tcPr>
            <w:tcW w:type="dxa" w:w="1714"/>
            <w:vAlign w:val="center"/>
            <w:shd w:fill="D9EAF7"/>
          </w:tcPr>
          <w:p>
            <w:r/>
            <w:r>
              <w:rPr>
                <w:b/>
                <w:sz w:val="14"/>
              </w:rPr>
              <w:t>Pri</w:t>
            </w:r>
          </w:p>
        </w:tc>
        <w:tc>
          <w:tcPr>
            <w:tcW w:type="dxa" w:w="1714"/>
            <w:vAlign w:val="center"/>
            <w:shd w:fill="D9EAF7"/>
          </w:tcPr>
          <w:p>
            <w:r/>
            <w:r>
              <w:rPr>
                <w:b/>
                <w:sz w:val="14"/>
              </w:rPr>
              <w:t>Depends</w:t>
            </w:r>
          </w:p>
        </w:tc>
        <w:tc>
          <w:tcPr>
            <w:tcW w:type="dxa" w:w="1714"/>
            <w:vAlign w:val="center"/>
            <w:shd w:fill="D9EAF7"/>
          </w:tcPr>
          <w:p>
            <w:r/>
            <w:r>
              <w:rPr>
                <w:b/>
                <w:sz w:val="14"/>
              </w:rPr>
              <w:t>Acceptance</w:t>
            </w:r>
          </w:p>
        </w:tc>
      </w:tr>
      <w:tr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T021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TASK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Implement canonical workspace identity/scope.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P0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T014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Task scope is explicit.</w:t>
            </w:r>
          </w:p>
        </w:tc>
      </w:tr>
      <w:tr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T022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TASK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Implement canonical path resolution.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P0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T021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Paths resolve deterministically.</w:t>
            </w:r>
          </w:p>
        </w:tc>
      </w:tr>
      <w:tr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T023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TASK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Implement traversal/symlink escape protection.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P0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T022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Out-of-scope access is blocked.</w:t>
            </w:r>
          </w:p>
        </w:tc>
      </w:tr>
      <w:tr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T024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TASK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Implement protected-path policy.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P0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T022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Protected targets require correct policy outcome.</w:t>
            </w:r>
          </w:p>
        </w:tc>
      </w:tr>
      <w:tr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T025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TASK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Implement resource/time/concurrency limits.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P0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T014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Limits are enforced.</w:t>
            </w:r>
          </w:p>
        </w:tc>
      </w:tr>
      <w:tr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T026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TASK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Implement secret filtering/redaction primitives.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P0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T012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Known secret patterns are filtered from outputs/events.</w:t>
            </w:r>
          </w:p>
        </w:tc>
      </w:tr>
      <w:tr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T027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TASK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Implement sandbox interface.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P0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T025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Executors can require sandbox guarantees.</w:t>
            </w:r>
          </w:p>
        </w:tc>
      </w:tr>
      <w:tr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T028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TEST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Build security boundary/adversarial fixtures.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P0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T021–T027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Fixtures cover escape/bypass cases.</w:t>
            </w:r>
          </w:p>
        </w:tc>
      </w:tr>
      <w:tr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T029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TEST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Run fail-closed security-control tests.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P0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T025–T027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Affected privileged actions block on control failure.</w:t>
            </w:r>
          </w:p>
        </w:tc>
      </w:tr>
      <w:tr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T030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GATE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Pass G2 Security/Scope Gate.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P0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T021–T029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G2 evidence package approved.</w:t>
            </w:r>
          </w:p>
        </w:tc>
      </w:tr>
    </w:tbl>
    <w:p/>
    <w:p>
      <w:pPr>
        <w:pStyle w:val="Heading1"/>
      </w:pPr>
      <w:r>
        <w:t>10. EPIC-04 — Tools, Policy &amp; Approval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14"/>
        <w:gridCol w:w="1714"/>
        <w:gridCol w:w="1714"/>
        <w:gridCol w:w="1714"/>
        <w:gridCol w:w="1714"/>
        <w:gridCol w:w="1714"/>
      </w:tblGrid>
      <w:tr>
        <w:tc>
          <w:tcPr>
            <w:tcW w:type="dxa" w:w="1714"/>
            <w:vAlign w:val="center"/>
            <w:shd w:fill="D9EAF7"/>
          </w:tcPr>
          <w:p>
            <w:r/>
            <w:r>
              <w:rPr>
                <w:b/>
                <w:sz w:val="14"/>
              </w:rPr>
              <w:t>ID</w:t>
            </w:r>
          </w:p>
        </w:tc>
        <w:tc>
          <w:tcPr>
            <w:tcW w:type="dxa" w:w="1714"/>
            <w:vAlign w:val="center"/>
            <w:shd w:fill="D9EAF7"/>
          </w:tcPr>
          <w:p>
            <w:r/>
            <w:r>
              <w:rPr>
                <w:b/>
                <w:sz w:val="14"/>
              </w:rPr>
              <w:t>Type</w:t>
            </w:r>
          </w:p>
        </w:tc>
        <w:tc>
          <w:tcPr>
            <w:tcW w:type="dxa" w:w="1714"/>
            <w:vAlign w:val="center"/>
            <w:shd w:fill="D9EAF7"/>
          </w:tcPr>
          <w:p>
            <w:r/>
            <w:r>
              <w:rPr>
                <w:b/>
                <w:sz w:val="14"/>
              </w:rPr>
              <w:t>Task</w:t>
            </w:r>
          </w:p>
        </w:tc>
        <w:tc>
          <w:tcPr>
            <w:tcW w:type="dxa" w:w="1714"/>
            <w:vAlign w:val="center"/>
            <w:shd w:fill="D9EAF7"/>
          </w:tcPr>
          <w:p>
            <w:r/>
            <w:r>
              <w:rPr>
                <w:b/>
                <w:sz w:val="14"/>
              </w:rPr>
              <w:t>Pri</w:t>
            </w:r>
          </w:p>
        </w:tc>
        <w:tc>
          <w:tcPr>
            <w:tcW w:type="dxa" w:w="1714"/>
            <w:vAlign w:val="center"/>
            <w:shd w:fill="D9EAF7"/>
          </w:tcPr>
          <w:p>
            <w:r/>
            <w:r>
              <w:rPr>
                <w:b/>
                <w:sz w:val="14"/>
              </w:rPr>
              <w:t>Depends</w:t>
            </w:r>
          </w:p>
        </w:tc>
        <w:tc>
          <w:tcPr>
            <w:tcW w:type="dxa" w:w="1714"/>
            <w:vAlign w:val="center"/>
            <w:shd w:fill="D9EAF7"/>
          </w:tcPr>
          <w:p>
            <w:r/>
            <w:r>
              <w:rPr>
                <w:b/>
                <w:sz w:val="14"/>
              </w:rPr>
              <w:t>Acceptance</w:t>
            </w:r>
          </w:p>
        </w:tc>
      </w:tr>
      <w:tr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T031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TASK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Define canonical ToolRequest/ToolResult contracts.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P0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T012,T015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Typed tool contracts validate.</w:t>
            </w:r>
          </w:p>
        </w:tc>
      </w:tr>
      <w:tr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T032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TASK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Implement Tool Registry.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P0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T031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Capabilities are explicitly registered.</w:t>
            </w:r>
          </w:p>
        </w:tc>
      </w:tr>
      <w:tr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T033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TASK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Implement Tool Gateway.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P0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T031,T032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All registered tool calls route through gateway.</w:t>
            </w:r>
          </w:p>
        </w:tc>
      </w:tr>
      <w:tr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T034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TASK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Implement PolicyRequest/PolicyDecision.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P0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T031,T033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Policy produces ALLOW/ASK/DENY/RESTRICT.</w:t>
            </w:r>
          </w:p>
        </w:tc>
      </w:tr>
      <w:tr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T035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TASK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Implement approval lifecycle.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P0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T034,T015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ASK requests are explicit and correlated.</w:t>
            </w:r>
          </w:p>
        </w:tc>
      </w:tr>
      <w:tr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T036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TASK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Implement policy scope/risk evaluation.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P0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T021,T025,T034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Target/risk/scope influence decision.</w:t>
            </w:r>
          </w:p>
        </w:tc>
      </w:tr>
      <w:tr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T037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TEST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Build policy decision matrix tests.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P0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T034–T036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Expected decisions pass.</w:t>
            </w:r>
          </w:p>
        </w:tc>
      </w:tr>
      <w:tr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T038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TEST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Build tool/policy bypass tests.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P0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T033–T036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Alternate authorization paths fail.</w:t>
            </w:r>
          </w:p>
        </w:tc>
      </w:tr>
      <w:tr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T039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TASK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Implement audit hook for material tool decisions.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P1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T033,T034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Decision is traceable.</w:t>
            </w:r>
          </w:p>
        </w:tc>
      </w:tr>
      <w:tr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T040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GATE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Pass G3 Capability Control Gate.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P0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T031–T039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G3 evidence package approved.</w:t>
            </w:r>
          </w:p>
        </w:tc>
      </w:tr>
    </w:tbl>
    <w:p/>
    <w:p>
      <w:pPr>
        <w:pStyle w:val="Heading1"/>
      </w:pPr>
      <w:r>
        <w:t>11. EPIC-05 — Controlled Execution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14"/>
        <w:gridCol w:w="1714"/>
        <w:gridCol w:w="1714"/>
        <w:gridCol w:w="1714"/>
        <w:gridCol w:w="1714"/>
        <w:gridCol w:w="1714"/>
      </w:tblGrid>
      <w:tr>
        <w:tc>
          <w:tcPr>
            <w:tcW w:type="dxa" w:w="1714"/>
            <w:vAlign w:val="center"/>
            <w:shd w:fill="D9EAF7"/>
          </w:tcPr>
          <w:p>
            <w:r/>
            <w:r>
              <w:rPr>
                <w:b/>
                <w:sz w:val="14"/>
              </w:rPr>
              <w:t>ID</w:t>
            </w:r>
          </w:p>
        </w:tc>
        <w:tc>
          <w:tcPr>
            <w:tcW w:type="dxa" w:w="1714"/>
            <w:vAlign w:val="center"/>
            <w:shd w:fill="D9EAF7"/>
          </w:tcPr>
          <w:p>
            <w:r/>
            <w:r>
              <w:rPr>
                <w:b/>
                <w:sz w:val="14"/>
              </w:rPr>
              <w:t>Type</w:t>
            </w:r>
          </w:p>
        </w:tc>
        <w:tc>
          <w:tcPr>
            <w:tcW w:type="dxa" w:w="1714"/>
            <w:vAlign w:val="center"/>
            <w:shd w:fill="D9EAF7"/>
          </w:tcPr>
          <w:p>
            <w:r/>
            <w:r>
              <w:rPr>
                <w:b/>
                <w:sz w:val="14"/>
              </w:rPr>
              <w:t>Task</w:t>
            </w:r>
          </w:p>
        </w:tc>
        <w:tc>
          <w:tcPr>
            <w:tcW w:type="dxa" w:w="1714"/>
            <w:vAlign w:val="center"/>
            <w:shd w:fill="D9EAF7"/>
          </w:tcPr>
          <w:p>
            <w:r/>
            <w:r>
              <w:rPr>
                <w:b/>
                <w:sz w:val="14"/>
              </w:rPr>
              <w:t>Pri</w:t>
            </w:r>
          </w:p>
        </w:tc>
        <w:tc>
          <w:tcPr>
            <w:tcW w:type="dxa" w:w="1714"/>
            <w:vAlign w:val="center"/>
            <w:shd w:fill="D9EAF7"/>
          </w:tcPr>
          <w:p>
            <w:r/>
            <w:r>
              <w:rPr>
                <w:b/>
                <w:sz w:val="14"/>
              </w:rPr>
              <w:t>Depends</w:t>
            </w:r>
          </w:p>
        </w:tc>
        <w:tc>
          <w:tcPr>
            <w:tcW w:type="dxa" w:w="1714"/>
            <w:vAlign w:val="center"/>
            <w:shd w:fill="D9EAF7"/>
          </w:tcPr>
          <w:p>
            <w:r/>
            <w:r>
              <w:rPr>
                <w:b/>
                <w:sz w:val="14"/>
              </w:rPr>
              <w:t>Acceptance</w:t>
            </w:r>
          </w:p>
        </w:tc>
      </w:tr>
      <w:tr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T041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TASK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Implement scoped filesystem executor.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P0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T033,T036,T027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Authorized file operations work; escapes fail.</w:t>
            </w:r>
          </w:p>
        </w:tc>
      </w:tr>
      <w:tr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T042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TASK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Implement bounded process executor.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P0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T033,T036,T027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Timeout/resource/cancellation controls work.</w:t>
            </w:r>
          </w:p>
        </w:tc>
      </w:tr>
      <w:tr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T043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TASK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Implement patch/change engine.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P0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T041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Patch conflicts are detected.</w:t>
            </w:r>
          </w:p>
        </w:tc>
      </w:tr>
      <w:tr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T044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TASK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Implement user-change protection.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P0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T041,T043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Unrelated user edits are preserved.</w:t>
            </w:r>
          </w:p>
        </w:tc>
      </w:tr>
      <w:tr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T045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TASK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Implement Git adapter.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P1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T033,T036,T043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Git operations use controlled capability path.</w:t>
            </w:r>
          </w:p>
        </w:tc>
      </w:tr>
      <w:tr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T046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TASK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Implement cancellation propagation.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P0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T042,T014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Cancellation stops affected work.</w:t>
            </w:r>
          </w:p>
        </w:tc>
      </w:tr>
      <w:tr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T047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TEST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Execution integration/security tests.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P0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T041–T046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Representative execution suite passes.</w:t>
            </w:r>
          </w:p>
        </w:tc>
      </w:tr>
      <w:tr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T048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TEST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Process/resource abuse tests.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P0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T042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Excessive runtime/output/concurrency is bounded.</w:t>
            </w:r>
          </w:p>
        </w:tc>
      </w:tr>
      <w:tr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T049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GATE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Pass G4 Execution Gate.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P0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T041–T048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G4 evidence package approved.</w:t>
            </w:r>
          </w:p>
        </w:tc>
      </w:tr>
    </w:tbl>
    <w:p/>
    <w:p>
      <w:pPr>
        <w:pStyle w:val="Heading1"/>
      </w:pPr>
      <w:r>
        <w:t>12. EPIC-06 — Repository Intelligence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14"/>
        <w:gridCol w:w="1714"/>
        <w:gridCol w:w="1714"/>
        <w:gridCol w:w="1714"/>
        <w:gridCol w:w="1714"/>
        <w:gridCol w:w="1714"/>
      </w:tblGrid>
      <w:tr>
        <w:tc>
          <w:tcPr>
            <w:tcW w:type="dxa" w:w="1714"/>
            <w:vAlign w:val="center"/>
            <w:shd w:fill="D9EAF7"/>
          </w:tcPr>
          <w:p>
            <w:r/>
            <w:r>
              <w:rPr>
                <w:b/>
                <w:sz w:val="14"/>
              </w:rPr>
              <w:t>ID</w:t>
            </w:r>
          </w:p>
        </w:tc>
        <w:tc>
          <w:tcPr>
            <w:tcW w:type="dxa" w:w="1714"/>
            <w:vAlign w:val="center"/>
            <w:shd w:fill="D9EAF7"/>
          </w:tcPr>
          <w:p>
            <w:r/>
            <w:r>
              <w:rPr>
                <w:b/>
                <w:sz w:val="14"/>
              </w:rPr>
              <w:t>Type</w:t>
            </w:r>
          </w:p>
        </w:tc>
        <w:tc>
          <w:tcPr>
            <w:tcW w:type="dxa" w:w="1714"/>
            <w:vAlign w:val="center"/>
            <w:shd w:fill="D9EAF7"/>
          </w:tcPr>
          <w:p>
            <w:r/>
            <w:r>
              <w:rPr>
                <w:b/>
                <w:sz w:val="14"/>
              </w:rPr>
              <w:t>Task</w:t>
            </w:r>
          </w:p>
        </w:tc>
        <w:tc>
          <w:tcPr>
            <w:tcW w:type="dxa" w:w="1714"/>
            <w:vAlign w:val="center"/>
            <w:shd w:fill="D9EAF7"/>
          </w:tcPr>
          <w:p>
            <w:r/>
            <w:r>
              <w:rPr>
                <w:b/>
                <w:sz w:val="14"/>
              </w:rPr>
              <w:t>Pri</w:t>
            </w:r>
          </w:p>
        </w:tc>
        <w:tc>
          <w:tcPr>
            <w:tcW w:type="dxa" w:w="1714"/>
            <w:vAlign w:val="center"/>
            <w:shd w:fill="D9EAF7"/>
          </w:tcPr>
          <w:p>
            <w:r/>
            <w:r>
              <w:rPr>
                <w:b/>
                <w:sz w:val="14"/>
              </w:rPr>
              <w:t>Depends</w:t>
            </w:r>
          </w:p>
        </w:tc>
        <w:tc>
          <w:tcPr>
            <w:tcW w:type="dxa" w:w="1714"/>
            <w:vAlign w:val="center"/>
            <w:shd w:fill="D9EAF7"/>
          </w:tcPr>
          <w:p>
            <w:r/>
            <w:r>
              <w:rPr>
                <w:b/>
                <w:sz w:val="14"/>
              </w:rPr>
              <w:t>Acceptance</w:t>
            </w:r>
          </w:p>
        </w:tc>
      </w:tr>
      <w:tr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T050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TASK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Implement repository root/discovery service.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P1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T021,T041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Repository scope is identified safely.</w:t>
            </w:r>
          </w:p>
        </w:tc>
      </w:tr>
      <w:tr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T051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TASK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Implement file/content search adapter.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P1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T041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Search respects scope.</w:t>
            </w:r>
          </w:p>
        </w:tc>
      </w:tr>
      <w:tr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T052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TASK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Implement repository map/index abstraction.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P1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T050,T051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Relevant repository structure can be represented.</w:t>
            </w:r>
          </w:p>
        </w:tc>
      </w:tr>
      <w:tr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T053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TASK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Implement symbol intelligence interface.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P2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T052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Symbol provider contract exists.</w:t>
            </w:r>
          </w:p>
        </w:tc>
      </w:tr>
      <w:tr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T054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TEST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Repository intelligence scope tests.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P1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T050–T053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No out-of-scope repository access.</w:t>
            </w:r>
          </w:p>
        </w:tc>
      </w:tr>
      <w:tr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T055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TEST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Representative repository benchmark.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P1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T052,T053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Baseline relevance/performance evidence recorded.</w:t>
            </w:r>
          </w:p>
        </w:tc>
      </w:tr>
    </w:tbl>
    <w:p/>
    <w:p>
      <w:pPr>
        <w:pStyle w:val="Heading1"/>
      </w:pPr>
      <w:r>
        <w:t>13. EPIC-07 — Context &amp; Memory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14"/>
        <w:gridCol w:w="1714"/>
        <w:gridCol w:w="1714"/>
        <w:gridCol w:w="1714"/>
        <w:gridCol w:w="1714"/>
        <w:gridCol w:w="1714"/>
      </w:tblGrid>
      <w:tr>
        <w:tc>
          <w:tcPr>
            <w:tcW w:type="dxa" w:w="1714"/>
            <w:vAlign w:val="center"/>
            <w:shd w:fill="D9EAF7"/>
          </w:tcPr>
          <w:p>
            <w:r/>
            <w:r>
              <w:rPr>
                <w:b/>
                <w:sz w:val="14"/>
              </w:rPr>
              <w:t>ID</w:t>
            </w:r>
          </w:p>
        </w:tc>
        <w:tc>
          <w:tcPr>
            <w:tcW w:type="dxa" w:w="1714"/>
            <w:vAlign w:val="center"/>
            <w:shd w:fill="D9EAF7"/>
          </w:tcPr>
          <w:p>
            <w:r/>
            <w:r>
              <w:rPr>
                <w:b/>
                <w:sz w:val="14"/>
              </w:rPr>
              <w:t>Type</w:t>
            </w:r>
          </w:p>
        </w:tc>
        <w:tc>
          <w:tcPr>
            <w:tcW w:type="dxa" w:w="1714"/>
            <w:vAlign w:val="center"/>
            <w:shd w:fill="D9EAF7"/>
          </w:tcPr>
          <w:p>
            <w:r/>
            <w:r>
              <w:rPr>
                <w:b/>
                <w:sz w:val="14"/>
              </w:rPr>
              <w:t>Task</w:t>
            </w:r>
          </w:p>
        </w:tc>
        <w:tc>
          <w:tcPr>
            <w:tcW w:type="dxa" w:w="1714"/>
            <w:vAlign w:val="center"/>
            <w:shd w:fill="D9EAF7"/>
          </w:tcPr>
          <w:p>
            <w:r/>
            <w:r>
              <w:rPr>
                <w:b/>
                <w:sz w:val="14"/>
              </w:rPr>
              <w:t>Pri</w:t>
            </w:r>
          </w:p>
        </w:tc>
        <w:tc>
          <w:tcPr>
            <w:tcW w:type="dxa" w:w="1714"/>
            <w:vAlign w:val="center"/>
            <w:shd w:fill="D9EAF7"/>
          </w:tcPr>
          <w:p>
            <w:r/>
            <w:r>
              <w:rPr>
                <w:b/>
                <w:sz w:val="14"/>
              </w:rPr>
              <w:t>Depends</w:t>
            </w:r>
          </w:p>
        </w:tc>
        <w:tc>
          <w:tcPr>
            <w:tcW w:type="dxa" w:w="1714"/>
            <w:vAlign w:val="center"/>
            <w:shd w:fill="D9EAF7"/>
          </w:tcPr>
          <w:p>
            <w:r/>
            <w:r>
              <w:rPr>
                <w:b/>
                <w:sz w:val="14"/>
              </w:rPr>
              <w:t>Acceptance</w:t>
            </w:r>
          </w:p>
        </w:tc>
      </w:tr>
      <w:tr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T056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TASK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Implement ContextProvider interface.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P1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T012,T052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Providers return typed context items.</w:t>
            </w:r>
          </w:p>
        </w:tc>
      </w:tr>
      <w:tr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T057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TASK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Implement context ranking/filtering.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P1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T056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Relevant items rank within budget.</w:t>
            </w:r>
          </w:p>
        </w:tc>
      </w:tr>
      <w:tr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T058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TASK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Implement context budget manager.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P0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T057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Unbounded context is prevented.</w:t>
            </w:r>
          </w:p>
        </w:tc>
      </w:tr>
      <w:tr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T059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TASK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Implement Context Manifest/provenance.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P1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T057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Context source/freshness metadata is available.</w:t>
            </w:r>
          </w:p>
        </w:tc>
      </w:tr>
      <w:tr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T060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TASK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Implement MemoryStore interface.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P1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T012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Memory persistence is abstracted.</w:t>
            </w:r>
          </w:p>
        </w:tc>
      </w:tr>
      <w:tr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T061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TASK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Implement scoped memory manager.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P1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T060,T021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Memory is task/project scoped.</w:t>
            </w:r>
          </w:p>
        </w:tc>
      </w:tr>
      <w:tr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T062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TASK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Implement stale-memory handling.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P1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T061,T059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Current repository state can outrank stale memory.</w:t>
            </w:r>
          </w:p>
        </w:tc>
      </w:tr>
      <w:tr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T063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TEST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Context/memory security tests.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P0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T056–T062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Memory cannot authorize and secrets are filtered.</w:t>
            </w:r>
          </w:p>
        </w:tc>
      </w:tr>
      <w:tr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T064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TEST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Context relevance/budget benchmark.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P1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T057,T058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Representative tasks fit context budget.</w:t>
            </w:r>
          </w:p>
        </w:tc>
      </w:tr>
      <w:tr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T065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GATE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Pass G5 Context Gate.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P1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T056–T064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G5 evidence package approved.</w:t>
            </w:r>
          </w:p>
        </w:tc>
      </w:tr>
    </w:tbl>
    <w:p/>
    <w:p>
      <w:pPr>
        <w:pStyle w:val="Heading1"/>
      </w:pPr>
      <w:r>
        <w:t>14. EPIC-08 — Model Gateway &amp; Agent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14"/>
        <w:gridCol w:w="1714"/>
        <w:gridCol w:w="1714"/>
        <w:gridCol w:w="1714"/>
        <w:gridCol w:w="1714"/>
        <w:gridCol w:w="1714"/>
      </w:tblGrid>
      <w:tr>
        <w:tc>
          <w:tcPr>
            <w:tcW w:type="dxa" w:w="1714"/>
            <w:vAlign w:val="center"/>
            <w:shd w:fill="D9EAF7"/>
          </w:tcPr>
          <w:p>
            <w:r/>
            <w:r>
              <w:rPr>
                <w:b/>
                <w:sz w:val="14"/>
              </w:rPr>
              <w:t>ID</w:t>
            </w:r>
          </w:p>
        </w:tc>
        <w:tc>
          <w:tcPr>
            <w:tcW w:type="dxa" w:w="1714"/>
            <w:vAlign w:val="center"/>
            <w:shd w:fill="D9EAF7"/>
          </w:tcPr>
          <w:p>
            <w:r/>
            <w:r>
              <w:rPr>
                <w:b/>
                <w:sz w:val="14"/>
              </w:rPr>
              <w:t>Type</w:t>
            </w:r>
          </w:p>
        </w:tc>
        <w:tc>
          <w:tcPr>
            <w:tcW w:type="dxa" w:w="1714"/>
            <w:vAlign w:val="center"/>
            <w:shd w:fill="D9EAF7"/>
          </w:tcPr>
          <w:p>
            <w:r/>
            <w:r>
              <w:rPr>
                <w:b/>
                <w:sz w:val="14"/>
              </w:rPr>
              <w:t>Task</w:t>
            </w:r>
          </w:p>
        </w:tc>
        <w:tc>
          <w:tcPr>
            <w:tcW w:type="dxa" w:w="1714"/>
            <w:vAlign w:val="center"/>
            <w:shd w:fill="D9EAF7"/>
          </w:tcPr>
          <w:p>
            <w:r/>
            <w:r>
              <w:rPr>
                <w:b/>
                <w:sz w:val="14"/>
              </w:rPr>
              <w:t>Pri</w:t>
            </w:r>
          </w:p>
        </w:tc>
        <w:tc>
          <w:tcPr>
            <w:tcW w:type="dxa" w:w="1714"/>
            <w:vAlign w:val="center"/>
            <w:shd w:fill="D9EAF7"/>
          </w:tcPr>
          <w:p>
            <w:r/>
            <w:r>
              <w:rPr>
                <w:b/>
                <w:sz w:val="14"/>
              </w:rPr>
              <w:t>Depends</w:t>
            </w:r>
          </w:p>
        </w:tc>
        <w:tc>
          <w:tcPr>
            <w:tcW w:type="dxa" w:w="1714"/>
            <w:vAlign w:val="center"/>
            <w:shd w:fill="D9EAF7"/>
          </w:tcPr>
          <w:p>
            <w:r/>
            <w:r>
              <w:rPr>
                <w:b/>
                <w:sz w:val="14"/>
              </w:rPr>
              <w:t>Acceptance</w:t>
            </w:r>
          </w:p>
        </w:tc>
      </w:tr>
      <w:tr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T066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TASK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Implement ModelGateway interface.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P1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T012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Provider is replaceable.</w:t>
            </w:r>
          </w:p>
        </w:tc>
      </w:tr>
      <w:tr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T067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TASK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Implement model adapter contract/conformance tests.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P1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T066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Provider adapter conforms.</w:t>
            </w:r>
          </w:p>
        </w:tc>
      </w:tr>
      <w:tr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T068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TASK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Implement planner interface.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P1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T056,T066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Planner consumes controlled context.</w:t>
            </w:r>
          </w:p>
        </w:tc>
      </w:tr>
      <w:tr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T069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TASK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Implement agent behavior state loop.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P1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T014,T033,T068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Agent lifecycle is explicit.</w:t>
            </w:r>
          </w:p>
        </w:tc>
      </w:tr>
      <w:tr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T070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TASK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Implement task/tool/recovery budgets.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P0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T025,T069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Loops are bounded.</w:t>
            </w:r>
          </w:p>
        </w:tc>
      </w:tr>
      <w:tr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T071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TASK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Implement observation/result incorporation.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P1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T069,T056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Tool results refresh task context.</w:t>
            </w:r>
          </w:p>
        </w:tc>
      </w:tr>
      <w:tr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T072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TEST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Agent tool-use behavior suite.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P0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T069–T071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No direct executor bypass.</w:t>
            </w:r>
          </w:p>
        </w:tc>
      </w:tr>
      <w:tr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T073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TEST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Model failure/cancellation tests.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P0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T066,T069,T070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Failures stop safely.</w:t>
            </w:r>
          </w:p>
        </w:tc>
      </w:tr>
      <w:tr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T074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SPIKE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Benchmark candidate model/provider options.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P2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T066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Evidence covers quality/cost/latency/security.</w:t>
            </w:r>
          </w:p>
        </w:tc>
      </w:tr>
      <w:tr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T075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GATE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Pass G6 Agent Gate.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P1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T066–T074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G6 evidence package approved.</w:t>
            </w:r>
          </w:p>
        </w:tc>
      </w:tr>
    </w:tbl>
    <w:p/>
    <w:p>
      <w:pPr>
        <w:pStyle w:val="Heading1"/>
      </w:pPr>
      <w:r>
        <w:t>15. EPIC-09 — Validation, Completion &amp; Recovery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14"/>
        <w:gridCol w:w="1714"/>
        <w:gridCol w:w="1714"/>
        <w:gridCol w:w="1714"/>
        <w:gridCol w:w="1714"/>
        <w:gridCol w:w="1714"/>
      </w:tblGrid>
      <w:tr>
        <w:tc>
          <w:tcPr>
            <w:tcW w:type="dxa" w:w="1714"/>
            <w:vAlign w:val="center"/>
            <w:shd w:fill="D9EAF7"/>
          </w:tcPr>
          <w:p>
            <w:r/>
            <w:r>
              <w:rPr>
                <w:b/>
                <w:sz w:val="14"/>
              </w:rPr>
              <w:t>ID</w:t>
            </w:r>
          </w:p>
        </w:tc>
        <w:tc>
          <w:tcPr>
            <w:tcW w:type="dxa" w:w="1714"/>
            <w:vAlign w:val="center"/>
            <w:shd w:fill="D9EAF7"/>
          </w:tcPr>
          <w:p>
            <w:r/>
            <w:r>
              <w:rPr>
                <w:b/>
                <w:sz w:val="14"/>
              </w:rPr>
              <w:t>Type</w:t>
            </w:r>
          </w:p>
        </w:tc>
        <w:tc>
          <w:tcPr>
            <w:tcW w:type="dxa" w:w="1714"/>
            <w:vAlign w:val="center"/>
            <w:shd w:fill="D9EAF7"/>
          </w:tcPr>
          <w:p>
            <w:r/>
            <w:r>
              <w:rPr>
                <w:b/>
                <w:sz w:val="14"/>
              </w:rPr>
              <w:t>Task</w:t>
            </w:r>
          </w:p>
        </w:tc>
        <w:tc>
          <w:tcPr>
            <w:tcW w:type="dxa" w:w="1714"/>
            <w:vAlign w:val="center"/>
            <w:shd w:fill="D9EAF7"/>
          </w:tcPr>
          <w:p>
            <w:r/>
            <w:r>
              <w:rPr>
                <w:b/>
                <w:sz w:val="14"/>
              </w:rPr>
              <w:t>Pri</w:t>
            </w:r>
          </w:p>
        </w:tc>
        <w:tc>
          <w:tcPr>
            <w:tcW w:type="dxa" w:w="1714"/>
            <w:vAlign w:val="center"/>
            <w:shd w:fill="D9EAF7"/>
          </w:tcPr>
          <w:p>
            <w:r/>
            <w:r>
              <w:rPr>
                <w:b/>
                <w:sz w:val="14"/>
              </w:rPr>
              <w:t>Depends</w:t>
            </w:r>
          </w:p>
        </w:tc>
        <w:tc>
          <w:tcPr>
            <w:tcW w:type="dxa" w:w="1714"/>
            <w:vAlign w:val="center"/>
            <w:shd w:fill="D9EAF7"/>
          </w:tcPr>
          <w:p>
            <w:r/>
            <w:r>
              <w:rPr>
                <w:b/>
                <w:sz w:val="14"/>
              </w:rPr>
              <w:t>Acceptance</w:t>
            </w:r>
          </w:p>
        </w:tc>
      </w:tr>
      <w:tr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T076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TASK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Implement Validation Runner.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P0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T041,T069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Checks can be executed through controlled tools.</w:t>
            </w:r>
          </w:p>
        </w:tc>
      </w:tr>
      <w:tr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T077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TASK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Implement validation evidence model.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P0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T012,T076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Results are structured and traceable.</w:t>
            </w:r>
          </w:p>
        </w:tc>
      </w:tr>
      <w:tr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T078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TASK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Implement Completion Gate.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P0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T077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Only required evidence can establish COMPLETE.</w:t>
            </w:r>
          </w:p>
        </w:tc>
      </w:tr>
      <w:tr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T079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TASK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Implement failure classifier.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P0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T077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Failures receive bounded categories.</w:t>
            </w:r>
          </w:p>
        </w:tc>
      </w:tr>
      <w:tr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T080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TASK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Implement Recovery Controller.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P0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T033,T079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Recovery actions use normal policy path.</w:t>
            </w:r>
          </w:p>
        </w:tc>
      </w:tr>
      <w:tr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T081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TASK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Implement recovery budgets/retry limits.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P0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T025,T080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Repeated failures stop.</w:t>
            </w:r>
          </w:p>
        </w:tc>
      </w:tr>
      <w:tr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T082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TASK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Implement retest workflow.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P0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T076,T080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Repair is followed by validation.</w:t>
            </w:r>
          </w:p>
        </w:tc>
      </w:tr>
      <w:tr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T083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TEST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False-completion adversarial suite.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P0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T078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Missing/invalid evidence cannot complete.</w:t>
            </w:r>
          </w:p>
        </w:tc>
      </w:tr>
      <w:tr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T084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TEST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Recovery failure/loop suite.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P0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T080–T082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Recovery stops safely on exhaustion.</w:t>
            </w:r>
          </w:p>
        </w:tc>
      </w:tr>
      <w:tr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T085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TEST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End-to-end coding task validation.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P0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T069,T076,T078,T082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Representative task passes with evidence.</w:t>
            </w:r>
          </w:p>
        </w:tc>
      </w:tr>
      <w:tr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T086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GATE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Pass G7 Quality Gate.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P0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T076–T085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G7 evidence package approved.</w:t>
            </w:r>
          </w:p>
        </w:tc>
      </w:tr>
    </w:tbl>
    <w:p/>
    <w:p>
      <w:pPr>
        <w:pStyle w:val="Heading1"/>
      </w:pPr>
      <w:r>
        <w:t>16. EPIC-10 — Audit, Artifacts &amp; Observability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14"/>
        <w:gridCol w:w="1714"/>
        <w:gridCol w:w="1714"/>
        <w:gridCol w:w="1714"/>
        <w:gridCol w:w="1714"/>
        <w:gridCol w:w="1714"/>
      </w:tblGrid>
      <w:tr>
        <w:tc>
          <w:tcPr>
            <w:tcW w:type="dxa" w:w="1714"/>
            <w:vAlign w:val="center"/>
            <w:shd w:fill="D9EAF7"/>
          </w:tcPr>
          <w:p>
            <w:r/>
            <w:r>
              <w:rPr>
                <w:b/>
                <w:sz w:val="14"/>
              </w:rPr>
              <w:t>ID</w:t>
            </w:r>
          </w:p>
        </w:tc>
        <w:tc>
          <w:tcPr>
            <w:tcW w:type="dxa" w:w="1714"/>
            <w:vAlign w:val="center"/>
            <w:shd w:fill="D9EAF7"/>
          </w:tcPr>
          <w:p>
            <w:r/>
            <w:r>
              <w:rPr>
                <w:b/>
                <w:sz w:val="14"/>
              </w:rPr>
              <w:t>Type</w:t>
            </w:r>
          </w:p>
        </w:tc>
        <w:tc>
          <w:tcPr>
            <w:tcW w:type="dxa" w:w="1714"/>
            <w:vAlign w:val="center"/>
            <w:shd w:fill="D9EAF7"/>
          </w:tcPr>
          <w:p>
            <w:r/>
            <w:r>
              <w:rPr>
                <w:b/>
                <w:sz w:val="14"/>
              </w:rPr>
              <w:t>Task</w:t>
            </w:r>
          </w:p>
        </w:tc>
        <w:tc>
          <w:tcPr>
            <w:tcW w:type="dxa" w:w="1714"/>
            <w:vAlign w:val="center"/>
            <w:shd w:fill="D9EAF7"/>
          </w:tcPr>
          <w:p>
            <w:r/>
            <w:r>
              <w:rPr>
                <w:b/>
                <w:sz w:val="14"/>
              </w:rPr>
              <w:t>Pri</w:t>
            </w:r>
          </w:p>
        </w:tc>
        <w:tc>
          <w:tcPr>
            <w:tcW w:type="dxa" w:w="1714"/>
            <w:vAlign w:val="center"/>
            <w:shd w:fill="D9EAF7"/>
          </w:tcPr>
          <w:p>
            <w:r/>
            <w:r>
              <w:rPr>
                <w:b/>
                <w:sz w:val="14"/>
              </w:rPr>
              <w:t>Depends</w:t>
            </w:r>
          </w:p>
        </w:tc>
        <w:tc>
          <w:tcPr>
            <w:tcW w:type="dxa" w:w="1714"/>
            <w:vAlign w:val="center"/>
            <w:shd w:fill="D9EAF7"/>
          </w:tcPr>
          <w:p>
            <w:r/>
            <w:r>
              <w:rPr>
                <w:b/>
                <w:sz w:val="14"/>
              </w:rPr>
              <w:t>Acceptance</w:t>
            </w:r>
          </w:p>
        </w:tc>
      </w:tr>
      <w:tr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T087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TASK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Implement structured event envelope.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P1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T012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Events carry correlation metadata.</w:t>
            </w:r>
          </w:p>
        </w:tc>
      </w:tr>
      <w:tr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T088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TASK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Implement audit recorder.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P0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T087,T039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Material actions are recorded.</w:t>
            </w:r>
          </w:p>
        </w:tc>
      </w:tr>
      <w:tr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T089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TASK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Implement artifact store/reference model.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P1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T012,T077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Large evidence is referenced safely.</w:t>
            </w:r>
          </w:p>
        </w:tc>
      </w:tr>
      <w:tr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T090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TASK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Implement output redaction layer.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P0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T026,T087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Sensitive output is filtered.</w:t>
            </w:r>
          </w:p>
        </w:tc>
      </w:tr>
      <w:tr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T091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TASK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Implement task trace/reconstruction view.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P1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T088,T089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Representative task can be reconstructed.</w:t>
            </w:r>
          </w:p>
        </w:tc>
      </w:tr>
      <w:tr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T092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TEST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Audit completeness/correlation tests.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P1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T087–T091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Event chains remain correlated.</w:t>
            </w:r>
          </w:p>
        </w:tc>
      </w:tr>
      <w:tr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T093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TEST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Secret leakage tests.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P0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T090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Known secrets do not appear in ordinary evidence.</w:t>
            </w:r>
          </w:p>
        </w:tc>
      </w:tr>
      <w:tr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T094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GATE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Pass G8 Evidence Gate.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P1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T087–T093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G8 evidence package approved.</w:t>
            </w:r>
          </w:p>
        </w:tc>
      </w:tr>
    </w:tbl>
    <w:p/>
    <w:p>
      <w:pPr>
        <w:pStyle w:val="Heading1"/>
      </w:pPr>
      <w:r>
        <w:t>17. EPIC-11 — VS Code &amp; CLI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14"/>
        <w:gridCol w:w="1714"/>
        <w:gridCol w:w="1714"/>
        <w:gridCol w:w="1714"/>
        <w:gridCol w:w="1714"/>
        <w:gridCol w:w="1714"/>
      </w:tblGrid>
      <w:tr>
        <w:tc>
          <w:tcPr>
            <w:tcW w:type="dxa" w:w="1714"/>
            <w:vAlign w:val="center"/>
            <w:shd w:fill="D9EAF7"/>
          </w:tcPr>
          <w:p>
            <w:r/>
            <w:r>
              <w:rPr>
                <w:b/>
                <w:sz w:val="14"/>
              </w:rPr>
              <w:t>ID</w:t>
            </w:r>
          </w:p>
        </w:tc>
        <w:tc>
          <w:tcPr>
            <w:tcW w:type="dxa" w:w="1714"/>
            <w:vAlign w:val="center"/>
            <w:shd w:fill="D9EAF7"/>
          </w:tcPr>
          <w:p>
            <w:r/>
            <w:r>
              <w:rPr>
                <w:b/>
                <w:sz w:val="14"/>
              </w:rPr>
              <w:t>Type</w:t>
            </w:r>
          </w:p>
        </w:tc>
        <w:tc>
          <w:tcPr>
            <w:tcW w:type="dxa" w:w="1714"/>
            <w:vAlign w:val="center"/>
            <w:shd w:fill="D9EAF7"/>
          </w:tcPr>
          <w:p>
            <w:r/>
            <w:r>
              <w:rPr>
                <w:b/>
                <w:sz w:val="14"/>
              </w:rPr>
              <w:t>Task</w:t>
            </w:r>
          </w:p>
        </w:tc>
        <w:tc>
          <w:tcPr>
            <w:tcW w:type="dxa" w:w="1714"/>
            <w:vAlign w:val="center"/>
            <w:shd w:fill="D9EAF7"/>
          </w:tcPr>
          <w:p>
            <w:r/>
            <w:r>
              <w:rPr>
                <w:b/>
                <w:sz w:val="14"/>
              </w:rPr>
              <w:t>Pri</w:t>
            </w:r>
          </w:p>
        </w:tc>
        <w:tc>
          <w:tcPr>
            <w:tcW w:type="dxa" w:w="1714"/>
            <w:vAlign w:val="center"/>
            <w:shd w:fill="D9EAF7"/>
          </w:tcPr>
          <w:p>
            <w:r/>
            <w:r>
              <w:rPr>
                <w:b/>
                <w:sz w:val="14"/>
              </w:rPr>
              <w:t>Depends</w:t>
            </w:r>
          </w:p>
        </w:tc>
        <w:tc>
          <w:tcPr>
            <w:tcW w:type="dxa" w:w="1714"/>
            <w:vAlign w:val="center"/>
            <w:shd w:fill="D9EAF7"/>
          </w:tcPr>
          <w:p>
            <w:r/>
            <w:r>
              <w:rPr>
                <w:b/>
                <w:sz w:val="14"/>
              </w:rPr>
              <w:t>Acceptance</w:t>
            </w:r>
          </w:p>
        </w:tc>
      </w:tr>
      <w:tr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T095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TASK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Implement CLI runtime client.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P1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T015,T019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CLI uses protocol only.</w:t>
            </w:r>
          </w:p>
        </w:tc>
      </w:tr>
      <w:tr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T096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TASK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Implement VS Code extension shell.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P1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T015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Extension connects to runtime.</w:t>
            </w:r>
          </w:p>
        </w:tc>
      </w:tr>
      <w:tr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T097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TASK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Implement chat/task UI.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P1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T096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User can submit and monitor tasks.</w:t>
            </w:r>
          </w:p>
        </w:tc>
      </w:tr>
      <w:tr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T098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TASK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Implement approval UI.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P1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T035,T096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Approval responses map to exact requests.</w:t>
            </w:r>
          </w:p>
        </w:tc>
      </w:tr>
      <w:tr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T099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TASK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Implement diff/change presentation.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P1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T043,T096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Changes are reviewable.</w:t>
            </w:r>
          </w:p>
        </w:tc>
      </w:tr>
      <w:tr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T100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TASK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Implement diagnostics/progress/status.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P1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T087,T096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Runtime state is visible.</w:t>
            </w:r>
          </w:p>
        </w:tc>
      </w:tr>
      <w:tr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T101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TASK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Implement reconnect/state synchronization.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P1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T015,T013,T096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Client reconnect does not duplicate side effects.</w:t>
            </w:r>
          </w:p>
        </w:tc>
      </w:tr>
      <w:tr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T102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TEST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Client protocol compatibility suite.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P0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T095–T101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CLI and VS Code interoperate with same runtime.</w:t>
            </w:r>
          </w:p>
        </w:tc>
      </w:tr>
      <w:tr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T103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TEST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Client bypass/security tests.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P0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T095–T101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Clients cannot bypass runtime/policy.</w:t>
            </w:r>
          </w:p>
        </w:tc>
      </w:tr>
      <w:tr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T104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GATE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Pass G9 Client Gate.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P1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T095–T103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G9 evidence package approved.</w:t>
            </w:r>
          </w:p>
        </w:tc>
      </w:tr>
    </w:tbl>
    <w:p/>
    <w:p>
      <w:pPr>
        <w:pStyle w:val="Heading1"/>
      </w:pPr>
      <w:r>
        <w:t>18. EPIC-12 — E2E, Security &amp; Performance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14"/>
        <w:gridCol w:w="1714"/>
        <w:gridCol w:w="1714"/>
        <w:gridCol w:w="1714"/>
        <w:gridCol w:w="1714"/>
        <w:gridCol w:w="1714"/>
      </w:tblGrid>
      <w:tr>
        <w:tc>
          <w:tcPr>
            <w:tcW w:type="dxa" w:w="1714"/>
            <w:vAlign w:val="center"/>
            <w:shd w:fill="D9EAF7"/>
          </w:tcPr>
          <w:p>
            <w:r/>
            <w:r>
              <w:rPr>
                <w:b/>
                <w:sz w:val="14"/>
              </w:rPr>
              <w:t>ID</w:t>
            </w:r>
          </w:p>
        </w:tc>
        <w:tc>
          <w:tcPr>
            <w:tcW w:type="dxa" w:w="1714"/>
            <w:vAlign w:val="center"/>
            <w:shd w:fill="D9EAF7"/>
          </w:tcPr>
          <w:p>
            <w:r/>
            <w:r>
              <w:rPr>
                <w:b/>
                <w:sz w:val="14"/>
              </w:rPr>
              <w:t>Type</w:t>
            </w:r>
          </w:p>
        </w:tc>
        <w:tc>
          <w:tcPr>
            <w:tcW w:type="dxa" w:w="1714"/>
            <w:vAlign w:val="center"/>
            <w:shd w:fill="D9EAF7"/>
          </w:tcPr>
          <w:p>
            <w:r/>
            <w:r>
              <w:rPr>
                <w:b/>
                <w:sz w:val="14"/>
              </w:rPr>
              <w:t>Task</w:t>
            </w:r>
          </w:p>
        </w:tc>
        <w:tc>
          <w:tcPr>
            <w:tcW w:type="dxa" w:w="1714"/>
            <w:vAlign w:val="center"/>
            <w:shd w:fill="D9EAF7"/>
          </w:tcPr>
          <w:p>
            <w:r/>
            <w:r>
              <w:rPr>
                <w:b/>
                <w:sz w:val="14"/>
              </w:rPr>
              <w:t>Pri</w:t>
            </w:r>
          </w:p>
        </w:tc>
        <w:tc>
          <w:tcPr>
            <w:tcW w:type="dxa" w:w="1714"/>
            <w:vAlign w:val="center"/>
            <w:shd w:fill="D9EAF7"/>
          </w:tcPr>
          <w:p>
            <w:r/>
            <w:r>
              <w:rPr>
                <w:b/>
                <w:sz w:val="14"/>
              </w:rPr>
              <w:t>Depends</w:t>
            </w:r>
          </w:p>
        </w:tc>
        <w:tc>
          <w:tcPr>
            <w:tcW w:type="dxa" w:w="1714"/>
            <w:vAlign w:val="center"/>
            <w:shd w:fill="D9EAF7"/>
          </w:tcPr>
          <w:p>
            <w:r/>
            <w:r>
              <w:rPr>
                <w:b/>
                <w:sz w:val="14"/>
              </w:rPr>
              <w:t>Acceptance</w:t>
            </w:r>
          </w:p>
        </w:tc>
      </w:tr>
      <w:tr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T105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TEST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Run complete architecture decision test suite.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P0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T104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Applicable ADM tests pass.</w:t>
            </w:r>
          </w:p>
        </w:tc>
      </w:tr>
      <w:tr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T106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TEST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Run injection/untrusted-content suite.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P0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T069,T103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Repository/MCP/memory content cannot gain authority.</w:t>
            </w:r>
          </w:p>
        </w:tc>
      </w:tr>
      <w:tr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T107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TEST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Run workspace/process escape suite.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P0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T041,T042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Escape/resource attacks are blocked.</w:t>
            </w:r>
          </w:p>
        </w:tc>
      </w:tr>
      <w:tr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T108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TEST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Run MCP policy-boundary suite.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P0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T033,T067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MCP cannot bypass internal policy.</w:t>
            </w:r>
          </w:p>
        </w:tc>
      </w:tr>
      <w:tr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T109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TEST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Run user-change protection suite.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P0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T044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Unrelated changes remain safe.</w:t>
            </w:r>
          </w:p>
        </w:tc>
      </w:tr>
      <w:tr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T110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TEST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Run failure-injection/recovery suite.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P0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T080–T082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Failures recover or stop within budgets.</w:t>
            </w:r>
          </w:p>
        </w:tc>
      </w:tr>
      <w:tr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T111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TEST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Run representative repository E2E suite.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P0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T085,T104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Core coding workflows succeed.</w:t>
            </w:r>
          </w:p>
        </w:tc>
      </w:tr>
      <w:tr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T112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TEST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Run performance/resource benchmark suite.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P1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T064,T074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Baseline metrics are recorded.</w:t>
            </w:r>
          </w:p>
        </w:tc>
      </w:tr>
      <w:tr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T113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TEST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Run dependency/license/security review.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P0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T007,T074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Release dependencies approved.</w:t>
            </w:r>
          </w:p>
        </w:tc>
      </w:tr>
      <w:tr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T114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GATE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Pass G10 Hardening Gate.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P0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T105–T113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Release-candidate evidence approved.</w:t>
            </w:r>
          </w:p>
        </w:tc>
      </w:tr>
    </w:tbl>
    <w:p/>
    <w:p>
      <w:pPr>
        <w:pStyle w:val="Heading1"/>
      </w:pPr>
      <w:r>
        <w:t>19. EPIC-13 — Release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14"/>
        <w:gridCol w:w="1714"/>
        <w:gridCol w:w="1714"/>
        <w:gridCol w:w="1714"/>
        <w:gridCol w:w="1714"/>
        <w:gridCol w:w="1714"/>
      </w:tblGrid>
      <w:tr>
        <w:tc>
          <w:tcPr>
            <w:tcW w:type="dxa" w:w="1714"/>
            <w:vAlign w:val="center"/>
            <w:shd w:fill="D9EAF7"/>
          </w:tcPr>
          <w:p>
            <w:r/>
            <w:r>
              <w:rPr>
                <w:b/>
                <w:sz w:val="14"/>
              </w:rPr>
              <w:t>ID</w:t>
            </w:r>
          </w:p>
        </w:tc>
        <w:tc>
          <w:tcPr>
            <w:tcW w:type="dxa" w:w="1714"/>
            <w:vAlign w:val="center"/>
            <w:shd w:fill="D9EAF7"/>
          </w:tcPr>
          <w:p>
            <w:r/>
            <w:r>
              <w:rPr>
                <w:b/>
                <w:sz w:val="14"/>
              </w:rPr>
              <w:t>Type</w:t>
            </w:r>
          </w:p>
        </w:tc>
        <w:tc>
          <w:tcPr>
            <w:tcW w:type="dxa" w:w="1714"/>
            <w:vAlign w:val="center"/>
            <w:shd w:fill="D9EAF7"/>
          </w:tcPr>
          <w:p>
            <w:r/>
            <w:r>
              <w:rPr>
                <w:b/>
                <w:sz w:val="14"/>
              </w:rPr>
              <w:t>Task</w:t>
            </w:r>
          </w:p>
        </w:tc>
        <w:tc>
          <w:tcPr>
            <w:tcW w:type="dxa" w:w="1714"/>
            <w:vAlign w:val="center"/>
            <w:shd w:fill="D9EAF7"/>
          </w:tcPr>
          <w:p>
            <w:r/>
            <w:r>
              <w:rPr>
                <w:b/>
                <w:sz w:val="14"/>
              </w:rPr>
              <w:t>Pri</w:t>
            </w:r>
          </w:p>
        </w:tc>
        <w:tc>
          <w:tcPr>
            <w:tcW w:type="dxa" w:w="1714"/>
            <w:vAlign w:val="center"/>
            <w:shd w:fill="D9EAF7"/>
          </w:tcPr>
          <w:p>
            <w:r/>
            <w:r>
              <w:rPr>
                <w:b/>
                <w:sz w:val="14"/>
              </w:rPr>
              <w:t>Depends</w:t>
            </w:r>
          </w:p>
        </w:tc>
        <w:tc>
          <w:tcPr>
            <w:tcW w:type="dxa" w:w="1714"/>
            <w:vAlign w:val="center"/>
            <w:shd w:fill="D9EAF7"/>
          </w:tcPr>
          <w:p>
            <w:r/>
            <w:r>
              <w:rPr>
                <w:b/>
                <w:sz w:val="14"/>
              </w:rPr>
              <w:t>Acceptance</w:t>
            </w:r>
          </w:p>
        </w:tc>
      </w:tr>
      <w:tr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T115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OPS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Create reproducible release build.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P0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T114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Clean environment produces release artifact.</w:t>
            </w:r>
          </w:p>
        </w:tc>
      </w:tr>
      <w:tr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T116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OPS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Verify package/install/startup workflow.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P0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T115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Fresh install passes smoke test.</w:t>
            </w:r>
          </w:p>
        </w:tc>
      </w:tr>
      <w:tr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T117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DOC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Finalize user/developer/security documentation.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P0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T114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Documentation matches implementation.</w:t>
            </w:r>
          </w:p>
        </w:tc>
      </w:tr>
      <w:tr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T118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OPS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Create rollback/recovery procedure.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P0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T115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Known-good rollback is documented/tested.</w:t>
            </w:r>
          </w:p>
        </w:tc>
      </w:tr>
      <w:tr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T119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DOC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Generate release notes and traceability report.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P1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T114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Changes map to backlog/specs.</w:t>
            </w:r>
          </w:p>
        </w:tc>
      </w:tr>
      <w:tr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T120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GATE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Pass G11 Release Gate.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P0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T115–T119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Release approval recorded.</w:t>
            </w:r>
          </w:p>
        </w:tc>
      </w:tr>
    </w:tbl>
    <w:p/>
    <w:p>
      <w:pPr>
        <w:pStyle w:val="Heading1"/>
      </w:pPr>
      <w:r>
        <w:t>20. EPIC-14 — Deferred Technology / Research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14"/>
        <w:gridCol w:w="1714"/>
        <w:gridCol w:w="1714"/>
        <w:gridCol w:w="1714"/>
        <w:gridCol w:w="1714"/>
        <w:gridCol w:w="1714"/>
      </w:tblGrid>
      <w:tr>
        <w:tc>
          <w:tcPr>
            <w:tcW w:type="dxa" w:w="1714"/>
            <w:vAlign w:val="center"/>
            <w:shd w:fill="D9EAF7"/>
          </w:tcPr>
          <w:p>
            <w:r/>
            <w:r>
              <w:rPr>
                <w:b/>
                <w:sz w:val="14"/>
              </w:rPr>
              <w:t>ID</w:t>
            </w:r>
          </w:p>
        </w:tc>
        <w:tc>
          <w:tcPr>
            <w:tcW w:type="dxa" w:w="1714"/>
            <w:vAlign w:val="center"/>
            <w:shd w:fill="D9EAF7"/>
          </w:tcPr>
          <w:p>
            <w:r/>
            <w:r>
              <w:rPr>
                <w:b/>
                <w:sz w:val="14"/>
              </w:rPr>
              <w:t>Type</w:t>
            </w:r>
          </w:p>
        </w:tc>
        <w:tc>
          <w:tcPr>
            <w:tcW w:type="dxa" w:w="1714"/>
            <w:vAlign w:val="center"/>
            <w:shd w:fill="D9EAF7"/>
          </w:tcPr>
          <w:p>
            <w:r/>
            <w:r>
              <w:rPr>
                <w:b/>
                <w:sz w:val="14"/>
              </w:rPr>
              <w:t>Task</w:t>
            </w:r>
          </w:p>
        </w:tc>
        <w:tc>
          <w:tcPr>
            <w:tcW w:type="dxa" w:w="1714"/>
            <w:vAlign w:val="center"/>
            <w:shd w:fill="D9EAF7"/>
          </w:tcPr>
          <w:p>
            <w:r/>
            <w:r>
              <w:rPr>
                <w:b/>
                <w:sz w:val="14"/>
              </w:rPr>
              <w:t>Pri</w:t>
            </w:r>
          </w:p>
        </w:tc>
        <w:tc>
          <w:tcPr>
            <w:tcW w:type="dxa" w:w="1714"/>
            <w:vAlign w:val="center"/>
            <w:shd w:fill="D9EAF7"/>
          </w:tcPr>
          <w:p>
            <w:r/>
            <w:r>
              <w:rPr>
                <w:b/>
                <w:sz w:val="14"/>
              </w:rPr>
              <w:t>Trigger</w:t>
            </w:r>
          </w:p>
        </w:tc>
        <w:tc>
          <w:tcPr>
            <w:tcW w:type="dxa" w:w="1714"/>
            <w:vAlign w:val="center"/>
            <w:shd w:fill="D9EAF7"/>
          </w:tcPr>
          <w:p>
            <w:r/>
            <w:r>
              <w:rPr>
                <w:b/>
                <w:sz w:val="14"/>
              </w:rPr>
              <w:t>Acceptance</w:t>
            </w:r>
          </w:p>
        </w:tc>
      </w:tr>
      <w:tr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T121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SPIKE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Evaluate specific LLM/provider candidates.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P2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Need/provider benchmark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Decision backed by quality/cost/latency/security evidence.</w:t>
            </w:r>
          </w:p>
        </w:tc>
      </w:tr>
      <w:tr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T122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SPIKE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Evaluate vector/embedding retrieval.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P2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Context benchmark gap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Adopt only if material measured benefit.</w:t>
            </w:r>
          </w:p>
        </w:tc>
      </w:tr>
      <w:tr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T123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SPIKE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Evaluate container sandbox backend.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P1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Deployment/security need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Isolation/resource evidence passes.</w:t>
            </w:r>
          </w:p>
        </w:tc>
      </w:tr>
      <w:tr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T124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SPIKE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Evaluate telemetry backend.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P3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Operational need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Privacy/value review passes.</w:t>
            </w:r>
          </w:p>
        </w:tc>
      </w:tr>
      <w:tr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T125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SPIKE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Evaluate multi-agent framework.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P3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Measured coordination need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Benefit + isolation + budget evidence.</w:t>
            </w:r>
          </w:p>
        </w:tc>
      </w:tr>
      <w:tr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T126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SPIKE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Evaluate remote database/runtime.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P3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Scale/deployment trigger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Architecture compatibility proven.</w:t>
            </w:r>
          </w:p>
        </w:tc>
      </w:tr>
      <w:tr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T127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ADR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Record approved deferred technology decision.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P1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After evidence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4"/>
              </w:rPr>
              <w:t>ADR and affected docs updated.</w:t>
            </w:r>
          </w:p>
        </w:tc>
      </w:tr>
    </w:tbl>
    <w:p/>
    <w:p>
      <w:pPr>
        <w:pStyle w:val="Heading1"/>
      </w:pPr>
      <w:r>
        <w:t>21. Cross-Cutting Backlog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c>
          <w:tcPr>
            <w:tcW w:type="dxa" w:w="2570"/>
            <w:vAlign w:val="center"/>
            <w:shd w:fill="D9EAF7"/>
          </w:tcPr>
          <w:p>
            <w:r/>
            <w:r>
              <w:rPr>
                <w:b/>
                <w:sz w:val="14"/>
              </w:rPr>
              <w:t>ID</w:t>
            </w:r>
          </w:p>
        </w:tc>
        <w:tc>
          <w:tcPr>
            <w:tcW w:type="dxa" w:w="2570"/>
            <w:vAlign w:val="center"/>
            <w:shd w:fill="D9EAF7"/>
          </w:tcPr>
          <w:p>
            <w:r/>
            <w:r>
              <w:rPr>
                <w:b/>
                <w:sz w:val="14"/>
              </w:rPr>
              <w:t>Work</w:t>
            </w:r>
          </w:p>
        </w:tc>
        <w:tc>
          <w:tcPr>
            <w:tcW w:type="dxa" w:w="2570"/>
            <w:vAlign w:val="center"/>
            <w:shd w:fill="D9EAF7"/>
          </w:tcPr>
          <w:p>
            <w:r/>
            <w:r>
              <w:rPr>
                <w:b/>
                <w:sz w:val="14"/>
              </w:rPr>
              <w:t>Priority</w:t>
            </w:r>
          </w:p>
        </w:tc>
        <w:tc>
          <w:tcPr>
            <w:tcW w:type="dxa" w:w="2570"/>
            <w:vAlign w:val="center"/>
            <w:shd w:fill="D9EAF7"/>
          </w:tcPr>
          <w:p>
            <w:r/>
            <w:r>
              <w:rPr>
                <w:b/>
                <w:sz w:val="14"/>
              </w:rPr>
              <w:t>Rule</w:t>
            </w:r>
          </w:p>
        </w:tc>
      </w:tr>
      <w:tr>
        <w:tc>
          <w:tcPr>
            <w:tcW w:type="dxa" w:w="2570"/>
            <w:vAlign w:val="center"/>
          </w:tcPr>
          <w:p>
            <w:r/>
            <w:r>
              <w:rPr>
                <w:b w:val="0"/>
                <w:sz w:val="14"/>
              </w:rPr>
              <w:t>X001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b w:val="0"/>
                <w:sz w:val="14"/>
              </w:rPr>
              <w:t>Maintain traceability from task → spec → architecture decision.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b w:val="0"/>
                <w:sz w:val="14"/>
              </w:rPr>
              <w:t>P0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b w:val="0"/>
                <w:sz w:val="14"/>
              </w:rPr>
              <w:t>Required for material work.</w:t>
            </w:r>
          </w:p>
        </w:tc>
      </w:tr>
      <w:tr>
        <w:tc>
          <w:tcPr>
            <w:tcW w:type="dxa" w:w="2570"/>
            <w:vAlign w:val="center"/>
          </w:tcPr>
          <w:p>
            <w:r/>
            <w:r>
              <w:rPr>
                <w:b w:val="0"/>
                <w:sz w:val="14"/>
              </w:rPr>
              <w:t>X002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b w:val="0"/>
                <w:sz w:val="14"/>
              </w:rPr>
              <w:t>Maintain security regression suite.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b w:val="0"/>
                <w:sz w:val="14"/>
              </w:rPr>
              <w:t>P0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b w:val="0"/>
                <w:sz w:val="14"/>
              </w:rPr>
              <w:t>Security regressions block release.</w:t>
            </w:r>
          </w:p>
        </w:tc>
      </w:tr>
      <w:tr>
        <w:tc>
          <w:tcPr>
            <w:tcW w:type="dxa" w:w="2570"/>
            <w:vAlign w:val="center"/>
          </w:tcPr>
          <w:p>
            <w:r/>
            <w:r>
              <w:rPr>
                <w:b w:val="0"/>
                <w:sz w:val="14"/>
              </w:rPr>
              <w:t>X003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b w:val="0"/>
                <w:sz w:val="14"/>
              </w:rPr>
              <w:t>Maintain architecture drift checks.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b w:val="0"/>
                <w:sz w:val="14"/>
              </w:rPr>
              <w:t>P0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b w:val="0"/>
                <w:sz w:val="14"/>
              </w:rPr>
              <w:t>No alternate authority path.</w:t>
            </w:r>
          </w:p>
        </w:tc>
      </w:tr>
      <w:tr>
        <w:tc>
          <w:tcPr>
            <w:tcW w:type="dxa" w:w="2570"/>
            <w:vAlign w:val="center"/>
          </w:tcPr>
          <w:p>
            <w:r/>
            <w:r>
              <w:rPr>
                <w:b w:val="0"/>
                <w:sz w:val="14"/>
              </w:rPr>
              <w:t>X004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b w:val="0"/>
                <w:sz w:val="14"/>
              </w:rPr>
              <w:t>Maintain dependency/license inventory.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b w:val="0"/>
                <w:sz w:val="14"/>
              </w:rPr>
              <w:t>P0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b w:val="0"/>
                <w:sz w:val="14"/>
              </w:rPr>
              <w:t>Required for production dependencies.</w:t>
            </w:r>
          </w:p>
        </w:tc>
      </w:tr>
      <w:tr>
        <w:tc>
          <w:tcPr>
            <w:tcW w:type="dxa" w:w="2570"/>
            <w:vAlign w:val="center"/>
          </w:tcPr>
          <w:p>
            <w:r/>
            <w:r>
              <w:rPr>
                <w:b w:val="0"/>
                <w:sz w:val="14"/>
              </w:rPr>
              <w:t>X005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b w:val="0"/>
                <w:sz w:val="14"/>
              </w:rPr>
              <w:t>Maintain test fixtures for adversarial repositories.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b w:val="0"/>
                <w:sz w:val="14"/>
              </w:rPr>
              <w:t>P1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b w:val="0"/>
                <w:sz w:val="14"/>
              </w:rPr>
              <w:t>Use controlled, reproducible fixtures.</w:t>
            </w:r>
          </w:p>
        </w:tc>
      </w:tr>
      <w:tr>
        <w:tc>
          <w:tcPr>
            <w:tcW w:type="dxa" w:w="2570"/>
            <w:vAlign w:val="center"/>
          </w:tcPr>
          <w:p>
            <w:r/>
            <w:r>
              <w:rPr>
                <w:b w:val="0"/>
                <w:sz w:val="14"/>
              </w:rPr>
              <w:t>X006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b w:val="0"/>
                <w:sz w:val="14"/>
              </w:rPr>
              <w:t>Maintain evidence/artifact retention rules.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b w:val="0"/>
                <w:sz w:val="14"/>
              </w:rPr>
              <w:t>P1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b w:val="0"/>
                <w:sz w:val="14"/>
              </w:rPr>
              <w:t>No uncontrolled sensitive output.</w:t>
            </w:r>
          </w:p>
        </w:tc>
      </w:tr>
      <w:tr>
        <w:tc>
          <w:tcPr>
            <w:tcW w:type="dxa" w:w="2570"/>
            <w:vAlign w:val="center"/>
          </w:tcPr>
          <w:p>
            <w:r/>
            <w:r>
              <w:rPr>
                <w:b w:val="0"/>
                <w:sz w:val="14"/>
              </w:rPr>
              <w:t>X007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b w:val="0"/>
                <w:sz w:val="14"/>
              </w:rPr>
              <w:t>Update progress/evidence after each gate.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b w:val="0"/>
                <w:sz w:val="14"/>
              </w:rPr>
              <w:t>P0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b w:val="0"/>
                <w:sz w:val="14"/>
              </w:rPr>
              <w:t>Gate status must be reconstructable.</w:t>
            </w:r>
          </w:p>
        </w:tc>
      </w:tr>
      <w:tr>
        <w:tc>
          <w:tcPr>
            <w:tcW w:type="dxa" w:w="2570"/>
            <w:vAlign w:val="center"/>
          </w:tcPr>
          <w:p>
            <w:r/>
            <w:r>
              <w:rPr>
                <w:b w:val="0"/>
                <w:sz w:val="14"/>
              </w:rPr>
              <w:t>X008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b w:val="0"/>
                <w:sz w:val="14"/>
              </w:rPr>
              <w:t>Review deferred decisions before release when triggered.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b w:val="0"/>
                <w:sz w:val="14"/>
              </w:rPr>
              <w:t>P1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b w:val="0"/>
                <w:sz w:val="14"/>
              </w:rPr>
              <w:t>No hidden unresolved dependency.</w:t>
            </w:r>
          </w:p>
        </w:tc>
      </w:tr>
    </w:tbl>
    <w:p/>
    <w:p>
      <w:pPr>
        <w:pStyle w:val="Heading1"/>
      </w:pPr>
      <w:r>
        <w:t>22. Dependency Graph</w:t>
      </w:r>
    </w:p>
    <w:p>
      <w:pPr>
        <w:spacing w:after="0"/>
      </w:pPr>
      <w:r>
        <w:rPr>
          <w:rFonts w:ascii="Consolas" w:hAnsi="Consolas"/>
          <w:sz w:val="14"/>
        </w:rPr>
        <w:t>T001–T010 Foundation</w:t>
      </w:r>
    </w:p>
    <w:p>
      <w:pPr>
        <w:spacing w:after="0"/>
      </w:pPr>
      <w:r>
        <w:rPr>
          <w:rFonts w:ascii="Consolas" w:hAnsi="Consolas"/>
          <w:sz w:val="14"/>
        </w:rPr>
        <w:t xml:space="preserve">       ↓</w:t>
      </w:r>
    </w:p>
    <w:p>
      <w:pPr>
        <w:spacing w:after="0"/>
      </w:pPr>
      <w:r>
        <w:rPr>
          <w:rFonts w:ascii="Consolas" w:hAnsi="Consolas"/>
          <w:sz w:val="14"/>
        </w:rPr>
        <w:t>T011–T020 Contracts/State</w:t>
      </w:r>
    </w:p>
    <w:p>
      <w:pPr>
        <w:spacing w:after="0"/>
      </w:pPr>
      <w:r>
        <w:rPr>
          <w:rFonts w:ascii="Consolas" w:hAnsi="Consolas"/>
          <w:sz w:val="14"/>
        </w:rPr>
        <w:t xml:space="preserve">       ↓</w:t>
      </w:r>
    </w:p>
    <w:p>
      <w:pPr>
        <w:spacing w:after="0"/>
      </w:pPr>
      <w:r>
        <w:rPr>
          <w:rFonts w:ascii="Consolas" w:hAnsi="Consolas"/>
          <w:sz w:val="14"/>
        </w:rPr>
        <w:t>T021–T030 Security/Scope</w:t>
      </w:r>
    </w:p>
    <w:p>
      <w:pPr>
        <w:spacing w:after="0"/>
      </w:pPr>
      <w:r>
        <w:rPr>
          <w:rFonts w:ascii="Consolas" w:hAnsi="Consolas"/>
          <w:sz w:val="14"/>
        </w:rPr>
        <w:t xml:space="preserve">       ↓</w:t>
      </w:r>
    </w:p>
    <w:p>
      <w:pPr>
        <w:spacing w:after="0"/>
      </w:pPr>
      <w:r>
        <w:rPr>
          <w:rFonts w:ascii="Consolas" w:hAnsi="Consolas"/>
          <w:sz w:val="14"/>
        </w:rPr>
        <w:t>T031–T040 Tools/Policy</w:t>
      </w:r>
    </w:p>
    <w:p>
      <w:pPr>
        <w:spacing w:after="0"/>
      </w:pPr>
      <w:r>
        <w:rPr>
          <w:rFonts w:ascii="Consolas" w:hAnsi="Consolas"/>
          <w:sz w:val="14"/>
        </w:rPr>
        <w:t xml:space="preserve">       ↓</w:t>
      </w:r>
    </w:p>
    <w:p>
      <w:pPr>
        <w:spacing w:after="0"/>
      </w:pPr>
      <w:r>
        <w:rPr>
          <w:rFonts w:ascii="Consolas" w:hAnsi="Consolas"/>
          <w:sz w:val="14"/>
        </w:rPr>
        <w:t>T041–T049 Execution</w:t>
      </w:r>
    </w:p>
    <w:p>
      <w:pPr>
        <w:spacing w:after="0"/>
      </w:pPr>
      <w:r>
        <w:rPr>
          <w:rFonts w:ascii="Consolas" w:hAnsi="Consolas"/>
          <w:sz w:val="14"/>
        </w:rPr>
        <w:t xml:space="preserve">       ↓</w:t>
      </w:r>
    </w:p>
    <w:p>
      <w:pPr>
        <w:spacing w:after="0"/>
      </w:pPr>
      <w:r>
        <w:rPr>
          <w:rFonts w:ascii="Consolas" w:hAnsi="Consolas"/>
          <w:sz w:val="14"/>
        </w:rPr>
        <w:t>T050–T065 Repository/Context/Memory</w:t>
      </w:r>
    </w:p>
    <w:p>
      <w:pPr>
        <w:spacing w:after="0"/>
      </w:pPr>
      <w:r>
        <w:rPr>
          <w:rFonts w:ascii="Consolas" w:hAnsi="Consolas"/>
          <w:sz w:val="14"/>
        </w:rPr>
        <w:t xml:space="preserve">       ↓</w:t>
      </w:r>
    </w:p>
    <w:p>
      <w:pPr>
        <w:spacing w:after="0"/>
      </w:pPr>
      <w:r>
        <w:rPr>
          <w:rFonts w:ascii="Consolas" w:hAnsi="Consolas"/>
          <w:sz w:val="14"/>
        </w:rPr>
        <w:t>T066–T075 Model/Agent</w:t>
      </w:r>
    </w:p>
    <w:p>
      <w:pPr>
        <w:spacing w:after="0"/>
      </w:pPr>
      <w:r>
        <w:rPr>
          <w:rFonts w:ascii="Consolas" w:hAnsi="Consolas"/>
          <w:sz w:val="14"/>
        </w:rPr>
        <w:t xml:space="preserve">       ↓</w:t>
      </w:r>
    </w:p>
    <w:p>
      <w:pPr>
        <w:spacing w:after="0"/>
      </w:pPr>
      <w:r>
        <w:rPr>
          <w:rFonts w:ascii="Consolas" w:hAnsi="Consolas"/>
          <w:sz w:val="14"/>
        </w:rPr>
        <w:t>T076–T086 Validation/Recovery</w:t>
      </w:r>
    </w:p>
    <w:p>
      <w:pPr>
        <w:spacing w:after="0"/>
      </w:pPr>
      <w:r>
        <w:rPr>
          <w:rFonts w:ascii="Consolas" w:hAnsi="Consolas"/>
          <w:sz w:val="14"/>
        </w:rPr>
        <w:t xml:space="preserve">       ↓</w:t>
      </w:r>
    </w:p>
    <w:p>
      <w:pPr>
        <w:spacing w:after="0"/>
      </w:pPr>
      <w:r>
        <w:rPr>
          <w:rFonts w:ascii="Consolas" w:hAnsi="Consolas"/>
          <w:sz w:val="14"/>
        </w:rPr>
        <w:t>T087–T094 Evidence</w:t>
      </w:r>
    </w:p>
    <w:p>
      <w:pPr>
        <w:spacing w:after="0"/>
      </w:pPr>
      <w:r>
        <w:rPr>
          <w:rFonts w:ascii="Consolas" w:hAnsi="Consolas"/>
          <w:sz w:val="14"/>
        </w:rPr>
        <w:t xml:space="preserve">       ↓</w:t>
      </w:r>
    </w:p>
    <w:p>
      <w:pPr>
        <w:spacing w:after="0"/>
      </w:pPr>
      <w:r>
        <w:rPr>
          <w:rFonts w:ascii="Consolas" w:hAnsi="Consolas"/>
          <w:sz w:val="14"/>
        </w:rPr>
        <w:t>T095–T104 Clients</w:t>
      </w:r>
    </w:p>
    <w:p>
      <w:pPr>
        <w:spacing w:after="0"/>
      </w:pPr>
      <w:r>
        <w:rPr>
          <w:rFonts w:ascii="Consolas" w:hAnsi="Consolas"/>
          <w:sz w:val="14"/>
        </w:rPr>
        <w:t xml:space="preserve">       ↓</w:t>
      </w:r>
    </w:p>
    <w:p>
      <w:pPr>
        <w:spacing w:after="0"/>
      </w:pPr>
      <w:r>
        <w:rPr>
          <w:rFonts w:ascii="Consolas" w:hAnsi="Consolas"/>
          <w:sz w:val="14"/>
        </w:rPr>
        <w:t>T105–T114 Hardening</w:t>
      </w:r>
    </w:p>
    <w:p>
      <w:pPr>
        <w:spacing w:after="0"/>
      </w:pPr>
      <w:r>
        <w:rPr>
          <w:rFonts w:ascii="Consolas" w:hAnsi="Consolas"/>
          <w:sz w:val="14"/>
        </w:rPr>
        <w:t xml:space="preserve">       ↓</w:t>
      </w:r>
    </w:p>
    <w:p>
      <w:pPr>
        <w:spacing w:after="0"/>
      </w:pPr>
      <w:r>
        <w:rPr>
          <w:rFonts w:ascii="Consolas" w:hAnsi="Consolas"/>
          <w:sz w:val="14"/>
        </w:rPr>
        <w:t>T115–T120 Release</w:t>
      </w:r>
    </w:p>
    <w:p>
      <w:pPr>
        <w:pStyle w:val="Heading1"/>
      </w:pPr>
      <w:r>
        <w:t>23. Critical Path Tasks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vAlign w:val="center"/>
            <w:shd w:fill="D9EAF7"/>
          </w:tcPr>
          <w:p>
            <w:r/>
            <w:r>
              <w:rPr>
                <w:b/>
                <w:sz w:val="14"/>
              </w:rPr>
              <w:t>Critical ID</w:t>
            </w:r>
          </w:p>
        </w:tc>
        <w:tc>
          <w:tcPr>
            <w:tcW w:type="dxa" w:w="5141"/>
            <w:vAlign w:val="center"/>
            <w:shd w:fill="D9EAF7"/>
          </w:tcPr>
          <w:p>
            <w:r/>
            <w:r>
              <w:rPr>
                <w:b/>
                <w:sz w:val="14"/>
              </w:rPr>
              <w:t>Why critical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T002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Build/install foundation.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T014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Authoritative task lifecycle.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T021–T023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Safe workspace boundary.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T033–T036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Single tool authorization path.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T041–T042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Controlled side effects.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T058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Context resource control.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T069–T070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Bounded agent lifecycle.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T078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Authoritative completion.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T080–T082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Bounded recovery.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T085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Representative E2E proof.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T105–T114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Release-blocking hardening.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T120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Final release gate.</w:t>
            </w:r>
          </w:p>
        </w:tc>
      </w:tr>
    </w:tbl>
    <w:p/>
    <w:p>
      <w:pPr>
        <w:pStyle w:val="Heading1"/>
      </w:pPr>
      <w:r>
        <w:t>24. Parallelizable Work</w:t>
      </w:r>
    </w:p>
    <w:p>
      <w:pPr>
        <w:pStyle w:val="ListBullet"/>
        <w:spacing w:after="20"/>
      </w:pPr>
      <w:r>
        <w:t>Security test fixture development may run alongside security implementation.</w:t>
      </w:r>
    </w:p>
    <w:p>
      <w:pPr>
        <w:pStyle w:val="ListBullet"/>
        <w:spacing w:after="20"/>
      </w:pPr>
      <w:r>
        <w:t>Protocol contract tests may run alongside state implementation.</w:t>
      </w:r>
    </w:p>
    <w:p>
      <w:pPr>
        <w:pStyle w:val="ListBullet"/>
        <w:spacing w:after="20"/>
      </w:pPr>
      <w:r>
        <w:t>VS Code UI prototyping may run alongside runtime development, provided it cannot define authority.</w:t>
      </w:r>
    </w:p>
    <w:p>
      <w:pPr>
        <w:pStyle w:val="ListBullet"/>
        <w:spacing w:after="20"/>
      </w:pPr>
      <w:r>
        <w:t>Repository-intelligence benchmarks may run alongside execution work.</w:t>
      </w:r>
    </w:p>
    <w:p>
      <w:pPr>
        <w:pStyle w:val="ListBullet"/>
        <w:spacing w:after="20"/>
      </w:pPr>
      <w:r>
        <w:t>Dependency/license review may run in parallel with module implementation.</w:t>
      </w:r>
    </w:p>
    <w:p>
      <w:pPr>
        <w:pStyle w:val="ListBullet"/>
        <w:spacing w:after="20"/>
      </w:pPr>
      <w:r>
        <w:t>Performance harness development may precede final performance measurements.</w:t>
      </w:r>
    </w:p>
    <w:p>
      <w:pPr>
        <w:pStyle w:val="ListBullet"/>
        <w:spacing w:after="20"/>
      </w:pPr>
      <w:r>
        <w:t>Documentation updates may proceed continuously without altering locked specifications.</w:t>
      </w:r>
    </w:p>
    <w:p>
      <w:pPr>
        <w:pStyle w:val="Heading1"/>
      </w:pPr>
      <w:r>
        <w:t>25. Task-Level Definition of Ready</w:t>
      </w:r>
    </w:p>
    <w:p>
      <w:pPr>
        <w:pStyle w:val="ListBullet"/>
        <w:spacing w:after="20"/>
      </w:pPr>
      <w:r>
        <w:t>Task has a unique ID and clear scope.</w:t>
      </w:r>
    </w:p>
    <w:p>
      <w:pPr>
        <w:pStyle w:val="ListBullet"/>
        <w:spacing w:after="20"/>
      </w:pPr>
      <w:r>
        <w:t>Applicable specification/baseline is identified.</w:t>
      </w:r>
    </w:p>
    <w:p>
      <w:pPr>
        <w:pStyle w:val="ListBullet"/>
        <w:spacing w:after="20"/>
      </w:pPr>
      <w:r>
        <w:t>Dependencies are known.</w:t>
      </w:r>
    </w:p>
    <w:p>
      <w:pPr>
        <w:pStyle w:val="ListBullet"/>
        <w:spacing w:after="20"/>
      </w:pPr>
      <w:r>
        <w:t>Acceptance criteria are testable.</w:t>
      </w:r>
    </w:p>
    <w:p>
      <w:pPr>
        <w:pStyle w:val="ListBullet"/>
        <w:spacing w:after="20"/>
      </w:pPr>
      <w:r>
        <w:t>Security impact is identified.</w:t>
      </w:r>
    </w:p>
    <w:p>
      <w:pPr>
        <w:pStyle w:val="ListBullet"/>
        <w:spacing w:after="20"/>
      </w:pPr>
      <w:r>
        <w:t>Expected repository location is known.</w:t>
      </w:r>
    </w:p>
    <w:p>
      <w:pPr>
        <w:pStyle w:val="ListBullet"/>
        <w:spacing w:after="20"/>
      </w:pPr>
      <w:r>
        <w:t>Required evidence is identified.</w:t>
      </w:r>
    </w:p>
    <w:p>
      <w:pPr>
        <w:pStyle w:val="ListBullet"/>
        <w:spacing w:after="20"/>
      </w:pPr>
      <w:r>
        <w:t>No unresolved architecture contradiction blocks implementation.</w:t>
      </w:r>
    </w:p>
    <w:p>
      <w:pPr>
        <w:pStyle w:val="Heading1"/>
      </w:pPr>
      <w:r>
        <w:t>26. Task-Level Definition of Done</w:t>
      </w:r>
    </w:p>
    <w:p>
      <w:pPr>
        <w:pStyle w:val="ListBullet"/>
        <w:spacing w:after="20"/>
      </w:pPr>
      <w:r>
        <w:t>Implementation is in the correct repository module.</w:t>
      </w:r>
    </w:p>
    <w:p>
      <w:pPr>
        <w:pStyle w:val="ListBullet"/>
        <w:spacing w:after="20"/>
      </w:pPr>
      <w:r>
        <w:t>Applicable contracts/specifications are satisfied.</w:t>
      </w:r>
    </w:p>
    <w:p>
      <w:pPr>
        <w:pStyle w:val="ListBullet"/>
        <w:spacing w:after="20"/>
      </w:pPr>
      <w:r>
        <w:t>Required automated tests pass.</w:t>
      </w:r>
    </w:p>
    <w:p>
      <w:pPr>
        <w:pStyle w:val="ListBullet"/>
        <w:spacing w:after="20"/>
      </w:pPr>
      <w:r>
        <w:t>Security tests pass where applicable.</w:t>
      </w:r>
    </w:p>
    <w:p>
      <w:pPr>
        <w:pStyle w:val="ListBullet"/>
        <w:spacing w:after="20"/>
      </w:pPr>
      <w:r>
        <w:t>Errors/cancellation follow the recovery model.</w:t>
      </w:r>
    </w:p>
    <w:p>
      <w:pPr>
        <w:pStyle w:val="ListBullet"/>
        <w:spacing w:after="20"/>
      </w:pPr>
      <w:r>
        <w:t>Audit/evidence behavior is implemented where required.</w:t>
      </w:r>
    </w:p>
    <w:p>
      <w:pPr>
        <w:pStyle w:val="ListBullet"/>
        <w:spacing w:after="20"/>
      </w:pPr>
      <w:r>
        <w:t>No locked invariant is violated.</w:t>
      </w:r>
    </w:p>
    <w:p>
      <w:pPr>
        <w:pStyle w:val="ListBullet"/>
        <w:spacing w:after="20"/>
      </w:pPr>
      <w:r>
        <w:t>Documentation/traceability is updated.</w:t>
      </w:r>
    </w:p>
    <w:p>
      <w:pPr>
        <w:pStyle w:val="ListBullet"/>
        <w:spacing w:after="20"/>
      </w:pPr>
      <w:r>
        <w:t>Review is complete.</w:t>
      </w:r>
    </w:p>
    <w:p>
      <w:pPr>
        <w:pStyle w:val="ListBullet"/>
        <w:spacing w:after="20"/>
      </w:pPr>
      <w:r>
        <w:t>Acceptance evidence is recorded.</w:t>
      </w:r>
    </w:p>
    <w:p>
      <w:pPr>
        <w:pStyle w:val="Heading1"/>
      </w:pPr>
      <w:r>
        <w:t>27. Security-Critical Task Rules</w:t>
      </w:r>
    </w:p>
    <w:p>
      <w:pPr>
        <w:pStyle w:val="ListBullet"/>
        <w:spacing w:after="20"/>
      </w:pPr>
      <w:r>
        <w:t>Security-critical tasks are P0.</w:t>
      </w:r>
    </w:p>
    <w:p>
      <w:pPr>
        <w:pStyle w:val="ListBullet"/>
        <w:spacing w:after="20"/>
      </w:pPr>
      <w:r>
        <w:t>Security tests are release-blocking.</w:t>
      </w:r>
    </w:p>
    <w:p>
      <w:pPr>
        <w:pStyle w:val="ListBullet"/>
        <w:spacing w:after="20"/>
      </w:pPr>
      <w:r>
        <w:t>Security-control failure must fail closed for affected privileged operations.</w:t>
      </w:r>
    </w:p>
    <w:p>
      <w:pPr>
        <w:pStyle w:val="ListBullet"/>
        <w:spacing w:after="20"/>
      </w:pPr>
      <w:r>
        <w:t>Security fixes cannot be replaced by model prompts or documentation.</w:t>
      </w:r>
    </w:p>
    <w:p>
      <w:pPr>
        <w:pStyle w:val="ListBullet"/>
        <w:spacing w:after="20"/>
      </w:pPr>
      <w:r>
        <w:t>Policy, sandbox, secret and scope changes require explicit review.</w:t>
      </w:r>
    </w:p>
    <w:p>
      <w:pPr>
        <w:pStyle w:val="ListBullet"/>
        <w:spacing w:after="20"/>
      </w:pPr>
      <w:r>
        <w:t>Security bypass findings must create a tracked remediation task.</w:t>
      </w:r>
    </w:p>
    <w:p>
      <w:pPr>
        <w:pStyle w:val="Heading1"/>
      </w:pPr>
      <w:r>
        <w:t>28. Bug / Defect Workflow</w:t>
      </w:r>
    </w:p>
    <w:p>
      <w:pPr>
        <w:spacing w:after="0"/>
      </w:pPr>
      <w:r>
        <w:rPr>
          <w:rFonts w:ascii="Consolas" w:hAnsi="Consolas"/>
          <w:sz w:val="14"/>
        </w:rPr>
        <w:t>DEFECT</w:t>
      </w:r>
    </w:p>
    <w:p>
      <w:pPr>
        <w:spacing w:after="0"/>
      </w:pPr>
      <w:r>
        <w:rPr>
          <w:rFonts w:ascii="Consolas" w:hAnsi="Consolas"/>
          <w:sz w:val="14"/>
        </w:rPr>
        <w:t xml:space="preserve">  ↓</w:t>
      </w:r>
    </w:p>
    <w:p>
      <w:pPr>
        <w:spacing w:after="0"/>
      </w:pPr>
      <w:r>
        <w:rPr>
          <w:rFonts w:ascii="Consolas" w:hAnsi="Consolas"/>
          <w:sz w:val="14"/>
        </w:rPr>
        <w:t>CLASSIFY: SECURITY / CORRECTNESS / RELIABILITY / UX / PERFORMANCE</w:t>
      </w:r>
    </w:p>
    <w:p>
      <w:pPr>
        <w:spacing w:after="0"/>
      </w:pPr>
      <w:r>
        <w:rPr>
          <w:rFonts w:ascii="Consolas" w:hAnsi="Consolas"/>
          <w:sz w:val="14"/>
        </w:rPr>
        <w:t xml:space="preserve">  ↓</w:t>
      </w:r>
    </w:p>
    <w:p>
      <w:pPr>
        <w:spacing w:after="0"/>
      </w:pPr>
      <w:r>
        <w:rPr>
          <w:rFonts w:ascii="Consolas" w:hAnsi="Consolas"/>
          <w:sz w:val="14"/>
        </w:rPr>
        <w:t>SEVERITY + PRIORITY</w:t>
      </w:r>
    </w:p>
    <w:p>
      <w:pPr>
        <w:spacing w:after="0"/>
      </w:pPr>
      <w:r>
        <w:rPr>
          <w:rFonts w:ascii="Consolas" w:hAnsi="Consolas"/>
          <w:sz w:val="14"/>
        </w:rPr>
        <w:t xml:space="preserve">  ↓</w:t>
      </w:r>
    </w:p>
    <w:p>
      <w:pPr>
        <w:spacing w:after="0"/>
      </w:pPr>
      <w:r>
        <w:rPr>
          <w:rFonts w:ascii="Consolas" w:hAnsi="Consolas"/>
          <w:sz w:val="14"/>
        </w:rPr>
        <w:t>ROOT-CAUSE TASK</w:t>
      </w:r>
    </w:p>
    <w:p>
      <w:pPr>
        <w:spacing w:after="0"/>
      </w:pPr>
      <w:r>
        <w:rPr>
          <w:rFonts w:ascii="Consolas" w:hAnsi="Consolas"/>
          <w:sz w:val="14"/>
        </w:rPr>
        <w:t xml:space="preserve">  ↓</w:t>
      </w:r>
    </w:p>
    <w:p>
      <w:pPr>
        <w:spacing w:after="0"/>
      </w:pPr>
      <w:r>
        <w:rPr>
          <w:rFonts w:ascii="Consolas" w:hAnsi="Consolas"/>
          <w:sz w:val="14"/>
        </w:rPr>
        <w:t>FIX</w:t>
      </w:r>
    </w:p>
    <w:p>
      <w:pPr>
        <w:spacing w:after="0"/>
      </w:pPr>
      <w:r>
        <w:rPr>
          <w:rFonts w:ascii="Consolas" w:hAnsi="Consolas"/>
          <w:sz w:val="14"/>
        </w:rPr>
        <w:t xml:space="preserve">  ↓</w:t>
      </w:r>
    </w:p>
    <w:p>
      <w:pPr>
        <w:spacing w:after="0"/>
      </w:pPr>
      <w:r>
        <w:rPr>
          <w:rFonts w:ascii="Consolas" w:hAnsi="Consolas"/>
          <w:sz w:val="14"/>
        </w:rPr>
        <w:t>REGRESSION TEST</w:t>
      </w:r>
    </w:p>
    <w:p>
      <w:pPr>
        <w:spacing w:after="0"/>
      </w:pPr>
      <w:r>
        <w:rPr>
          <w:rFonts w:ascii="Consolas" w:hAnsi="Consolas"/>
          <w:sz w:val="14"/>
        </w:rPr>
        <w:t xml:space="preserve">  ↓</w:t>
      </w:r>
    </w:p>
    <w:p>
      <w:pPr>
        <w:spacing w:after="0"/>
      </w:pPr>
      <w:r>
        <w:rPr>
          <w:rFonts w:ascii="Consolas" w:hAnsi="Consolas"/>
          <w:sz w:val="14"/>
        </w:rPr>
        <w:t>RE-GATE IF AFFECTED</w:t>
      </w:r>
    </w:p>
    <w:p>
      <w:pPr>
        <w:spacing w:after="0"/>
      </w:pPr>
      <w:r>
        <w:rPr>
          <w:rFonts w:ascii="Consolas" w:hAnsi="Consolas"/>
          <w:sz w:val="14"/>
        </w:rPr>
        <w:t xml:space="preserve">  ↓</w:t>
      </w:r>
    </w:p>
    <w:p>
      <w:pPr>
        <w:spacing w:after="0"/>
      </w:pPr>
      <w:r>
        <w:rPr>
          <w:rFonts w:ascii="Consolas" w:hAnsi="Consolas"/>
          <w:sz w:val="14"/>
        </w:rPr>
        <w:t>CLOSE WITH EVIDENCE</w:t>
      </w:r>
    </w:p>
    <w:p>
      <w:pPr>
        <w:pStyle w:val="Heading1"/>
      </w:pPr>
      <w:r>
        <w:t>29. Backlog Change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vAlign w:val="center"/>
            <w:shd w:fill="D9EAF7"/>
          </w:tcPr>
          <w:p>
            <w:r/>
            <w:r>
              <w:rPr>
                <w:b/>
                <w:sz w:val="14"/>
              </w:rPr>
              <w:t>Change</w:t>
            </w:r>
          </w:p>
        </w:tc>
        <w:tc>
          <w:tcPr>
            <w:tcW w:type="dxa" w:w="5141"/>
            <w:vAlign w:val="center"/>
            <w:shd w:fill="D9EAF7"/>
          </w:tcPr>
          <w:p>
            <w:r/>
            <w:r>
              <w:rPr>
                <w:b/>
                <w:sz w:val="14"/>
              </w:rPr>
              <w:t>Rule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Split task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Allowed if intent, acceptance and traceability are preserved.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Reorder task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Allowed only when dependency/gate safety is preserved.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Change acceptance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Requires review of affected specification and tests.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Change priority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Requires impact/gate review.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Add new core capability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Requires scope/architecture/security review.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Remove mandatory task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Requires explicit change control.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Change locked invariant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Not allowed through normal backlog edit; requires new versioned decision.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Defer release blocker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Requires formal approval; security/release gates cannot be silently skipped.</w:t>
            </w:r>
          </w:p>
        </w:tc>
      </w:tr>
    </w:tbl>
    <w:p/>
    <w:p>
      <w:pPr>
        <w:pStyle w:val="Heading1"/>
      </w:pPr>
      <w:r>
        <w:t>30. Backlog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vAlign w:val="center"/>
            <w:shd w:fill="D9EAF7"/>
          </w:tcPr>
          <w:p>
            <w:r/>
            <w:r>
              <w:rPr>
                <w:b/>
                <w:sz w:val="14"/>
              </w:rPr>
              <w:t>Metric</w:t>
            </w:r>
          </w:p>
        </w:tc>
        <w:tc>
          <w:tcPr>
            <w:tcW w:type="dxa" w:w="5141"/>
            <w:vAlign w:val="center"/>
            <w:shd w:fill="D9EAF7"/>
          </w:tcPr>
          <w:p>
            <w:r/>
            <w:r>
              <w:rPr>
                <w:b/>
                <w:sz w:val="14"/>
              </w:rPr>
              <w:t>Purpose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Ready → Done lead time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Delivery flow.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Blocked time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Dependency health.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Rework rate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Implementation quality.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Gate pass rate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Release readiness.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Security defect escape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Security quality.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False-completion rate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Agent correctness.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Recovery success rate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Resilience.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Test pass rate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Regression health.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Architecture drift findings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Design integrity.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Deferred decision count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Technology uncertainty.</w:t>
            </w:r>
          </w:p>
        </w:tc>
      </w:tr>
    </w:tbl>
    <w:p/>
    <w:p>
      <w:pPr>
        <w:pStyle w:val="Heading1"/>
      </w:pPr>
      <w:r>
        <w:t>31. Progress Reporting Format</w:t>
      </w:r>
    </w:p>
    <w:p>
      <w:pPr>
        <w:spacing w:after="0"/>
      </w:pPr>
      <w:r>
        <w:rPr>
          <w:rFonts w:ascii="Consolas" w:hAnsi="Consolas"/>
          <w:sz w:val="14"/>
        </w:rPr>
        <w:t>PHASE: Pn</w:t>
      </w:r>
    </w:p>
    <w:p>
      <w:pPr>
        <w:spacing w:after="0"/>
      </w:pPr>
      <w:r>
        <w:rPr>
          <w:rFonts w:ascii="Consolas" w:hAnsi="Consolas"/>
          <w:sz w:val="14"/>
        </w:rPr>
        <w:t>GATE: Gn</w:t>
      </w:r>
    </w:p>
    <w:p>
      <w:pPr>
        <w:spacing w:after="0"/>
      </w:pPr>
      <w:r>
        <w:rPr>
          <w:rFonts w:ascii="Consolas" w:hAnsi="Consolas"/>
          <w:sz w:val="14"/>
        </w:rPr>
        <w:t>STATUS: NOT STARTED / IN PROGRESS / BLOCKED / REVIEW / DONE</w:t>
      </w:r>
    </w:p>
    <w:p>
      <w:pPr>
        <w:spacing w:after="0"/>
      </w:pPr>
      <w:r>
        <w:rPr>
          <w:rFonts w:ascii="Consolas" w:hAnsi="Consolas"/>
          <w:sz w:val="14"/>
        </w:rPr>
        <w:t>COMPLETED: &lt;task IDs&gt;</w:t>
      </w:r>
    </w:p>
    <w:p>
      <w:pPr>
        <w:spacing w:after="0"/>
      </w:pPr>
      <w:r>
        <w:rPr>
          <w:rFonts w:ascii="Consolas" w:hAnsi="Consolas"/>
          <w:sz w:val="14"/>
        </w:rPr>
        <w:t>IN PROGRESS: &lt;task IDs&gt;</w:t>
      </w:r>
    </w:p>
    <w:p>
      <w:pPr>
        <w:spacing w:after="0"/>
      </w:pPr>
      <w:r>
        <w:rPr>
          <w:rFonts w:ascii="Consolas" w:hAnsi="Consolas"/>
          <w:sz w:val="14"/>
        </w:rPr>
        <w:t>BLOCKED: &lt;task IDs + reason&gt;</w:t>
      </w:r>
    </w:p>
    <w:p>
      <w:pPr>
        <w:spacing w:after="0"/>
      </w:pPr>
      <w:r>
        <w:rPr>
          <w:rFonts w:ascii="Consolas" w:hAnsi="Consolas"/>
          <w:sz w:val="14"/>
        </w:rPr>
        <w:t>TESTS: &lt;result&gt;</w:t>
      </w:r>
    </w:p>
    <w:p>
      <w:pPr>
        <w:spacing w:after="0"/>
      </w:pPr>
      <w:r>
        <w:rPr>
          <w:rFonts w:ascii="Consolas" w:hAnsi="Consolas"/>
          <w:sz w:val="14"/>
        </w:rPr>
        <w:t>SECURITY: &lt;result&gt;</w:t>
      </w:r>
    </w:p>
    <w:p>
      <w:pPr>
        <w:spacing w:after="0"/>
      </w:pPr>
      <w:r>
        <w:rPr>
          <w:rFonts w:ascii="Consolas" w:hAnsi="Consolas"/>
          <w:sz w:val="14"/>
        </w:rPr>
        <w:t>EVIDENCE: &lt;artifact references&gt;</w:t>
      </w:r>
    </w:p>
    <w:p>
      <w:pPr>
        <w:spacing w:after="0"/>
      </w:pPr>
      <w:r>
        <w:rPr>
          <w:rFonts w:ascii="Consolas" w:hAnsi="Consolas"/>
          <w:sz w:val="14"/>
        </w:rPr>
        <w:t>RISKS: &lt;active risks&gt;</w:t>
      </w:r>
    </w:p>
    <w:p>
      <w:pPr>
        <w:spacing w:after="0"/>
      </w:pPr>
      <w:r>
        <w:rPr>
          <w:rFonts w:ascii="Consolas" w:hAnsi="Consolas"/>
          <w:sz w:val="14"/>
        </w:rPr>
        <w:t>NEXT: &lt;task IDs&gt;</w:t>
      </w:r>
    </w:p>
    <w:p>
      <w:pPr>
        <w:pStyle w:val="Heading1"/>
      </w:pPr>
      <w:r>
        <w:t>32. Release-Blocking Backlog Items</w:t>
      </w:r>
    </w:p>
    <w:p>
      <w:pPr>
        <w:pStyle w:val="ListBullet"/>
        <w:spacing w:after="20"/>
      </w:pPr>
      <w:r>
        <w:t>T007 dependency/security scanning</w:t>
      </w:r>
    </w:p>
    <w:p>
      <w:pPr>
        <w:pStyle w:val="ListBullet"/>
        <w:spacing w:after="20"/>
      </w:pPr>
      <w:r>
        <w:t>T008 secret/config safety</w:t>
      </w:r>
    </w:p>
    <w:p>
      <w:pPr>
        <w:pStyle w:val="ListBullet"/>
        <w:spacing w:after="20"/>
      </w:pPr>
      <w:r>
        <w:t>T023 workspace escape protection</w:t>
      </w:r>
    </w:p>
    <w:p>
      <w:pPr>
        <w:pStyle w:val="ListBullet"/>
        <w:spacing w:after="20"/>
      </w:pPr>
      <w:r>
        <w:t>T029 fail-closed security tests</w:t>
      </w:r>
    </w:p>
    <w:p>
      <w:pPr>
        <w:pStyle w:val="ListBullet"/>
        <w:spacing w:after="20"/>
      </w:pPr>
      <w:r>
        <w:t>T033 Tool Gateway</w:t>
      </w:r>
    </w:p>
    <w:p>
      <w:pPr>
        <w:pStyle w:val="ListBullet"/>
        <w:spacing w:after="20"/>
      </w:pPr>
      <w:r>
        <w:t>T034–T036 Policy/approval/scope controls</w:t>
      </w:r>
    </w:p>
    <w:p>
      <w:pPr>
        <w:pStyle w:val="ListBullet"/>
        <w:spacing w:after="20"/>
      </w:pPr>
      <w:r>
        <w:t>T042 process limits</w:t>
      </w:r>
    </w:p>
    <w:p>
      <w:pPr>
        <w:pStyle w:val="ListBullet"/>
        <w:spacing w:after="20"/>
      </w:pPr>
      <w:r>
        <w:t>T044 user-change protection</w:t>
      </w:r>
    </w:p>
    <w:p>
      <w:pPr>
        <w:pStyle w:val="ListBullet"/>
        <w:spacing w:after="20"/>
      </w:pPr>
      <w:r>
        <w:t>T078 Completion Gate</w:t>
      </w:r>
    </w:p>
    <w:p>
      <w:pPr>
        <w:pStyle w:val="ListBullet"/>
        <w:spacing w:after="20"/>
      </w:pPr>
      <w:r>
        <w:t>T081 recovery limits</w:t>
      </w:r>
    </w:p>
    <w:p>
      <w:pPr>
        <w:pStyle w:val="ListBullet"/>
        <w:spacing w:after="20"/>
      </w:pPr>
      <w:r>
        <w:t>T083 false-completion tests</w:t>
      </w:r>
    </w:p>
    <w:p>
      <w:pPr>
        <w:pStyle w:val="ListBullet"/>
        <w:spacing w:after="20"/>
      </w:pPr>
      <w:r>
        <w:t>T093 secret leakage tests</w:t>
      </w:r>
    </w:p>
    <w:p>
      <w:pPr>
        <w:pStyle w:val="ListBullet"/>
        <w:spacing w:after="20"/>
      </w:pPr>
      <w:r>
        <w:t>T103 client bypass tests</w:t>
      </w:r>
    </w:p>
    <w:p>
      <w:pPr>
        <w:pStyle w:val="ListBullet"/>
        <w:spacing w:after="20"/>
      </w:pPr>
      <w:r>
        <w:t>T105–T110 adversarial hardening</w:t>
      </w:r>
    </w:p>
    <w:p>
      <w:pPr>
        <w:pStyle w:val="ListBullet"/>
        <w:spacing w:after="20"/>
      </w:pPr>
      <w:r>
        <w:t>T113 dependency/license/security review</w:t>
      </w:r>
    </w:p>
    <w:p>
      <w:pPr>
        <w:pStyle w:val="ListBullet"/>
        <w:spacing w:after="20"/>
      </w:pPr>
      <w:r>
        <w:t>T120 release gate</w:t>
      </w:r>
    </w:p>
    <w:p>
      <w:pPr>
        <w:pStyle w:val="Heading1"/>
      </w:pPr>
      <w:r>
        <w:t>33. Backlog Invariants</w:t>
      </w:r>
    </w:p>
    <w:p>
      <w:pPr>
        <w:pStyle w:val="ListBullet"/>
        <w:spacing w:after="20"/>
      </w:pPr>
      <w:r>
        <w:t>BL1: Every implementation task has a unique stable ID.</w:t>
      </w:r>
    </w:p>
    <w:p>
      <w:pPr>
        <w:pStyle w:val="ListBullet"/>
        <w:spacing w:after="20"/>
      </w:pPr>
      <w:r>
        <w:t>BL2: Every material task maps to a locked baseline.</w:t>
      </w:r>
    </w:p>
    <w:p>
      <w:pPr>
        <w:pStyle w:val="ListBullet"/>
        <w:spacing w:after="20"/>
      </w:pPr>
      <w:r>
        <w:t>BL3: Dependencies cannot be silently bypassed.</w:t>
      </w:r>
    </w:p>
    <w:p>
      <w:pPr>
        <w:pStyle w:val="ListBullet"/>
        <w:spacing w:after="20"/>
      </w:pPr>
      <w:r>
        <w:t>BL4: Security-critical work is release-blocking.</w:t>
      </w:r>
    </w:p>
    <w:p>
      <w:pPr>
        <w:pStyle w:val="ListBullet"/>
        <w:spacing w:after="20"/>
      </w:pPr>
      <w:r>
        <w:t>BL5: Tool side-effect work requires the Tool Gateway/Policy path.</w:t>
      </w:r>
    </w:p>
    <w:p>
      <w:pPr>
        <w:pStyle w:val="ListBullet"/>
        <w:spacing w:after="20"/>
      </w:pPr>
      <w:r>
        <w:t>BL6: Agent tasks cannot create direct executor paths.</w:t>
      </w:r>
    </w:p>
    <w:p>
      <w:pPr>
        <w:pStyle w:val="ListBullet"/>
        <w:spacing w:after="20"/>
      </w:pPr>
      <w:r>
        <w:t>BL7: Completion work requires validation evidence.</w:t>
      </w:r>
    </w:p>
    <w:p>
      <w:pPr>
        <w:pStyle w:val="ListBullet"/>
        <w:spacing w:after="20"/>
      </w:pPr>
      <w:r>
        <w:t>BL8: Recovery work cannot weaken policy/security.</w:t>
      </w:r>
    </w:p>
    <w:p>
      <w:pPr>
        <w:pStyle w:val="ListBullet"/>
        <w:spacing w:after="20"/>
      </w:pPr>
      <w:r>
        <w:t>BL9: Client tasks cannot create privileged runtime authority.</w:t>
      </w:r>
    </w:p>
    <w:p>
      <w:pPr>
        <w:pStyle w:val="ListBullet"/>
        <w:spacing w:after="20"/>
      </w:pPr>
      <w:r>
        <w:t>BL10: Deferred technology is not a hidden prerequisite.</w:t>
      </w:r>
    </w:p>
    <w:p>
      <w:pPr>
        <w:pStyle w:val="ListBullet"/>
        <w:spacing w:after="20"/>
      </w:pPr>
      <w:r>
        <w:t>BL11: Every gate has evidence.</w:t>
      </w:r>
    </w:p>
    <w:p>
      <w:pPr>
        <w:pStyle w:val="ListBullet"/>
        <w:spacing w:after="20"/>
      </w:pPr>
      <w:r>
        <w:t>BL12: Done means acceptance criteria passed.</w:t>
      </w:r>
    </w:p>
    <w:p>
      <w:pPr>
        <w:pStyle w:val="ListBullet"/>
        <w:spacing w:after="20"/>
      </w:pPr>
      <w:r>
        <w:t>BL13: Architecture drift creates remediation/change work.</w:t>
      </w:r>
    </w:p>
    <w:p>
      <w:pPr>
        <w:pStyle w:val="ListBullet"/>
        <w:spacing w:after="20"/>
      </w:pPr>
      <w:r>
        <w:t>BL14: User-change protection remains active throughout implementation.</w:t>
      </w:r>
    </w:p>
    <w:p>
      <w:pPr>
        <w:pStyle w:val="ListBullet"/>
        <w:spacing w:after="20"/>
      </w:pPr>
      <w:r>
        <w:t>BL15: Release requires full mandatory backlog/gate evidence.</w:t>
      </w:r>
    </w:p>
    <w:p>
      <w:pPr>
        <w:pStyle w:val="Heading1"/>
      </w:pPr>
      <w:r>
        <w:t>34. Acceptance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vAlign w:val="center"/>
            <w:shd w:fill="D9EAF7"/>
          </w:tcPr>
          <w:p>
            <w:r/>
            <w:r>
              <w:rPr>
                <w:b/>
                <w:sz w:val="14"/>
              </w:rPr>
              <w:t>ID</w:t>
            </w:r>
          </w:p>
        </w:tc>
        <w:tc>
          <w:tcPr>
            <w:tcW w:type="dxa" w:w="3427"/>
            <w:vAlign w:val="center"/>
            <w:shd w:fill="D9EAF7"/>
          </w:tcPr>
          <w:p>
            <w:r/>
            <w:r>
              <w:rPr>
                <w:b/>
                <w:sz w:val="14"/>
              </w:rPr>
              <w:t>Area</w:t>
            </w:r>
          </w:p>
        </w:tc>
        <w:tc>
          <w:tcPr>
            <w:tcW w:type="dxa" w:w="3427"/>
            <w:vAlign w:val="center"/>
            <w:shd w:fill="D9EAF7"/>
          </w:tcPr>
          <w:p>
            <w:r/>
            <w:r>
              <w:rPr>
                <w:b/>
                <w:sz w:val="14"/>
              </w:rPr>
              <w:t>Acceptance condition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BL-A01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Coverage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All major implementation areas are represented.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BL-A02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Sequence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Backlog follows dependency-aware implementation order.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BL-A03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Security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Security/scope work precedes privileged execution.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BL-A04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Tools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Single Tool Gateway/Policy implementation is explicit.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BL-A05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Execution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Filesystem/process/patch/Git work is represented.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BL-A06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Context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Repository/context/memory work is represented.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BL-A07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Agent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Model/agent work is bounded and testable.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BL-A08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Quality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Validation/completion/recovery work is explicit.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BL-A09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Evidence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Audit/artifact/observability work is explicit.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BL-A10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Clients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VS Code/CLI work uses same runtime.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BL-A11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Hardening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E2E/security/performance work is release-blocking.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BL-A12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Release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Release tasks and gate are explicit.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BL-A13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Deferred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Deferred technology work is trigger/evidence based.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BL-A14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Traceability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Tasks map to locked documents.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BL-A15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Governance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Change, DoR, DoD and progress rules are defined.</w:t>
            </w:r>
          </w:p>
        </w:tc>
      </w:tr>
    </w:tbl>
    <w:p/>
    <w:p>
      <w:pPr>
        <w:pStyle w:val="Heading1"/>
      </w:pPr>
      <w:r>
        <w:t>35. Traceability to Locked Baselines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vAlign w:val="center"/>
            <w:shd w:fill="D9EAF7"/>
          </w:tcPr>
          <w:p>
            <w:r/>
            <w:r>
              <w:rPr>
                <w:b/>
                <w:sz w:val="14"/>
              </w:rPr>
              <w:t>Baseline</w:t>
            </w:r>
          </w:p>
        </w:tc>
        <w:tc>
          <w:tcPr>
            <w:tcW w:type="dxa" w:w="5141"/>
            <w:vAlign w:val="center"/>
            <w:shd w:fill="D9EAF7"/>
          </w:tcPr>
          <w:p>
            <w:r/>
            <w:r>
              <w:rPr>
                <w:b/>
                <w:sz w:val="14"/>
              </w:rPr>
              <w:t>Task Backlog role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01 PRD v1.0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Provides product scope/outcomes represented by epics.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02 SRS v1.0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Provides requirements mapped to implementation and tests.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03 System Architecture v1.0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Provides phase/component dependency order.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04 Technical Design v1.0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Provides module-level implementation tasks.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05 Agent Behaviour v1.0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Drives agent lifecycle and behavior tasks.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06 Tool &amp; Permission v1.0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Drives Tool Gateway, Policy and approval tasks.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07 Memory &amp; Context v1.0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Drives repository/context/memory tasks.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08 Error Recovery v1.0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Drives recovery, cancellation and failure tasks.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09 Testing &amp; Validation v1.0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Drives validation, completion and quality gates.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10 Security &amp; Sandbox v1.0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Drives security, scope, sandbox and adversarial tasks.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11 VS Code Integration v1.0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Drives client/protocol/UI tasks.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12 Project Plan &amp; Progress v1.0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Provides project governance and phase structure.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13 Research Synthesis v1.0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Drives research/benchmark/dependency adoption tasks.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14 Architecture Decision Matrix v1.0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Constrains backlog architecture decisions.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15 Master Architecture v1.0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Provides master component/dependency map.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16 Repository Blueprint v1.0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Defines physical locations for implementation.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17 Technology Decisions v1.0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Defines technology defaults and deferred evaluations.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18 Implementation Plan v1.0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Provides the phase sequence, gates and Definition of Done operationalized by this backlog.</w:t>
            </w:r>
          </w:p>
        </w:tc>
      </w:tr>
    </w:tbl>
    <w:p/>
    <w:p>
      <w:pPr>
        <w:pStyle w:val="Heading1"/>
      </w:pPr>
      <w:r>
        <w:t>36. Initial Implementation Start Set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vAlign w:val="center"/>
            <w:shd w:fill="D9EAF7"/>
          </w:tcPr>
          <w:p>
            <w:r/>
            <w:r>
              <w:rPr>
                <w:b/>
                <w:sz w:val="14"/>
              </w:rPr>
              <w:t>Order</w:t>
            </w:r>
          </w:p>
        </w:tc>
        <w:tc>
          <w:tcPr>
            <w:tcW w:type="dxa" w:w="3427"/>
            <w:vAlign w:val="center"/>
            <w:shd w:fill="D9EAF7"/>
          </w:tcPr>
          <w:p>
            <w:r/>
            <w:r>
              <w:rPr>
                <w:b/>
                <w:sz w:val="14"/>
              </w:rPr>
              <w:t>Start with</w:t>
            </w:r>
          </w:p>
        </w:tc>
        <w:tc>
          <w:tcPr>
            <w:tcW w:type="dxa" w:w="3427"/>
            <w:vAlign w:val="center"/>
            <w:shd w:fill="D9EAF7"/>
          </w:tcPr>
          <w:p>
            <w:r/>
            <w:r>
              <w:rPr>
                <w:b/>
                <w:sz w:val="14"/>
              </w:rPr>
              <w:t>Why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T001–T010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Make repository reproducible.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T011–T020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Create stable contracts/state.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T021–T030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Establish security boundary.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T031–T040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Establish one authorization path.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T041–T049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Enable safe side effects.</w:t>
            </w:r>
          </w:p>
        </w:tc>
      </w:tr>
    </w:tbl>
    <w:p/>
    <w:p>
      <w:r>
        <w:rPr>
          <w:b/>
        </w:rPr>
        <w:t xml:space="preserve">Do not jump directly to agent autonomy. </w:t>
      </w:r>
      <w:r>
        <w:t>P6 agent work becomes meaningful only after the control, execution and context foundations are working and tested.</w:t>
      </w:r>
    </w:p>
    <w:p>
      <w:pPr>
        <w:pStyle w:val="Heading1"/>
      </w:pPr>
      <w:r>
        <w:t>37. Final Backlog Snapshot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c>
          <w:tcPr>
            <w:tcW w:type="dxa" w:w="2570"/>
            <w:vAlign w:val="center"/>
            <w:shd w:fill="D9EAF7"/>
          </w:tcPr>
          <w:p>
            <w:r/>
            <w:r>
              <w:rPr>
                <w:b/>
                <w:sz w:val="14"/>
              </w:rPr>
              <w:t>Area</w:t>
            </w:r>
          </w:p>
        </w:tc>
        <w:tc>
          <w:tcPr>
            <w:tcW w:type="dxa" w:w="2570"/>
            <w:vAlign w:val="center"/>
            <w:shd w:fill="D9EAF7"/>
          </w:tcPr>
          <w:p>
            <w:r/>
            <w:r>
              <w:rPr>
                <w:b/>
                <w:sz w:val="14"/>
              </w:rPr>
              <w:t>Tasks</w:t>
            </w:r>
          </w:p>
        </w:tc>
        <w:tc>
          <w:tcPr>
            <w:tcW w:type="dxa" w:w="2570"/>
            <w:vAlign w:val="center"/>
            <w:shd w:fill="D9EAF7"/>
          </w:tcPr>
          <w:p>
            <w:r/>
            <w:r>
              <w:rPr>
                <w:b/>
                <w:sz w:val="14"/>
              </w:rPr>
              <w:t>Priority</w:t>
            </w:r>
          </w:p>
        </w:tc>
        <w:tc>
          <w:tcPr>
            <w:tcW w:type="dxa" w:w="2570"/>
            <w:vAlign w:val="center"/>
            <w:shd w:fill="D9EAF7"/>
          </w:tcPr>
          <w:p>
            <w:r/>
            <w:r>
              <w:rPr>
                <w:b/>
                <w:sz w:val="14"/>
              </w:rPr>
              <w:t>Gate</w:t>
            </w:r>
          </w:p>
        </w:tc>
      </w:tr>
      <w:tr>
        <w:tc>
          <w:tcPr>
            <w:tcW w:type="dxa" w:w="2570"/>
            <w:vAlign w:val="center"/>
          </w:tcPr>
          <w:p>
            <w:r/>
            <w:r>
              <w:rPr>
                <w:b w:val="0"/>
                <w:sz w:val="14"/>
              </w:rPr>
              <w:t>Foundation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b w:val="0"/>
                <w:sz w:val="14"/>
              </w:rPr>
              <w:t>T001–T010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b w:val="0"/>
                <w:sz w:val="14"/>
              </w:rPr>
              <w:t>P0/P1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b w:val="0"/>
                <w:sz w:val="14"/>
              </w:rPr>
              <w:t>G0</w:t>
            </w:r>
          </w:p>
        </w:tc>
      </w:tr>
      <w:tr>
        <w:tc>
          <w:tcPr>
            <w:tcW w:type="dxa" w:w="2570"/>
            <w:vAlign w:val="center"/>
          </w:tcPr>
          <w:p>
            <w:r/>
            <w:r>
              <w:rPr>
                <w:b w:val="0"/>
                <w:sz w:val="14"/>
              </w:rPr>
              <w:t>Contracts/State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b w:val="0"/>
                <w:sz w:val="14"/>
              </w:rPr>
              <w:t>T011–T020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b w:val="0"/>
                <w:sz w:val="14"/>
              </w:rPr>
              <w:t>P0/P1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b w:val="0"/>
                <w:sz w:val="14"/>
              </w:rPr>
              <w:t>G1</w:t>
            </w:r>
          </w:p>
        </w:tc>
      </w:tr>
      <w:tr>
        <w:tc>
          <w:tcPr>
            <w:tcW w:type="dxa" w:w="2570"/>
            <w:vAlign w:val="center"/>
          </w:tcPr>
          <w:p>
            <w:r/>
            <w:r>
              <w:rPr>
                <w:b w:val="0"/>
                <w:sz w:val="14"/>
              </w:rPr>
              <w:t>Security/Scope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b w:val="0"/>
                <w:sz w:val="14"/>
              </w:rPr>
              <w:t>T021–T030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b w:val="0"/>
                <w:sz w:val="14"/>
              </w:rPr>
              <w:t>P0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b w:val="0"/>
                <w:sz w:val="14"/>
              </w:rPr>
              <w:t>G2</w:t>
            </w:r>
          </w:p>
        </w:tc>
      </w:tr>
      <w:tr>
        <w:tc>
          <w:tcPr>
            <w:tcW w:type="dxa" w:w="2570"/>
            <w:vAlign w:val="center"/>
          </w:tcPr>
          <w:p>
            <w:r/>
            <w:r>
              <w:rPr>
                <w:b w:val="0"/>
                <w:sz w:val="14"/>
              </w:rPr>
              <w:t>Tools/Policy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b w:val="0"/>
                <w:sz w:val="14"/>
              </w:rPr>
              <w:t>T031–T040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b w:val="0"/>
                <w:sz w:val="14"/>
              </w:rPr>
              <w:t>P0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b w:val="0"/>
                <w:sz w:val="14"/>
              </w:rPr>
              <w:t>G3</w:t>
            </w:r>
          </w:p>
        </w:tc>
      </w:tr>
      <w:tr>
        <w:tc>
          <w:tcPr>
            <w:tcW w:type="dxa" w:w="2570"/>
            <w:vAlign w:val="center"/>
          </w:tcPr>
          <w:p>
            <w:r/>
            <w:r>
              <w:rPr>
                <w:b w:val="0"/>
                <w:sz w:val="14"/>
              </w:rPr>
              <w:t>Execution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b w:val="0"/>
                <w:sz w:val="14"/>
              </w:rPr>
              <w:t>T041–T049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b w:val="0"/>
                <w:sz w:val="14"/>
              </w:rPr>
              <w:t>P0/P1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b w:val="0"/>
                <w:sz w:val="14"/>
              </w:rPr>
              <w:t>G4</w:t>
            </w:r>
          </w:p>
        </w:tc>
      </w:tr>
      <w:tr>
        <w:tc>
          <w:tcPr>
            <w:tcW w:type="dxa" w:w="2570"/>
            <w:vAlign w:val="center"/>
          </w:tcPr>
          <w:p>
            <w:r/>
            <w:r>
              <w:rPr>
                <w:b w:val="0"/>
                <w:sz w:val="14"/>
              </w:rPr>
              <w:t>Repository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b w:val="0"/>
                <w:sz w:val="14"/>
              </w:rPr>
              <w:t>T050–T055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b w:val="0"/>
                <w:sz w:val="14"/>
              </w:rPr>
              <w:t>P1/P2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b w:val="0"/>
                <w:sz w:val="14"/>
              </w:rPr>
              <w:t>G5</w:t>
            </w:r>
          </w:p>
        </w:tc>
      </w:tr>
      <w:tr>
        <w:tc>
          <w:tcPr>
            <w:tcW w:type="dxa" w:w="2570"/>
            <w:vAlign w:val="center"/>
          </w:tcPr>
          <w:p>
            <w:r/>
            <w:r>
              <w:rPr>
                <w:b w:val="0"/>
                <w:sz w:val="14"/>
              </w:rPr>
              <w:t>Context/Memory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b w:val="0"/>
                <w:sz w:val="14"/>
              </w:rPr>
              <w:t>T056–T065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b w:val="0"/>
                <w:sz w:val="14"/>
              </w:rPr>
              <w:t>P0/P1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b w:val="0"/>
                <w:sz w:val="14"/>
              </w:rPr>
              <w:t>G5</w:t>
            </w:r>
          </w:p>
        </w:tc>
      </w:tr>
      <w:tr>
        <w:tc>
          <w:tcPr>
            <w:tcW w:type="dxa" w:w="2570"/>
            <w:vAlign w:val="center"/>
          </w:tcPr>
          <w:p>
            <w:r/>
            <w:r>
              <w:rPr>
                <w:b w:val="0"/>
                <w:sz w:val="14"/>
              </w:rPr>
              <w:t>Agent/Model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b w:val="0"/>
                <w:sz w:val="14"/>
              </w:rPr>
              <w:t>T066–T075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b w:val="0"/>
                <w:sz w:val="14"/>
              </w:rPr>
              <w:t>P0/P1/P2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b w:val="0"/>
                <w:sz w:val="14"/>
              </w:rPr>
              <w:t>G6</w:t>
            </w:r>
          </w:p>
        </w:tc>
      </w:tr>
      <w:tr>
        <w:tc>
          <w:tcPr>
            <w:tcW w:type="dxa" w:w="2570"/>
            <w:vAlign w:val="center"/>
          </w:tcPr>
          <w:p>
            <w:r/>
            <w:r>
              <w:rPr>
                <w:b w:val="0"/>
                <w:sz w:val="14"/>
              </w:rPr>
              <w:t>Validation/Recovery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b w:val="0"/>
                <w:sz w:val="14"/>
              </w:rPr>
              <w:t>T076–T086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b w:val="0"/>
                <w:sz w:val="14"/>
              </w:rPr>
              <w:t>P0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b w:val="0"/>
                <w:sz w:val="14"/>
              </w:rPr>
              <w:t>G7</w:t>
            </w:r>
          </w:p>
        </w:tc>
      </w:tr>
      <w:tr>
        <w:tc>
          <w:tcPr>
            <w:tcW w:type="dxa" w:w="2570"/>
            <w:vAlign w:val="center"/>
          </w:tcPr>
          <w:p>
            <w:r/>
            <w:r>
              <w:rPr>
                <w:b w:val="0"/>
                <w:sz w:val="14"/>
              </w:rPr>
              <w:t>Evidence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b w:val="0"/>
                <w:sz w:val="14"/>
              </w:rPr>
              <w:t>T087–T094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b w:val="0"/>
                <w:sz w:val="14"/>
              </w:rPr>
              <w:t>P0/P1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b w:val="0"/>
                <w:sz w:val="14"/>
              </w:rPr>
              <w:t>G8</w:t>
            </w:r>
          </w:p>
        </w:tc>
      </w:tr>
      <w:tr>
        <w:tc>
          <w:tcPr>
            <w:tcW w:type="dxa" w:w="2570"/>
            <w:vAlign w:val="center"/>
          </w:tcPr>
          <w:p>
            <w:r/>
            <w:r>
              <w:rPr>
                <w:b w:val="0"/>
                <w:sz w:val="14"/>
              </w:rPr>
              <w:t>Clients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b w:val="0"/>
                <w:sz w:val="14"/>
              </w:rPr>
              <w:t>T095–T104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b w:val="0"/>
                <w:sz w:val="14"/>
              </w:rPr>
              <w:t>P0/P1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b w:val="0"/>
                <w:sz w:val="14"/>
              </w:rPr>
              <w:t>G9</w:t>
            </w:r>
          </w:p>
        </w:tc>
      </w:tr>
      <w:tr>
        <w:tc>
          <w:tcPr>
            <w:tcW w:type="dxa" w:w="2570"/>
            <w:vAlign w:val="center"/>
          </w:tcPr>
          <w:p>
            <w:r/>
            <w:r>
              <w:rPr>
                <w:b w:val="0"/>
                <w:sz w:val="14"/>
              </w:rPr>
              <w:t>Hardening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b w:val="0"/>
                <w:sz w:val="14"/>
              </w:rPr>
              <w:t>T105–T114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b w:val="0"/>
                <w:sz w:val="14"/>
              </w:rPr>
              <w:t>P0/P1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b w:val="0"/>
                <w:sz w:val="14"/>
              </w:rPr>
              <w:t>G10</w:t>
            </w:r>
          </w:p>
        </w:tc>
      </w:tr>
      <w:tr>
        <w:tc>
          <w:tcPr>
            <w:tcW w:type="dxa" w:w="2570"/>
            <w:vAlign w:val="center"/>
          </w:tcPr>
          <w:p>
            <w:r/>
            <w:r>
              <w:rPr>
                <w:b w:val="0"/>
                <w:sz w:val="14"/>
              </w:rPr>
              <w:t>Release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b w:val="0"/>
                <w:sz w:val="14"/>
              </w:rPr>
              <w:t>T115–T120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b w:val="0"/>
                <w:sz w:val="14"/>
              </w:rPr>
              <w:t>P0/P1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b w:val="0"/>
                <w:sz w:val="14"/>
              </w:rPr>
              <w:t>G11</w:t>
            </w:r>
          </w:p>
        </w:tc>
      </w:tr>
      <w:tr>
        <w:tc>
          <w:tcPr>
            <w:tcW w:type="dxa" w:w="2570"/>
            <w:vAlign w:val="center"/>
          </w:tcPr>
          <w:p>
            <w:r/>
            <w:r>
              <w:rPr>
                <w:b w:val="0"/>
                <w:sz w:val="14"/>
              </w:rPr>
              <w:t>Deferred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b w:val="0"/>
                <w:sz w:val="14"/>
              </w:rPr>
              <w:t>T121–T127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b w:val="0"/>
                <w:sz w:val="14"/>
              </w:rPr>
              <w:t>P1/P2/P3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b w:val="0"/>
                <w:sz w:val="14"/>
              </w:rPr>
              <w:t>As triggered</w:t>
            </w:r>
          </w:p>
        </w:tc>
      </w:tr>
    </w:tbl>
    <w:p/>
    <w:p>
      <w:pPr>
        <w:pStyle w:val="Heading1"/>
      </w:pPr>
      <w:r>
        <w:t>38. Final Status</w:t>
      </w:r>
    </w:p>
    <w:p>
      <w:r>
        <w:rPr>
          <w:b/>
        </w:rPr>
        <w:t>STATUS: FINAL / LOCKED — v1.0</w:t>
      </w:r>
    </w:p>
    <w:p>
      <w:r>
        <w:t>Task Backlog v1.0 is the canonical implementation work-item baseline for the AI Software Co-Agent. It translates the locked specification, architecture, repository, technology and implementation-plan baselines into ordered epics/tasks, dependencies, gates, acceptance criteria, security rules, progress reporting, evidence requirements and release-blocking work.</w:t>
      </w:r>
    </w:p>
    <w:p>
      <w:pPr>
        <w:jc w:val="center"/>
      </w:pPr>
      <w:r>
        <w:rPr>
          <w:b/>
        </w:rPr>
        <w:t>— END OF TASK BACKLOG v1.0 —</w:t>
      </w:r>
    </w:p>
    <w:sectPr w:rsidR="00FC693F" w:rsidRPr="0006063C" w:rsidSect="00034616">
      <w:footerReference w:type="default" r:id="rId9"/>
      <w:pgSz w:w="12240" w:h="15840"/>
      <w:pgMar w:top="893" w:right="979" w:bottom="893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AI Software Co-Agent • Task Backlog v1.0 • FINAL / LOCKED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