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SOFTWARE CO-AGENT</w:t>
      </w:r>
    </w:p>
    <w:p>
      <w:pPr>
        <w:jc w:val="center"/>
      </w:pPr>
      <w:r>
        <w:rPr>
          <w:b/>
          <w:sz w:val="40"/>
        </w:rPr>
        <w:t>RESEARCH SYNTHESIS</w:t>
      </w:r>
    </w:p>
    <w:p>
      <w:pPr>
        <w:jc w:val="center"/>
      </w:pPr>
      <w:r>
        <w:rPr>
          <w:b/>
          <w:sz w:val="27"/>
        </w:rPr>
        <w:t>Version 1.0 — FINAL / LOCKED</w:t>
      </w:r>
    </w:p>
    <w:p>
      <w:pPr>
        <w:jc w:val="center"/>
      </w:pPr>
      <w:r>
        <w:rPr>
          <w:i/>
        </w:rPr>
        <w:t>Document ID: RS-001 • Research-to-Architecture Synthesis for the AI Software Co-Agent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5"/>
              </w:rPr>
              <w:t>Field</w:t>
            </w:r>
          </w:p>
        </w:tc>
        <w:tc>
          <w:tcPr>
            <w:tcW w:type="dxa" w:w="5083"/>
            <w:vAlign w:val="center"/>
            <w:shd w:fill="D9EAF7"/>
          </w:tcPr>
          <w:p>
            <w:r/>
            <w:r>
              <w:rPr>
                <w:b/>
                <w:sz w:val="15"/>
              </w:rPr>
              <w:t>Value</w:t>
            </w:r>
          </w:p>
        </w:tc>
      </w:tr>
      <w:tr>
        <w:tc>
          <w:tcPr>
            <w:tcW w:type="dxa" w:w="5083"/>
            <w:vAlign w:val="center"/>
          </w:tcPr>
          <w:p>
            <w:r/>
            <w:r>
              <w:rPr>
                <w:b w:val="0"/>
                <w:sz w:val="15"/>
              </w:rPr>
              <w:t>Document</w:t>
            </w:r>
          </w:p>
        </w:tc>
        <w:tc>
          <w:tcPr>
            <w:tcW w:type="dxa" w:w="5083"/>
            <w:vAlign w:val="center"/>
          </w:tcPr>
          <w:p>
            <w:r/>
            <w:r>
              <w:rPr>
                <w:b w:val="0"/>
                <w:sz w:val="15"/>
              </w:rPr>
              <w:t>Research Synthesis</w:t>
            </w:r>
          </w:p>
        </w:tc>
      </w:tr>
      <w:tr>
        <w:tc>
          <w:tcPr>
            <w:tcW w:type="dxa" w:w="5083"/>
            <w:vAlign w:val="center"/>
          </w:tcPr>
          <w:p>
            <w:r/>
            <w:r>
              <w:rPr>
                <w:b w:val="0"/>
                <w:sz w:val="15"/>
              </w:rPr>
              <w:t>Version</w:t>
            </w:r>
          </w:p>
        </w:tc>
        <w:tc>
          <w:tcPr>
            <w:tcW w:type="dxa" w:w="5083"/>
            <w:vAlign w:val="center"/>
          </w:tcPr>
          <w:p>
            <w:r/>
            <w:r>
              <w:rPr>
                <w:b w:val="0"/>
                <w:sz w:val="15"/>
              </w:rPr>
              <w:t>v1.0</w:t>
            </w:r>
          </w:p>
        </w:tc>
      </w:tr>
      <w:tr>
        <w:tc>
          <w:tcPr>
            <w:tcW w:type="dxa" w:w="5083"/>
            <w:vAlign w:val="center"/>
          </w:tcPr>
          <w:p>
            <w:r/>
            <w:r>
              <w:rPr>
                <w:b w:val="0"/>
                <w:sz w:val="15"/>
              </w:rPr>
              <w:t>Status</w:t>
            </w:r>
          </w:p>
        </w:tc>
        <w:tc>
          <w:tcPr>
            <w:tcW w:type="dxa" w:w="5083"/>
            <w:vAlign w:val="center"/>
          </w:tcPr>
          <w:p>
            <w:r/>
            <w:r>
              <w:rPr>
                <w:b w:val="0"/>
                <w:sz w:val="15"/>
              </w:rPr>
              <w:t>FINAL / LOCKED</w:t>
            </w:r>
          </w:p>
        </w:tc>
      </w:tr>
      <w:tr>
        <w:tc>
          <w:tcPr>
            <w:tcW w:type="dxa" w:w="5083"/>
            <w:vAlign w:val="center"/>
          </w:tcPr>
          <w:p>
            <w:r/>
            <w:r>
              <w:rPr>
                <w:b w:val="0"/>
                <w:sz w:val="15"/>
              </w:rPr>
              <w:t>Purpose</w:t>
            </w:r>
          </w:p>
        </w:tc>
        <w:tc>
          <w:tcPr>
            <w:tcW w:type="dxa" w:w="5083"/>
            <w:vAlign w:val="center"/>
          </w:tcPr>
          <w:p>
            <w:r/>
            <w:r>
              <w:rPr>
                <w:b w:val="0"/>
                <w:sz w:val="15"/>
              </w:rPr>
              <w:t>Synthesize lessons from researched open-source agent/code-agent repositories into implementation decisions for our Co-Agent without copying their architecture blindly.</w:t>
            </w:r>
          </w:p>
        </w:tc>
      </w:tr>
      <w:tr>
        <w:tc>
          <w:tcPr>
            <w:tcW w:type="dxa" w:w="5083"/>
            <w:vAlign w:val="center"/>
          </w:tcPr>
          <w:p>
            <w:r/>
            <w:r>
              <w:rPr>
                <w:b w:val="0"/>
                <w:sz w:val="15"/>
              </w:rPr>
              <w:t>Research basis</w:t>
            </w:r>
          </w:p>
        </w:tc>
        <w:tc>
          <w:tcPr>
            <w:tcW w:type="dxa" w:w="5083"/>
            <w:vAlign w:val="center"/>
          </w:tcPr>
          <w:p>
            <w:r/>
            <w:r>
              <w:rPr>
                <w:b w:val="0"/>
                <w:sz w:val="15"/>
              </w:rPr>
              <w:t>Prior project deep-research set + current verification of public repository sources</w:t>
            </w:r>
          </w:p>
        </w:tc>
      </w:tr>
      <w:tr>
        <w:tc>
          <w:tcPr>
            <w:tcW w:type="dxa" w:w="5083"/>
            <w:vAlign w:val="center"/>
          </w:tcPr>
          <w:p>
            <w:r/>
            <w:r>
              <w:rPr>
                <w:b w:val="0"/>
                <w:sz w:val="15"/>
              </w:rPr>
              <w:t>Decision role</w:t>
            </w:r>
          </w:p>
        </w:tc>
        <w:tc>
          <w:tcPr>
            <w:tcW w:type="dxa" w:w="5083"/>
            <w:vAlign w:val="center"/>
          </w:tcPr>
          <w:p>
            <w:r/>
            <w:r>
              <w:rPr>
                <w:b w:val="0"/>
                <w:sz w:val="15"/>
              </w:rPr>
              <w:t>Advisory to locked product/architecture specifications; adopted decisions become implementation constraints only when explicitly mapped.</w:t>
            </w:r>
          </w:p>
        </w:tc>
      </w:tr>
    </w:tbl>
    <w:p/>
    <w:p>
      <w:r>
        <w:rPr>
          <w:b/>
        </w:rPr>
        <w:t xml:space="preserve">Lock Statement: </w:t>
      </w:r>
      <w:r>
        <w:t>Research Synthesis v1.0 is the final locked synthesis of reusable patterns and lessons identified from the researched repositories. It does not replace the locked PRD/SRS/Architecture/Technical/Security documents. External repositories remain references, not authorities.</w:t>
      </w:r>
    </w:p>
    <w:p>
      <w:r>
        <w:br w:type="page"/>
      </w:r>
    </w:p>
    <w:p>
      <w:pPr>
        <w:pStyle w:val="Heading1"/>
      </w:pPr>
      <w:r>
        <w:t>1. Research Objective</w:t>
      </w:r>
    </w:p>
    <w:p>
      <w:r>
        <w:t>The research program examined mature open-source agent and coding-agent systems to identify patterns that can accelerate our implementation while avoiding known architectural traps. The goal is not to reproduce any one repository, but to extract reusable design ideas, compare them against our locked requirements, and decide what should be adopted, adapted, wrapped or rejected.</w:t>
      </w:r>
    </w:p>
    <w:p>
      <w:r>
        <w:rPr>
          <w:b/>
        </w:rPr>
        <w:t xml:space="preserve">Research principle: </w:t>
      </w:r>
      <w:r>
        <w:t>Borrow patterns, not authority.</w:t>
      </w:r>
    </w:p>
    <w:p>
      <w:pPr>
        <w:pStyle w:val="Heading1"/>
      </w:pPr>
      <w:r>
        <w:t>2. Research Sources &amp; Evidence Boundary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Repository / system</w:t>
            </w:r>
          </w:p>
        </w:tc>
        <w:tc>
          <w:tcPr>
            <w:tcW w:type="dxa" w:w="3389"/>
            <w:vAlign w:val="center"/>
            <w:shd w:fill="D9EAF7"/>
          </w:tcPr>
          <w:p>
            <w:r/>
            <w:r>
              <w:rPr>
                <w:b/>
                <w:sz w:val="15"/>
              </w:rPr>
              <w:t>Research role</w:t>
            </w:r>
          </w:p>
        </w:tc>
        <w:tc>
          <w:tcPr>
            <w:tcW w:type="dxa" w:w="3389"/>
            <w:vAlign w:val="center"/>
            <w:shd w:fill="D9EAF7"/>
          </w:tcPr>
          <w:p>
            <w:r/>
            <w:r>
              <w:rPr>
                <w:b/>
                <w:sz w:val="15"/>
              </w:rPr>
              <w:t>Verified public evidence</w:t>
            </w:r>
          </w:p>
        </w:tc>
      </w:tr>
      <w:tr>
        <w:tc>
          <w:tcPr>
            <w:tcW w:type="dxa" w:w="3389"/>
            <w:vAlign w:val="center"/>
          </w:tcPr>
          <w:p>
            <w:r/>
            <w:r>
              <w:rPr>
                <w:b w:val="0"/>
                <w:sz w:val="15"/>
              </w:rPr>
              <w:t>Roo Code</w:t>
            </w:r>
          </w:p>
        </w:tc>
        <w:tc>
          <w:tcPr>
            <w:tcW w:type="dxa" w:w="3389"/>
            <w:vAlign w:val="center"/>
          </w:tcPr>
          <w:p>
            <w:r/>
            <w:r>
              <w:rPr>
                <w:b w:val="0"/>
                <w:sz w:val="15"/>
              </w:rPr>
              <w:t>IDE-native autonomous coding agent patterns</w:t>
            </w:r>
          </w:p>
        </w:tc>
        <w:tc>
          <w:tcPr>
            <w:tcW w:type="dxa" w:w="3389"/>
            <w:vAlign w:val="center"/>
          </w:tcPr>
          <w:p>
            <w:r/>
            <w:r>
              <w:rPr>
                <w:b w:val="0"/>
                <w:sz w:val="15"/>
              </w:rPr>
              <w:t>Official GitHub describes file read/write, terminal commands, browser actions, model/API integration and Custom Modes. citeturn0search3</w:t>
            </w:r>
          </w:p>
        </w:tc>
      </w:tr>
      <w:tr>
        <w:tc>
          <w:tcPr>
            <w:tcW w:type="dxa" w:w="3389"/>
            <w:vAlign w:val="center"/>
          </w:tcPr>
          <w:p>
            <w:r/>
            <w:r>
              <w:rPr>
                <w:b w:val="0"/>
                <w:sz w:val="15"/>
              </w:rPr>
              <w:t>Agent-MCP</w:t>
            </w:r>
          </w:p>
        </w:tc>
        <w:tc>
          <w:tcPr>
            <w:tcW w:type="dxa" w:w="3389"/>
            <w:vAlign w:val="center"/>
          </w:tcPr>
          <w:p>
            <w:r/>
            <w:r>
              <w:rPr>
                <w:b w:val="0"/>
                <w:sz w:val="15"/>
              </w:rPr>
              <w:t>MCP-oriented multi-agent/task decomposition patterns</w:t>
            </w:r>
          </w:p>
        </w:tc>
        <w:tc>
          <w:tcPr>
            <w:tcW w:type="dxa" w:w="3389"/>
            <w:vAlign w:val="center"/>
          </w:tcPr>
          <w:p>
            <w:r/>
            <w:r>
              <w:rPr>
                <w:b w:val="0"/>
                <w:sz w:val="15"/>
              </w:rPr>
              <w:t>Public repository documentation describes a multi-agent framework using MCP and linear task steps; current public mirror points to the rinadelph source. citeturn0search19</w:t>
            </w:r>
          </w:p>
        </w:tc>
      </w:tr>
      <w:tr>
        <w:tc>
          <w:tcPr>
            <w:tcW w:type="dxa" w:w="3389"/>
            <w:vAlign w:val="center"/>
          </w:tcPr>
          <w:p>
            <w:r/>
            <w:r>
              <w:rPr>
                <w:b w:val="0"/>
                <w:sz w:val="15"/>
              </w:rPr>
              <w:t>MetaGPT</w:t>
            </w:r>
          </w:p>
        </w:tc>
        <w:tc>
          <w:tcPr>
            <w:tcW w:type="dxa" w:w="3389"/>
            <w:vAlign w:val="center"/>
          </w:tcPr>
          <w:p>
            <w:r/>
            <w:r>
              <w:rPr>
                <w:b w:val="0"/>
                <w:sz w:val="15"/>
              </w:rPr>
              <w:t>Multi-agent software-engineering workflow patterns</w:t>
            </w:r>
          </w:p>
        </w:tc>
        <w:tc>
          <w:tcPr>
            <w:tcW w:type="dxa" w:w="3389"/>
            <w:vAlign w:val="center"/>
          </w:tcPr>
          <w:p>
            <w:r/>
            <w:r>
              <w:rPr>
                <w:b w:val="0"/>
                <w:sz w:val="15"/>
              </w:rPr>
              <w:t>Prior project research basis; this synthesis treats it as a workflow/orchestration reference, not an authority.</w:t>
            </w:r>
          </w:p>
        </w:tc>
      </w:tr>
      <w:tr>
        <w:tc>
          <w:tcPr>
            <w:tcW w:type="dxa" w:w="3389"/>
            <w:vAlign w:val="center"/>
          </w:tcPr>
          <w:p>
            <w:r/>
            <w:r>
              <w:rPr>
                <w:b w:val="0"/>
                <w:sz w:val="15"/>
              </w:rPr>
              <w:t>SWE-agent</w:t>
            </w:r>
          </w:p>
        </w:tc>
        <w:tc>
          <w:tcPr>
            <w:tcW w:type="dxa" w:w="3389"/>
            <w:vAlign w:val="center"/>
          </w:tcPr>
          <w:p>
            <w:r/>
            <w:r>
              <w:rPr>
                <w:b w:val="0"/>
                <w:sz w:val="15"/>
              </w:rPr>
              <w:t>Issue-to-code agent workflow and software-engineering evaluation patterns</w:t>
            </w:r>
          </w:p>
        </w:tc>
        <w:tc>
          <w:tcPr>
            <w:tcW w:type="dxa" w:w="3389"/>
            <w:vAlign w:val="center"/>
          </w:tcPr>
          <w:p>
            <w:r/>
            <w:r>
              <w:rPr>
                <w:b w:val="0"/>
                <w:sz w:val="15"/>
              </w:rPr>
              <w:t>Prior project research basis; use is limited to reusable workflow/evaluation ideas unless separately re-verified.</w:t>
            </w:r>
          </w:p>
        </w:tc>
      </w:tr>
      <w:tr>
        <w:tc>
          <w:tcPr>
            <w:tcW w:type="dxa" w:w="3389"/>
            <w:vAlign w:val="center"/>
          </w:tcPr>
          <w:p>
            <w:r/>
            <w:r>
              <w:rPr>
                <w:b w:val="0"/>
                <w:sz w:val="15"/>
              </w:rPr>
              <w:t>Aider</w:t>
            </w:r>
          </w:p>
        </w:tc>
        <w:tc>
          <w:tcPr>
            <w:tcW w:type="dxa" w:w="3389"/>
            <w:vAlign w:val="center"/>
          </w:tcPr>
          <w:p>
            <w:r/>
            <w:r>
              <w:rPr>
                <w:b w:val="0"/>
                <w:sz w:val="15"/>
              </w:rPr>
              <w:t>Terminal-first coding-agent and repository-editing patterns</w:t>
            </w:r>
          </w:p>
        </w:tc>
        <w:tc>
          <w:tcPr>
            <w:tcW w:type="dxa" w:w="3389"/>
            <w:vAlign w:val="center"/>
          </w:tcPr>
          <w:p>
            <w:r/>
            <w:r>
              <w:rPr>
                <w:b w:val="0"/>
                <w:sz w:val="15"/>
              </w:rPr>
              <w:t>Prior project research basis; use is limited to interaction/edit/test workflow patterns unless separately re-verified.</w:t>
            </w:r>
          </w:p>
        </w:tc>
      </w:tr>
      <w:tr>
        <w:tc>
          <w:tcPr>
            <w:tcW w:type="dxa" w:w="3389"/>
            <w:vAlign w:val="center"/>
          </w:tcPr>
          <w:p>
            <w:r/>
            <w:r>
              <w:rPr>
                <w:b w:val="0"/>
                <w:sz w:val="15"/>
              </w:rPr>
              <w:t>Continue</w:t>
            </w:r>
          </w:p>
        </w:tc>
        <w:tc>
          <w:tcPr>
            <w:tcW w:type="dxa" w:w="3389"/>
            <w:vAlign w:val="center"/>
          </w:tcPr>
          <w:p>
            <w:r/>
            <w:r>
              <w:rPr>
                <w:b w:val="0"/>
                <w:sz w:val="15"/>
              </w:rPr>
              <w:t>IDE/CLI/custom-agent/context configuration patterns</w:t>
            </w:r>
          </w:p>
        </w:tc>
        <w:tc>
          <w:tcPr>
            <w:tcW w:type="dxa" w:w="3389"/>
            <w:vAlign w:val="center"/>
          </w:tcPr>
          <w:p>
            <w:r/>
            <w:r>
              <w:rPr>
                <w:b w:val="0"/>
                <w:sz w:val="15"/>
              </w:rPr>
              <w:t>Official Continue docs/repo describe VS Code/JetBrains extensions, CLI, agent/chat/edit/autocomplete and configurable agents; its config can define models, rules, context providers and MCP tools. citeturn0search6turn0search12</w:t>
            </w:r>
          </w:p>
        </w:tc>
      </w:tr>
      <w:tr>
        <w:tc>
          <w:tcPr>
            <w:tcW w:type="dxa" w:w="3389"/>
            <w:vAlign w:val="center"/>
          </w:tcPr>
          <w:p>
            <w:r/>
            <w:r>
              <w:rPr>
                <w:b w:val="0"/>
                <w:sz w:val="15"/>
              </w:rPr>
              <w:t>OpenHands</w:t>
            </w:r>
          </w:p>
        </w:tc>
        <w:tc>
          <w:tcPr>
            <w:tcW w:type="dxa" w:w="3389"/>
            <w:vAlign w:val="center"/>
          </w:tcPr>
          <w:p>
            <w:r/>
            <w:r>
              <w:rPr>
                <w:b w:val="0"/>
                <w:sz w:val="15"/>
              </w:rPr>
              <w:t>Sandboxed software-development agent/runtime patterns</w:t>
            </w:r>
          </w:p>
        </w:tc>
        <w:tc>
          <w:tcPr>
            <w:tcW w:type="dxa" w:w="3389"/>
            <w:vAlign w:val="center"/>
          </w:tcPr>
          <w:p>
            <w:r/>
            <w:r>
              <w:rPr>
                <w:b w:val="0"/>
                <w:sz w:val="15"/>
              </w:rPr>
              <w:t>Public documentation/repository material describes an AI software-development agent capable of code modification, command execution and web/API actions, with Docker-based runtime deployment. citeturn0search14</w:t>
            </w:r>
          </w:p>
        </w:tc>
      </w:tr>
      <w:tr>
        <w:tc>
          <w:tcPr>
            <w:tcW w:type="dxa" w:w="3389"/>
            <w:vAlign w:val="center"/>
          </w:tcPr>
          <w:p>
            <w:r/>
            <w:r>
              <w:rPr>
                <w:b w:val="0"/>
                <w:sz w:val="15"/>
              </w:rPr>
              <w:t>AutoGen</w:t>
            </w:r>
          </w:p>
        </w:tc>
        <w:tc>
          <w:tcPr>
            <w:tcW w:type="dxa" w:w="3389"/>
            <w:vAlign w:val="center"/>
          </w:tcPr>
          <w:p>
            <w:r/>
            <w:r>
              <w:rPr>
                <w:b w:val="0"/>
                <w:sz w:val="15"/>
              </w:rPr>
              <w:t>Multi-agent runtime/message-passing patterns</w:t>
            </w:r>
          </w:p>
        </w:tc>
        <w:tc>
          <w:tcPr>
            <w:tcW w:type="dxa" w:w="3389"/>
            <w:vAlign w:val="center"/>
          </w:tcPr>
          <w:p>
            <w:r/>
            <w:r>
              <w:rPr>
                <w:b w:val="0"/>
                <w:sz w:val="15"/>
              </w:rPr>
              <w:t>Public AutoGen documentation describes agent applications, layered APIs, message/event-oriented runtime and extensions; current ecosystem status should be checked before direct dependency adoption. citeturn0search8turn0search11</w:t>
            </w:r>
          </w:p>
        </w:tc>
      </w:tr>
      <w:tr>
        <w:tc>
          <w:tcPr>
            <w:tcW w:type="dxa" w:w="3389"/>
            <w:vAlign w:val="center"/>
          </w:tcPr>
          <w:p>
            <w:r/>
            <w:r>
              <w:rPr>
                <w:b w:val="0"/>
                <w:sz w:val="15"/>
              </w:rPr>
              <w:t>Cline</w:t>
            </w:r>
          </w:p>
        </w:tc>
        <w:tc>
          <w:tcPr>
            <w:tcW w:type="dxa" w:w="3389"/>
            <w:vAlign w:val="center"/>
          </w:tcPr>
          <w:p>
            <w:r/>
            <w:r>
              <w:rPr>
                <w:b w:val="0"/>
                <w:sz w:val="15"/>
              </w:rPr>
              <w:t>IDE-native coding-agent interaction patterns</w:t>
            </w:r>
          </w:p>
        </w:tc>
        <w:tc>
          <w:tcPr>
            <w:tcW w:type="dxa" w:w="3389"/>
            <w:vAlign w:val="center"/>
          </w:tcPr>
          <w:p>
            <w:r/>
            <w:r>
              <w:rPr>
                <w:b w:val="0"/>
                <w:sz w:val="15"/>
              </w:rPr>
              <w:t>Prior project research basis; use is limited to interaction/tool/approval ideas unless separately re-verified.</w:t>
            </w:r>
          </w:p>
        </w:tc>
      </w:tr>
      <w:tr>
        <w:tc>
          <w:tcPr>
            <w:tcW w:type="dxa" w:w="3389"/>
            <w:vAlign w:val="center"/>
          </w:tcPr>
          <w:p>
            <w:r/>
            <w:r>
              <w:rPr>
                <w:b w:val="0"/>
                <w:sz w:val="15"/>
              </w:rPr>
              <w:t>LangGraph</w:t>
            </w:r>
          </w:p>
        </w:tc>
        <w:tc>
          <w:tcPr>
            <w:tcW w:type="dxa" w:w="3389"/>
            <w:vAlign w:val="center"/>
          </w:tcPr>
          <w:p>
            <w:r/>
            <w:r>
              <w:rPr>
                <w:b w:val="0"/>
                <w:sz w:val="15"/>
              </w:rPr>
              <w:t>Graph/state-machine orchestration patterns</w:t>
            </w:r>
          </w:p>
        </w:tc>
        <w:tc>
          <w:tcPr>
            <w:tcW w:type="dxa" w:w="3389"/>
            <w:vAlign w:val="center"/>
          </w:tcPr>
          <w:p>
            <w:r/>
            <w:r>
              <w:rPr>
                <w:b w:val="0"/>
                <w:sz w:val="15"/>
              </w:rPr>
              <w:t>Prior project research basis; use is limited to orchestration/state concepts unless separately re-verified.</w:t>
            </w:r>
          </w:p>
        </w:tc>
      </w:tr>
    </w:tbl>
    <w:p/>
    <w:p>
      <w:r>
        <w:t>Evidence boundary: where the earlier deep-research notes are not present in this document context, this synthesis does not invent repository-specific claims. Current web verification is used only to confirm high-level public positioning/features; detailed implementation conclusions remain architectural synthesis.</w:t>
      </w:r>
    </w:p>
    <w:p>
      <w:pPr>
        <w:pStyle w:val="Heading1"/>
      </w:pPr>
      <w:r>
        <w:t>3. Cross-Repository Pattern 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Pattern</w:t>
            </w:r>
          </w:p>
        </w:tc>
        <w:tc>
          <w:tcPr>
            <w:tcW w:type="dxa" w:w="3389"/>
            <w:vAlign w:val="center"/>
            <w:shd w:fill="D9EAF7"/>
          </w:tcPr>
          <w:p>
            <w:r/>
            <w:r>
              <w:rPr>
                <w:b/>
                <w:sz w:val="15"/>
              </w:rPr>
              <w:t>Observed across research</w:t>
            </w:r>
          </w:p>
        </w:tc>
        <w:tc>
          <w:tcPr>
            <w:tcW w:type="dxa" w:w="3389"/>
            <w:vAlign w:val="center"/>
            <w:shd w:fill="D9EAF7"/>
          </w:tcPr>
          <w:p>
            <w:r/>
            <w:r>
              <w:rPr>
                <w:b/>
                <w:sz w:val="15"/>
              </w:rPr>
              <w:t>Our decision</w:t>
            </w:r>
          </w:p>
        </w:tc>
      </w:tr>
      <w:tr>
        <w:tc>
          <w:tcPr>
            <w:tcW w:type="dxa" w:w="3389"/>
            <w:vAlign w:val="center"/>
          </w:tcPr>
          <w:p>
            <w:r/>
            <w:r>
              <w:rPr>
                <w:b w:val="0"/>
                <w:sz w:val="15"/>
              </w:rPr>
              <w:t>IDE-native agent</w:t>
            </w:r>
          </w:p>
        </w:tc>
        <w:tc>
          <w:tcPr>
            <w:tcW w:type="dxa" w:w="3389"/>
            <w:vAlign w:val="center"/>
          </w:tcPr>
          <w:p>
            <w:r/>
            <w:r>
              <w:rPr>
                <w:b w:val="0"/>
                <w:sz w:val="15"/>
              </w:rPr>
              <w:t>Roo Code, Continue and other coding agents</w:t>
            </w:r>
          </w:p>
        </w:tc>
        <w:tc>
          <w:tcPr>
            <w:tcW w:type="dxa" w:w="3389"/>
            <w:vAlign w:val="center"/>
          </w:tcPr>
          <w:p>
            <w:r/>
            <w:r>
              <w:rPr>
                <w:b w:val="0"/>
                <w:sz w:val="15"/>
              </w:rPr>
              <w:t>ADOPT concept; implement behind our runtime boundary.</w:t>
            </w:r>
          </w:p>
        </w:tc>
      </w:tr>
      <w:tr>
        <w:tc>
          <w:tcPr>
            <w:tcW w:type="dxa" w:w="3389"/>
            <w:vAlign w:val="center"/>
          </w:tcPr>
          <w:p>
            <w:r/>
            <w:r>
              <w:rPr>
                <w:b w:val="0"/>
                <w:sz w:val="15"/>
              </w:rPr>
              <w:t>CLI/headless execution</w:t>
            </w:r>
          </w:p>
        </w:tc>
        <w:tc>
          <w:tcPr>
            <w:tcW w:type="dxa" w:w="3389"/>
            <w:vAlign w:val="center"/>
          </w:tcPr>
          <w:p>
            <w:r/>
            <w:r>
              <w:rPr>
                <w:b w:val="0"/>
                <w:sz w:val="15"/>
              </w:rPr>
              <w:t>Continue and terminal-oriented agents</w:t>
            </w:r>
          </w:p>
        </w:tc>
        <w:tc>
          <w:tcPr>
            <w:tcW w:type="dxa" w:w="3389"/>
            <w:vAlign w:val="center"/>
          </w:tcPr>
          <w:p>
            <w:r/>
            <w:r>
              <w:rPr>
                <w:b w:val="0"/>
                <w:sz w:val="15"/>
              </w:rPr>
              <w:t>ADOPT as a client mode; runtime remains authoritative.</w:t>
            </w:r>
          </w:p>
        </w:tc>
      </w:tr>
      <w:tr>
        <w:tc>
          <w:tcPr>
            <w:tcW w:type="dxa" w:w="3389"/>
            <w:vAlign w:val="center"/>
          </w:tcPr>
          <w:p>
            <w:r/>
            <w:r>
              <w:rPr>
                <w:b w:val="0"/>
                <w:sz w:val="15"/>
              </w:rPr>
              <w:t>Tool-driven coding</w:t>
            </w:r>
          </w:p>
        </w:tc>
        <w:tc>
          <w:tcPr>
            <w:tcW w:type="dxa" w:w="3389"/>
            <w:vAlign w:val="center"/>
          </w:tcPr>
          <w:p>
            <w:r/>
            <w:r>
              <w:rPr>
                <w:b w:val="0"/>
                <w:sz w:val="15"/>
              </w:rPr>
              <w:t>Roo Code/OpenHands/other agents</w:t>
            </w:r>
          </w:p>
        </w:tc>
        <w:tc>
          <w:tcPr>
            <w:tcW w:type="dxa" w:w="3389"/>
            <w:vAlign w:val="center"/>
          </w:tcPr>
          <w:p>
            <w:r/>
            <w:r>
              <w:rPr>
                <w:b w:val="0"/>
                <w:sz w:val="15"/>
              </w:rPr>
              <w:t>ADOPT through our Tool Gateway only.</w:t>
            </w:r>
          </w:p>
        </w:tc>
      </w:tr>
      <w:tr>
        <w:tc>
          <w:tcPr>
            <w:tcW w:type="dxa" w:w="3389"/>
            <w:vAlign w:val="center"/>
          </w:tcPr>
          <w:p>
            <w:r/>
            <w:r>
              <w:rPr>
                <w:b w:val="0"/>
                <w:sz w:val="15"/>
              </w:rPr>
              <w:t>Custom agent modes/config</w:t>
            </w:r>
          </w:p>
        </w:tc>
        <w:tc>
          <w:tcPr>
            <w:tcW w:type="dxa" w:w="3389"/>
            <w:vAlign w:val="center"/>
          </w:tcPr>
          <w:p>
            <w:r/>
            <w:r>
              <w:rPr>
                <w:b w:val="0"/>
                <w:sz w:val="15"/>
              </w:rPr>
              <w:t>Roo Code/Continue</w:t>
            </w:r>
          </w:p>
        </w:tc>
        <w:tc>
          <w:tcPr>
            <w:tcW w:type="dxa" w:w="3389"/>
            <w:vAlign w:val="center"/>
          </w:tcPr>
          <w:p>
            <w:r/>
            <w:r>
              <w:rPr>
                <w:b w:val="0"/>
                <w:sz w:val="15"/>
              </w:rPr>
              <w:t>ADAPT into our configuration/behavior layer.</w:t>
            </w:r>
          </w:p>
        </w:tc>
      </w:tr>
      <w:tr>
        <w:tc>
          <w:tcPr>
            <w:tcW w:type="dxa" w:w="3389"/>
            <w:vAlign w:val="center"/>
          </w:tcPr>
          <w:p>
            <w:r/>
            <w:r>
              <w:rPr>
                <w:b w:val="0"/>
                <w:sz w:val="15"/>
              </w:rPr>
              <w:t>Context providers</w:t>
            </w:r>
          </w:p>
        </w:tc>
        <w:tc>
          <w:tcPr>
            <w:tcW w:type="dxa" w:w="3389"/>
            <w:vAlign w:val="center"/>
          </w:tcPr>
          <w:p>
            <w:r/>
            <w:r>
              <w:rPr>
                <w:b w:val="0"/>
                <w:sz w:val="15"/>
              </w:rPr>
              <w:t>Continue and modern coding-agent systems</w:t>
            </w:r>
          </w:p>
        </w:tc>
        <w:tc>
          <w:tcPr>
            <w:tcW w:type="dxa" w:w="3389"/>
            <w:vAlign w:val="center"/>
          </w:tcPr>
          <w:p>
            <w:r/>
            <w:r>
              <w:rPr>
                <w:b w:val="0"/>
                <w:sz w:val="15"/>
              </w:rPr>
              <w:t>ADOPT with our Memory &amp; Context contracts.</w:t>
            </w:r>
          </w:p>
        </w:tc>
      </w:tr>
      <w:tr>
        <w:tc>
          <w:tcPr>
            <w:tcW w:type="dxa" w:w="3389"/>
            <w:vAlign w:val="center"/>
          </w:tcPr>
          <w:p>
            <w:r/>
            <w:r>
              <w:rPr>
                <w:b w:val="0"/>
                <w:sz w:val="15"/>
              </w:rPr>
              <w:t>MCP tool integration</w:t>
            </w:r>
          </w:p>
        </w:tc>
        <w:tc>
          <w:tcPr>
            <w:tcW w:type="dxa" w:w="3389"/>
            <w:vAlign w:val="center"/>
          </w:tcPr>
          <w:p>
            <w:r/>
            <w:r>
              <w:rPr>
                <w:b w:val="0"/>
                <w:sz w:val="15"/>
              </w:rPr>
              <w:t>Agent-MCP/Continue/other agent systems</w:t>
            </w:r>
          </w:p>
        </w:tc>
        <w:tc>
          <w:tcPr>
            <w:tcW w:type="dxa" w:w="3389"/>
            <w:vAlign w:val="center"/>
          </w:tcPr>
          <w:p>
            <w:r/>
            <w:r>
              <w:rPr>
                <w:b w:val="0"/>
                <w:sz w:val="15"/>
              </w:rPr>
              <w:t>ADOPT capability; mandatory internal policy boundary.</w:t>
            </w:r>
          </w:p>
        </w:tc>
      </w:tr>
      <w:tr>
        <w:tc>
          <w:tcPr>
            <w:tcW w:type="dxa" w:w="3389"/>
            <w:vAlign w:val="center"/>
          </w:tcPr>
          <w:p>
            <w:r/>
            <w:r>
              <w:rPr>
                <w:b w:val="0"/>
                <w:sz w:val="15"/>
              </w:rPr>
              <w:t>Multi-agent decomposition</w:t>
            </w:r>
          </w:p>
        </w:tc>
        <w:tc>
          <w:tcPr>
            <w:tcW w:type="dxa" w:w="3389"/>
            <w:vAlign w:val="center"/>
          </w:tcPr>
          <w:p>
            <w:r/>
            <w:r>
              <w:rPr>
                <w:b w:val="0"/>
                <w:sz w:val="15"/>
              </w:rPr>
              <w:t>Agent-MCP/MetaGPT/AutoGen</w:t>
            </w:r>
          </w:p>
        </w:tc>
        <w:tc>
          <w:tcPr>
            <w:tcW w:type="dxa" w:w="3389"/>
            <w:vAlign w:val="center"/>
          </w:tcPr>
          <w:p>
            <w:r/>
            <w:r>
              <w:rPr>
                <w:b w:val="0"/>
                <w:sz w:val="15"/>
              </w:rPr>
              <w:t>ADAPT selectively; single-agent core remains default.</w:t>
            </w:r>
          </w:p>
        </w:tc>
      </w:tr>
      <w:tr>
        <w:tc>
          <w:tcPr>
            <w:tcW w:type="dxa" w:w="3389"/>
            <w:vAlign w:val="center"/>
          </w:tcPr>
          <w:p>
            <w:r/>
            <w:r>
              <w:rPr>
                <w:b w:val="0"/>
                <w:sz w:val="15"/>
              </w:rPr>
              <w:t>Sandboxed execution</w:t>
            </w:r>
          </w:p>
        </w:tc>
        <w:tc>
          <w:tcPr>
            <w:tcW w:type="dxa" w:w="3389"/>
            <w:vAlign w:val="center"/>
          </w:tcPr>
          <w:p>
            <w:r/>
            <w:r>
              <w:rPr>
                <w:b w:val="0"/>
                <w:sz w:val="15"/>
              </w:rPr>
              <w:t>OpenHands and comparable systems</w:t>
            </w:r>
          </w:p>
        </w:tc>
        <w:tc>
          <w:tcPr>
            <w:tcW w:type="dxa" w:w="3389"/>
            <w:vAlign w:val="center"/>
          </w:tcPr>
          <w:p>
            <w:r/>
            <w:r>
              <w:rPr>
                <w:b w:val="0"/>
                <w:sz w:val="15"/>
              </w:rPr>
              <w:t>ADOPT principle; align with our Security &amp; Sandbox spec.</w:t>
            </w:r>
          </w:p>
        </w:tc>
      </w:tr>
      <w:tr>
        <w:tc>
          <w:tcPr>
            <w:tcW w:type="dxa" w:w="3389"/>
            <w:vAlign w:val="center"/>
          </w:tcPr>
          <w:p>
            <w:r/>
            <w:r>
              <w:rPr>
                <w:b w:val="0"/>
                <w:sz w:val="15"/>
              </w:rPr>
              <w:t>Structured state/workflows</w:t>
            </w:r>
          </w:p>
        </w:tc>
        <w:tc>
          <w:tcPr>
            <w:tcW w:type="dxa" w:w="3389"/>
            <w:vAlign w:val="center"/>
          </w:tcPr>
          <w:p>
            <w:r/>
            <w:r>
              <w:rPr>
                <w:b w:val="0"/>
                <w:sz w:val="15"/>
              </w:rPr>
              <w:t>AutoGen/MetaGPT/LangGraph-style systems</w:t>
            </w:r>
          </w:p>
        </w:tc>
        <w:tc>
          <w:tcPr>
            <w:tcW w:type="dxa" w:w="3389"/>
            <w:vAlign w:val="center"/>
          </w:tcPr>
          <w:p>
            <w:r/>
            <w:r>
              <w:rPr>
                <w:b w:val="0"/>
                <w:sz w:val="15"/>
              </w:rPr>
              <w:t>ADOPT state-machine principle.</w:t>
            </w:r>
          </w:p>
        </w:tc>
      </w:tr>
      <w:tr>
        <w:tc>
          <w:tcPr>
            <w:tcW w:type="dxa" w:w="3389"/>
            <w:vAlign w:val="center"/>
          </w:tcPr>
          <w:p>
            <w:r/>
            <w:r>
              <w:rPr>
                <w:b w:val="0"/>
                <w:sz w:val="15"/>
              </w:rPr>
              <w:t>Automated validation</w:t>
            </w:r>
          </w:p>
        </w:tc>
        <w:tc>
          <w:tcPr>
            <w:tcW w:type="dxa" w:w="3389"/>
            <w:vAlign w:val="center"/>
          </w:tcPr>
          <w:p>
            <w:r/>
            <w:r>
              <w:rPr>
                <w:b w:val="0"/>
                <w:sz w:val="15"/>
              </w:rPr>
              <w:t>SWE-agent/coding-agent workflows</w:t>
            </w:r>
          </w:p>
        </w:tc>
        <w:tc>
          <w:tcPr>
            <w:tcW w:type="dxa" w:w="3389"/>
            <w:vAlign w:val="center"/>
          </w:tcPr>
          <w:p>
            <w:r/>
            <w:r>
              <w:rPr>
                <w:b w:val="0"/>
                <w:sz w:val="15"/>
              </w:rPr>
              <w:t>ADOPT as mandatory completion evidence.</w:t>
            </w:r>
          </w:p>
        </w:tc>
      </w:tr>
      <w:tr>
        <w:tc>
          <w:tcPr>
            <w:tcW w:type="dxa" w:w="3389"/>
            <w:vAlign w:val="center"/>
          </w:tcPr>
          <w:p>
            <w:r/>
            <w:r>
              <w:rPr>
                <w:b w:val="0"/>
                <w:sz w:val="15"/>
              </w:rPr>
              <w:t>Iterative repair</w:t>
            </w:r>
          </w:p>
        </w:tc>
        <w:tc>
          <w:tcPr>
            <w:tcW w:type="dxa" w:w="3389"/>
            <w:vAlign w:val="center"/>
          </w:tcPr>
          <w:p>
            <w:r/>
            <w:r>
              <w:rPr>
                <w:b w:val="0"/>
                <w:sz w:val="15"/>
              </w:rPr>
              <w:t>SWE-agent/Aider/agentic coding workflows</w:t>
            </w:r>
          </w:p>
        </w:tc>
        <w:tc>
          <w:tcPr>
            <w:tcW w:type="dxa" w:w="3389"/>
            <w:vAlign w:val="center"/>
          </w:tcPr>
          <w:p>
            <w:r/>
            <w:r>
              <w:rPr>
                <w:b w:val="0"/>
                <w:sz w:val="15"/>
              </w:rPr>
              <w:t>ADOPT through bounded Error Recovery.</w:t>
            </w:r>
          </w:p>
        </w:tc>
      </w:tr>
      <w:tr>
        <w:tc>
          <w:tcPr>
            <w:tcW w:type="dxa" w:w="3389"/>
            <w:vAlign w:val="center"/>
          </w:tcPr>
          <w:p>
            <w:r/>
            <w:r>
              <w:rPr>
                <w:b w:val="0"/>
                <w:sz w:val="15"/>
              </w:rPr>
              <w:t>Human approval</w:t>
            </w:r>
          </w:p>
        </w:tc>
        <w:tc>
          <w:tcPr>
            <w:tcW w:type="dxa" w:w="3389"/>
            <w:vAlign w:val="center"/>
          </w:tcPr>
          <w:p>
            <w:r/>
            <w:r>
              <w:rPr>
                <w:b w:val="0"/>
                <w:sz w:val="15"/>
              </w:rPr>
              <w:t>IDE coding agents</w:t>
            </w:r>
          </w:p>
        </w:tc>
        <w:tc>
          <w:tcPr>
            <w:tcW w:type="dxa" w:w="3389"/>
            <w:vAlign w:val="center"/>
          </w:tcPr>
          <w:p>
            <w:r/>
            <w:r>
              <w:rPr>
                <w:b w:val="0"/>
                <w:sz w:val="15"/>
              </w:rPr>
              <w:t>ADOPT for high-risk operations.</w:t>
            </w:r>
          </w:p>
        </w:tc>
      </w:tr>
      <w:tr>
        <w:tc>
          <w:tcPr>
            <w:tcW w:type="dxa" w:w="3389"/>
            <w:vAlign w:val="center"/>
          </w:tcPr>
          <w:p>
            <w:r/>
            <w:r>
              <w:rPr>
                <w:b w:val="0"/>
                <w:sz w:val="15"/>
              </w:rPr>
              <w:t>Persistent task context</w:t>
            </w:r>
          </w:p>
        </w:tc>
        <w:tc>
          <w:tcPr>
            <w:tcW w:type="dxa" w:w="3389"/>
            <w:vAlign w:val="center"/>
          </w:tcPr>
          <w:p>
            <w:r/>
            <w:r>
              <w:rPr>
                <w:b w:val="0"/>
                <w:sz w:val="15"/>
              </w:rPr>
              <w:t>Modern coding agents</w:t>
            </w:r>
          </w:p>
        </w:tc>
        <w:tc>
          <w:tcPr>
            <w:tcW w:type="dxa" w:w="3389"/>
            <w:vAlign w:val="center"/>
          </w:tcPr>
          <w:p>
            <w:r/>
            <w:r>
              <w:rPr>
                <w:b w:val="0"/>
                <w:sz w:val="15"/>
              </w:rPr>
              <w:t>ADOPT with strict scope/freshness.</w:t>
            </w:r>
          </w:p>
        </w:tc>
      </w:tr>
      <w:tr>
        <w:tc>
          <w:tcPr>
            <w:tcW w:type="dxa" w:w="3389"/>
            <w:vAlign w:val="center"/>
          </w:tcPr>
          <w:p>
            <w:r/>
            <w:r>
              <w:rPr>
                <w:b w:val="0"/>
                <w:sz w:val="15"/>
              </w:rPr>
              <w:t>Open-ended autonomy</w:t>
            </w:r>
          </w:p>
        </w:tc>
        <w:tc>
          <w:tcPr>
            <w:tcW w:type="dxa" w:w="3389"/>
            <w:vAlign w:val="center"/>
          </w:tcPr>
          <w:p>
            <w:r/>
            <w:r>
              <w:rPr>
                <w:b w:val="0"/>
                <w:sz w:val="15"/>
              </w:rPr>
              <w:t>Several agent systems</w:t>
            </w:r>
          </w:p>
        </w:tc>
        <w:tc>
          <w:tcPr>
            <w:tcW w:type="dxa" w:w="3389"/>
            <w:vAlign w:val="center"/>
          </w:tcPr>
          <w:p>
            <w:r/>
            <w:r>
              <w:rPr>
                <w:b w:val="0"/>
                <w:sz w:val="15"/>
              </w:rPr>
              <w:t>REJECT as default behavior; use bounded autonomy.</w:t>
            </w:r>
          </w:p>
        </w:tc>
      </w:tr>
      <w:tr>
        <w:tc>
          <w:tcPr>
            <w:tcW w:type="dxa" w:w="3389"/>
            <w:vAlign w:val="center"/>
          </w:tcPr>
          <w:p>
            <w:r/>
            <w:r>
              <w:rPr>
                <w:b w:val="0"/>
                <w:sz w:val="15"/>
              </w:rPr>
              <w:t>Direct model-to-shell execution</w:t>
            </w:r>
          </w:p>
        </w:tc>
        <w:tc>
          <w:tcPr>
            <w:tcW w:type="dxa" w:w="3389"/>
            <w:vAlign w:val="center"/>
          </w:tcPr>
          <w:p>
            <w:r/>
            <w:r>
              <w:rPr>
                <w:b w:val="0"/>
                <w:sz w:val="15"/>
              </w:rPr>
              <w:t>Common in prototypes</w:t>
            </w:r>
          </w:p>
        </w:tc>
        <w:tc>
          <w:tcPr>
            <w:tcW w:type="dxa" w:w="3389"/>
            <w:vAlign w:val="center"/>
          </w:tcPr>
          <w:p>
            <w:r/>
            <w:r>
              <w:rPr>
                <w:b w:val="0"/>
                <w:sz w:val="15"/>
              </w:rPr>
              <w:t>REJECT; central policy/tool boundary required.</w:t>
            </w:r>
          </w:p>
        </w:tc>
      </w:tr>
    </w:tbl>
    <w:p/>
    <w:p>
      <w:pPr>
        <w:pStyle w:val="Heading1"/>
      </w:pPr>
      <w:r>
        <w:t>4. Key Architectural Lessons</w:t>
      </w:r>
    </w:p>
    <w:p>
      <w:pPr>
        <w:pStyle w:val="ListBullet"/>
        <w:spacing w:after="24"/>
      </w:pPr>
      <w:r>
        <w:t>Successful coding agents separate model reasoning from real-world side effects through tools/executors.</w:t>
      </w:r>
    </w:p>
    <w:p>
      <w:pPr>
        <w:pStyle w:val="ListBullet"/>
        <w:spacing w:after="24"/>
      </w:pPr>
      <w:r>
        <w:t>Repository-aware context is essential; generic chat context is insufficient for reliable software work.</w:t>
      </w:r>
    </w:p>
    <w:p>
      <w:pPr>
        <w:pStyle w:val="ListBullet"/>
        <w:spacing w:after="24"/>
      </w:pPr>
      <w:r>
        <w:t>Agent workflows need explicit state and progress rather than an unconstrained conversation loop.</w:t>
      </w:r>
    </w:p>
    <w:p>
      <w:pPr>
        <w:pStyle w:val="ListBullet"/>
        <w:spacing w:after="24"/>
      </w:pPr>
      <w:r>
        <w:t>Validation must be part of the agent loop, not an afterthought.</w:t>
      </w:r>
    </w:p>
    <w:p>
      <w:pPr>
        <w:pStyle w:val="ListBullet"/>
        <w:spacing w:after="24"/>
      </w:pPr>
      <w:r>
        <w:t>Recovery needs evidence and bounded attempts; blind retries create loops.</w:t>
      </w:r>
    </w:p>
    <w:p>
      <w:pPr>
        <w:pStyle w:val="ListBullet"/>
        <w:spacing w:after="24"/>
      </w:pPr>
      <w:r>
        <w:t>IDE integration is a client experience, not the security authority.</w:t>
      </w:r>
    </w:p>
    <w:p>
      <w:pPr>
        <w:pStyle w:val="ListBullet"/>
        <w:spacing w:after="24"/>
      </w:pPr>
      <w:r>
        <w:t>Configuration/custom modes are powerful, but must not override hard security rules.</w:t>
      </w:r>
    </w:p>
    <w:p>
      <w:pPr>
        <w:pStyle w:val="ListBullet"/>
        <w:spacing w:after="24"/>
      </w:pPr>
      <w:r>
        <w:t>MCP expands capability and therefore expands the attack surface; it needs the same policy boundary as native tools.</w:t>
      </w:r>
    </w:p>
    <w:p>
      <w:pPr>
        <w:pStyle w:val="ListBullet"/>
        <w:spacing w:after="24"/>
      </w:pPr>
      <w:r>
        <w:t>Multi-agent architectures are useful for specialized decomposition but introduce coordination, context and cost complexity.</w:t>
      </w:r>
    </w:p>
    <w:p>
      <w:pPr>
        <w:pStyle w:val="ListBullet"/>
        <w:spacing w:after="24"/>
      </w:pPr>
      <w:r>
        <w:t>Sandboxing is an architectural capability, not merely a UI setting.</w:t>
      </w:r>
    </w:p>
    <w:p>
      <w:pPr>
        <w:pStyle w:val="ListBullet"/>
        <w:spacing w:after="24"/>
      </w:pPr>
      <w:r>
        <w:t>Source-controlled configuration and checks can improve reproducibility and governance; Continue publicly documents configuration-driven agents and CI checks. citeturn0search12turn0search2</w:t>
      </w:r>
    </w:p>
    <w:p>
      <w:pPr>
        <w:pStyle w:val="Heading1"/>
      </w:pPr>
      <w:r>
        <w:t>5. What We Should Adopt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Decision</w:t>
            </w:r>
          </w:p>
        </w:tc>
        <w:tc>
          <w:tcPr>
            <w:tcW w:type="dxa" w:w="3389"/>
            <w:vAlign w:val="center"/>
            <w:shd w:fill="D9EAF7"/>
          </w:tcPr>
          <w:p>
            <w:r/>
            <w:r>
              <w:rPr>
                <w:b/>
                <w:sz w:val="15"/>
              </w:rPr>
              <w:t>Why it fits our locked design</w:t>
            </w:r>
          </w:p>
        </w:tc>
        <w:tc>
          <w:tcPr>
            <w:tcW w:type="dxa" w:w="3389"/>
            <w:vAlign w:val="center"/>
            <w:shd w:fill="D9EAF7"/>
          </w:tcPr>
          <w:p>
            <w:r/>
            <w:r>
              <w:rPr>
                <w:b/>
                <w:sz w:val="15"/>
              </w:rPr>
              <w:t>Target specification</w:t>
            </w:r>
          </w:p>
        </w:tc>
      </w:tr>
      <w:tr>
        <w:tc>
          <w:tcPr>
            <w:tcW w:type="dxa" w:w="3389"/>
            <w:vAlign w:val="center"/>
          </w:tcPr>
          <w:p>
            <w:r/>
            <w:r>
              <w:rPr>
                <w:b w:val="0"/>
                <w:sz w:val="15"/>
              </w:rPr>
              <w:t>Tool-mediated execution</w:t>
            </w:r>
          </w:p>
        </w:tc>
        <w:tc>
          <w:tcPr>
            <w:tcW w:type="dxa" w:w="3389"/>
            <w:vAlign w:val="center"/>
          </w:tcPr>
          <w:p>
            <w:r/>
            <w:r>
              <w:rPr>
                <w:b w:val="0"/>
                <w:sz w:val="15"/>
              </w:rPr>
              <w:t>Provides clear side-effect boundary</w:t>
            </w:r>
          </w:p>
        </w:tc>
        <w:tc>
          <w:tcPr>
            <w:tcW w:type="dxa" w:w="3389"/>
            <w:vAlign w:val="center"/>
          </w:tcPr>
          <w:p>
            <w:r/>
            <w:r>
              <w:rPr>
                <w:b w:val="0"/>
                <w:sz w:val="15"/>
              </w:rPr>
              <w:t>Tool &amp; Permission + Security</w:t>
            </w:r>
          </w:p>
        </w:tc>
      </w:tr>
      <w:tr>
        <w:tc>
          <w:tcPr>
            <w:tcW w:type="dxa" w:w="3389"/>
            <w:vAlign w:val="center"/>
          </w:tcPr>
          <w:p>
            <w:r/>
            <w:r>
              <w:rPr>
                <w:b w:val="0"/>
                <w:sz w:val="15"/>
              </w:rPr>
              <w:t>Explicit task state</w:t>
            </w:r>
          </w:p>
        </w:tc>
        <w:tc>
          <w:tcPr>
            <w:tcW w:type="dxa" w:w="3389"/>
            <w:vAlign w:val="center"/>
          </w:tcPr>
          <w:p>
            <w:r/>
            <w:r>
              <w:rPr>
                <w:b w:val="0"/>
                <w:sz w:val="15"/>
              </w:rPr>
              <w:t>Makes lifecycle observable/recoverable</w:t>
            </w:r>
          </w:p>
        </w:tc>
        <w:tc>
          <w:tcPr>
            <w:tcW w:type="dxa" w:w="3389"/>
            <w:vAlign w:val="center"/>
          </w:tcPr>
          <w:p>
            <w:r/>
            <w:r>
              <w:rPr>
                <w:b w:val="0"/>
                <w:sz w:val="15"/>
              </w:rPr>
              <w:t>Agent Behaviour</w:t>
            </w:r>
          </w:p>
        </w:tc>
      </w:tr>
      <w:tr>
        <w:tc>
          <w:tcPr>
            <w:tcW w:type="dxa" w:w="3389"/>
            <w:vAlign w:val="center"/>
          </w:tcPr>
          <w:p>
            <w:r/>
            <w:r>
              <w:rPr>
                <w:b w:val="0"/>
                <w:sz w:val="15"/>
              </w:rPr>
              <w:t>Repository-first context</w:t>
            </w:r>
          </w:p>
        </w:tc>
        <w:tc>
          <w:tcPr>
            <w:tcW w:type="dxa" w:w="3389"/>
            <w:vAlign w:val="center"/>
          </w:tcPr>
          <w:p>
            <w:r/>
            <w:r>
              <w:rPr>
                <w:b w:val="0"/>
                <w:sz w:val="15"/>
              </w:rPr>
              <w:t>Improves code-change correctness</w:t>
            </w:r>
          </w:p>
        </w:tc>
        <w:tc>
          <w:tcPr>
            <w:tcW w:type="dxa" w:w="3389"/>
            <w:vAlign w:val="center"/>
          </w:tcPr>
          <w:p>
            <w:r/>
            <w:r>
              <w:rPr>
                <w:b w:val="0"/>
                <w:sz w:val="15"/>
              </w:rPr>
              <w:t>Memory &amp; Context</w:t>
            </w:r>
          </w:p>
        </w:tc>
      </w:tr>
      <w:tr>
        <w:tc>
          <w:tcPr>
            <w:tcW w:type="dxa" w:w="3389"/>
            <w:vAlign w:val="center"/>
          </w:tcPr>
          <w:p>
            <w:r/>
            <w:r>
              <w:rPr>
                <w:b w:val="0"/>
                <w:sz w:val="15"/>
              </w:rPr>
              <w:t>Context budgeting/ranking</w:t>
            </w:r>
          </w:p>
        </w:tc>
        <w:tc>
          <w:tcPr>
            <w:tcW w:type="dxa" w:w="3389"/>
            <w:vAlign w:val="center"/>
          </w:tcPr>
          <w:p>
            <w:r/>
            <w:r>
              <w:rPr>
                <w:b w:val="0"/>
                <w:sz w:val="15"/>
              </w:rPr>
              <w:t>Controls model input and freshness</w:t>
            </w:r>
          </w:p>
        </w:tc>
        <w:tc>
          <w:tcPr>
            <w:tcW w:type="dxa" w:w="3389"/>
            <w:vAlign w:val="center"/>
          </w:tcPr>
          <w:p>
            <w:r/>
            <w:r>
              <w:rPr>
                <w:b w:val="0"/>
                <w:sz w:val="15"/>
              </w:rPr>
              <w:t>Memory &amp; Context</w:t>
            </w:r>
          </w:p>
        </w:tc>
      </w:tr>
      <w:tr>
        <w:tc>
          <w:tcPr>
            <w:tcW w:type="dxa" w:w="3389"/>
            <w:vAlign w:val="center"/>
          </w:tcPr>
          <w:p>
            <w:r/>
            <w:r>
              <w:rPr>
                <w:b w:val="0"/>
                <w:sz w:val="15"/>
              </w:rPr>
              <w:t>Validation after change</w:t>
            </w:r>
          </w:p>
        </w:tc>
        <w:tc>
          <w:tcPr>
            <w:tcW w:type="dxa" w:w="3389"/>
            <w:vAlign w:val="center"/>
          </w:tcPr>
          <w:p>
            <w:r/>
            <w:r>
              <w:rPr>
                <w:b w:val="0"/>
                <w:sz w:val="15"/>
              </w:rPr>
              <w:t>Prevents false completion</w:t>
            </w:r>
          </w:p>
        </w:tc>
        <w:tc>
          <w:tcPr>
            <w:tcW w:type="dxa" w:w="3389"/>
            <w:vAlign w:val="center"/>
          </w:tcPr>
          <w:p>
            <w:r/>
            <w:r>
              <w:rPr>
                <w:b w:val="0"/>
                <w:sz w:val="15"/>
              </w:rPr>
              <w:t>Testing &amp; Validation</w:t>
            </w:r>
          </w:p>
        </w:tc>
      </w:tr>
      <w:tr>
        <w:tc>
          <w:tcPr>
            <w:tcW w:type="dxa" w:w="3389"/>
            <w:vAlign w:val="center"/>
          </w:tcPr>
          <w:p>
            <w:r/>
            <w:r>
              <w:rPr>
                <w:b w:val="0"/>
                <w:sz w:val="15"/>
              </w:rPr>
              <w:t>Bounded recovery</w:t>
            </w:r>
          </w:p>
        </w:tc>
        <w:tc>
          <w:tcPr>
            <w:tcW w:type="dxa" w:w="3389"/>
            <w:vAlign w:val="center"/>
          </w:tcPr>
          <w:p>
            <w:r/>
            <w:r>
              <w:rPr>
                <w:b w:val="0"/>
                <w:sz w:val="15"/>
              </w:rPr>
              <w:t>Prevents infinite repair loops</w:t>
            </w:r>
          </w:p>
        </w:tc>
        <w:tc>
          <w:tcPr>
            <w:tcW w:type="dxa" w:w="3389"/>
            <w:vAlign w:val="center"/>
          </w:tcPr>
          <w:p>
            <w:r/>
            <w:r>
              <w:rPr>
                <w:b w:val="0"/>
                <w:sz w:val="15"/>
              </w:rPr>
              <w:t>Error Recovery</w:t>
            </w:r>
          </w:p>
        </w:tc>
      </w:tr>
      <w:tr>
        <w:tc>
          <w:tcPr>
            <w:tcW w:type="dxa" w:w="3389"/>
            <w:vAlign w:val="center"/>
          </w:tcPr>
          <w:p>
            <w:r/>
            <w:r>
              <w:rPr>
                <w:b w:val="0"/>
                <w:sz w:val="15"/>
              </w:rPr>
              <w:t>Approval for high-risk actions</w:t>
            </w:r>
          </w:p>
        </w:tc>
        <w:tc>
          <w:tcPr>
            <w:tcW w:type="dxa" w:w="3389"/>
            <w:vAlign w:val="center"/>
          </w:tcPr>
          <w:p>
            <w:r/>
            <w:r>
              <w:rPr>
                <w:b w:val="0"/>
                <w:sz w:val="15"/>
              </w:rPr>
              <w:t>Preserves user control</w:t>
            </w:r>
          </w:p>
        </w:tc>
        <w:tc>
          <w:tcPr>
            <w:tcW w:type="dxa" w:w="3389"/>
            <w:vAlign w:val="center"/>
          </w:tcPr>
          <w:p>
            <w:r/>
            <w:r>
              <w:rPr>
                <w:b w:val="0"/>
                <w:sz w:val="15"/>
              </w:rPr>
              <w:t>Tool &amp; Permission</w:t>
            </w:r>
          </w:p>
        </w:tc>
      </w:tr>
      <w:tr>
        <w:tc>
          <w:tcPr>
            <w:tcW w:type="dxa" w:w="3389"/>
            <w:vAlign w:val="center"/>
          </w:tcPr>
          <w:p>
            <w:r/>
            <w:r>
              <w:rPr>
                <w:b w:val="0"/>
                <w:sz w:val="15"/>
              </w:rPr>
              <w:t>Sandboxed process execution</w:t>
            </w:r>
          </w:p>
        </w:tc>
        <w:tc>
          <w:tcPr>
            <w:tcW w:type="dxa" w:w="3389"/>
            <w:vAlign w:val="center"/>
          </w:tcPr>
          <w:p>
            <w:r/>
            <w:r>
              <w:rPr>
                <w:b w:val="0"/>
                <w:sz w:val="15"/>
              </w:rPr>
              <w:t>Limits blast radius</w:t>
            </w:r>
          </w:p>
        </w:tc>
        <w:tc>
          <w:tcPr>
            <w:tcW w:type="dxa" w:w="3389"/>
            <w:vAlign w:val="center"/>
          </w:tcPr>
          <w:p>
            <w:r/>
            <w:r>
              <w:rPr>
                <w:b w:val="0"/>
                <w:sz w:val="15"/>
              </w:rPr>
              <w:t>Security &amp; Sandbox</w:t>
            </w:r>
          </w:p>
        </w:tc>
      </w:tr>
      <w:tr>
        <w:tc>
          <w:tcPr>
            <w:tcW w:type="dxa" w:w="3389"/>
            <w:vAlign w:val="center"/>
          </w:tcPr>
          <w:p>
            <w:r/>
            <w:r>
              <w:rPr>
                <w:b w:val="0"/>
                <w:sz w:val="15"/>
              </w:rPr>
              <w:t>IDE client/runtime split</w:t>
            </w:r>
          </w:p>
        </w:tc>
        <w:tc>
          <w:tcPr>
            <w:tcW w:type="dxa" w:w="3389"/>
            <w:vAlign w:val="center"/>
          </w:tcPr>
          <w:p>
            <w:r/>
            <w:r>
              <w:rPr>
                <w:b w:val="0"/>
                <w:sz w:val="15"/>
              </w:rPr>
              <w:t>Prevents client-side bypass</w:t>
            </w:r>
          </w:p>
        </w:tc>
        <w:tc>
          <w:tcPr>
            <w:tcW w:type="dxa" w:w="3389"/>
            <w:vAlign w:val="center"/>
          </w:tcPr>
          <w:p>
            <w:r/>
            <w:r>
              <w:rPr>
                <w:b w:val="0"/>
                <w:sz w:val="15"/>
              </w:rPr>
              <w:t>VS Code Integration</w:t>
            </w:r>
          </w:p>
        </w:tc>
      </w:tr>
      <w:tr>
        <w:tc>
          <w:tcPr>
            <w:tcW w:type="dxa" w:w="3389"/>
            <w:vAlign w:val="center"/>
          </w:tcPr>
          <w:p>
            <w:r/>
            <w:r>
              <w:rPr>
                <w:b w:val="0"/>
                <w:sz w:val="15"/>
              </w:rPr>
              <w:t>Structured events/audit</w:t>
            </w:r>
          </w:p>
        </w:tc>
        <w:tc>
          <w:tcPr>
            <w:tcW w:type="dxa" w:w="3389"/>
            <w:vAlign w:val="center"/>
          </w:tcPr>
          <w:p>
            <w:r/>
            <w:r>
              <w:rPr>
                <w:b w:val="0"/>
                <w:sz w:val="15"/>
              </w:rPr>
              <w:t>Makes actions reconstructable</w:t>
            </w:r>
          </w:p>
        </w:tc>
        <w:tc>
          <w:tcPr>
            <w:tcW w:type="dxa" w:w="3389"/>
            <w:vAlign w:val="center"/>
          </w:tcPr>
          <w:p>
            <w:r/>
            <w:r>
              <w:rPr>
                <w:b w:val="0"/>
                <w:sz w:val="15"/>
              </w:rPr>
              <w:t>Observability/Audit</w:t>
            </w:r>
          </w:p>
        </w:tc>
      </w:tr>
      <w:tr>
        <w:tc>
          <w:tcPr>
            <w:tcW w:type="dxa" w:w="3389"/>
            <w:vAlign w:val="center"/>
          </w:tcPr>
          <w:p>
            <w:r/>
            <w:r>
              <w:rPr>
                <w:b w:val="0"/>
                <w:sz w:val="15"/>
              </w:rPr>
              <w:t>CLI/headless mode</w:t>
            </w:r>
          </w:p>
        </w:tc>
        <w:tc>
          <w:tcPr>
            <w:tcW w:type="dxa" w:w="3389"/>
            <w:vAlign w:val="center"/>
          </w:tcPr>
          <w:p>
            <w:r/>
            <w:r>
              <w:rPr>
                <w:b w:val="0"/>
                <w:sz w:val="15"/>
              </w:rPr>
              <w:t>Supports automation and CI</w:t>
            </w:r>
          </w:p>
        </w:tc>
        <w:tc>
          <w:tcPr>
            <w:tcW w:type="dxa" w:w="3389"/>
            <w:vAlign w:val="center"/>
          </w:tcPr>
          <w:p>
            <w:r/>
            <w:r>
              <w:rPr>
                <w:b w:val="0"/>
                <w:sz w:val="15"/>
              </w:rPr>
              <w:t>CLI Integration / Architecture</w:t>
            </w:r>
          </w:p>
        </w:tc>
      </w:tr>
      <w:tr>
        <w:tc>
          <w:tcPr>
            <w:tcW w:type="dxa" w:w="3389"/>
            <w:vAlign w:val="center"/>
          </w:tcPr>
          <w:p>
            <w:r/>
            <w:r>
              <w:rPr>
                <w:b w:val="0"/>
                <w:sz w:val="15"/>
              </w:rPr>
              <w:t>MCP adapter boundary</w:t>
            </w:r>
          </w:p>
        </w:tc>
        <w:tc>
          <w:tcPr>
            <w:tcW w:type="dxa" w:w="3389"/>
            <w:vAlign w:val="center"/>
          </w:tcPr>
          <w:p>
            <w:r/>
            <w:r>
              <w:rPr>
                <w:b w:val="0"/>
                <w:sz w:val="15"/>
              </w:rPr>
              <w:t>Extends tools safely</w:t>
            </w:r>
          </w:p>
        </w:tc>
        <w:tc>
          <w:tcPr>
            <w:tcW w:type="dxa" w:w="3389"/>
            <w:vAlign w:val="center"/>
          </w:tcPr>
          <w:p>
            <w:r/>
            <w:r>
              <w:rPr>
                <w:b w:val="0"/>
                <w:sz w:val="15"/>
              </w:rPr>
              <w:t>Tool &amp; Permission + Security</w:t>
            </w:r>
          </w:p>
        </w:tc>
      </w:tr>
    </w:tbl>
    <w:p/>
    <w:p>
      <w:pPr>
        <w:pStyle w:val="Heading1"/>
      </w:pPr>
      <w:r>
        <w:t>6. What We Should Adapt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5"/>
              </w:rPr>
              <w:t>Pattern</w:t>
            </w:r>
          </w:p>
        </w:tc>
        <w:tc>
          <w:tcPr>
            <w:tcW w:type="dxa" w:w="5083"/>
            <w:vAlign w:val="center"/>
            <w:shd w:fill="D9EAF7"/>
          </w:tcPr>
          <w:p>
            <w:r/>
            <w:r>
              <w:rPr>
                <w:b/>
                <w:sz w:val="15"/>
              </w:rPr>
              <w:t>Adaptation for our Co-Agent</w:t>
            </w:r>
          </w:p>
        </w:tc>
      </w:tr>
      <w:tr>
        <w:tc>
          <w:tcPr>
            <w:tcW w:type="dxa" w:w="5083"/>
            <w:vAlign w:val="center"/>
          </w:tcPr>
          <w:p>
            <w:r/>
            <w:r>
              <w:rPr>
                <w:b w:val="0"/>
                <w:sz w:val="15"/>
              </w:rPr>
              <w:t>Custom modes</w:t>
            </w:r>
          </w:p>
        </w:tc>
        <w:tc>
          <w:tcPr>
            <w:tcW w:type="dxa" w:w="5083"/>
            <w:vAlign w:val="center"/>
          </w:tcPr>
          <w:p>
            <w:r/>
            <w:r>
              <w:rPr>
                <w:b w:val="0"/>
                <w:sz w:val="15"/>
              </w:rPr>
              <w:t>Represent as governed behavior profiles, never policy overrides.</w:t>
            </w:r>
          </w:p>
        </w:tc>
      </w:tr>
      <w:tr>
        <w:tc>
          <w:tcPr>
            <w:tcW w:type="dxa" w:w="5083"/>
            <w:vAlign w:val="center"/>
          </w:tcPr>
          <w:p>
            <w:r/>
            <w:r>
              <w:rPr>
                <w:b w:val="0"/>
                <w:sz w:val="15"/>
              </w:rPr>
              <w:t>Multi-agent teams</w:t>
            </w:r>
          </w:p>
        </w:tc>
        <w:tc>
          <w:tcPr>
            <w:tcW w:type="dxa" w:w="5083"/>
            <w:vAlign w:val="center"/>
          </w:tcPr>
          <w:p>
            <w:r/>
            <w:r>
              <w:rPr>
                <w:b w:val="0"/>
                <w:sz w:val="15"/>
              </w:rPr>
              <w:t>Use only for tasks where specialization demonstrably improves outcome.</w:t>
            </w:r>
          </w:p>
        </w:tc>
      </w:tr>
      <w:tr>
        <w:tc>
          <w:tcPr>
            <w:tcW w:type="dxa" w:w="5083"/>
            <w:vAlign w:val="center"/>
          </w:tcPr>
          <w:p>
            <w:r/>
            <w:r>
              <w:rPr>
                <w:b w:val="0"/>
                <w:sz w:val="15"/>
              </w:rPr>
              <w:t>Graph/state orchestration</w:t>
            </w:r>
          </w:p>
        </w:tc>
        <w:tc>
          <w:tcPr>
            <w:tcW w:type="dxa" w:w="5083"/>
            <w:vAlign w:val="center"/>
          </w:tcPr>
          <w:p>
            <w:r/>
            <w:r>
              <w:rPr>
                <w:b w:val="0"/>
                <w:sz w:val="15"/>
              </w:rPr>
              <w:t>Use explicit state transitions while keeping the core system understandable.</w:t>
            </w:r>
          </w:p>
        </w:tc>
      </w:tr>
      <w:tr>
        <w:tc>
          <w:tcPr>
            <w:tcW w:type="dxa" w:w="5083"/>
            <w:vAlign w:val="center"/>
          </w:tcPr>
          <w:p>
            <w:r/>
            <w:r>
              <w:rPr>
                <w:b w:val="0"/>
                <w:sz w:val="15"/>
              </w:rPr>
              <w:t>Repository rules</w:t>
            </w:r>
          </w:p>
        </w:tc>
        <w:tc>
          <w:tcPr>
            <w:tcW w:type="dxa" w:w="5083"/>
            <w:vAlign w:val="center"/>
          </w:tcPr>
          <w:p>
            <w:r/>
            <w:r>
              <w:rPr>
                <w:b w:val="0"/>
                <w:sz w:val="15"/>
              </w:rPr>
              <w:t>Treat as untrusted project guidance; validate against higher-level policy.</w:t>
            </w:r>
          </w:p>
        </w:tc>
      </w:tr>
      <w:tr>
        <w:tc>
          <w:tcPr>
            <w:tcW w:type="dxa" w:w="5083"/>
            <w:vAlign w:val="center"/>
          </w:tcPr>
          <w:p>
            <w:r/>
            <w:r>
              <w:rPr>
                <w:b w:val="0"/>
                <w:sz w:val="15"/>
              </w:rPr>
              <w:t>Autonomous loops</w:t>
            </w:r>
          </w:p>
        </w:tc>
        <w:tc>
          <w:tcPr>
            <w:tcW w:type="dxa" w:w="5083"/>
            <w:vAlign w:val="center"/>
          </w:tcPr>
          <w:p>
            <w:r/>
            <w:r>
              <w:rPr>
                <w:b w:val="0"/>
                <w:sz w:val="15"/>
              </w:rPr>
              <w:t>Use bounded task/recovery loops with budgets.</w:t>
            </w:r>
          </w:p>
        </w:tc>
      </w:tr>
      <w:tr>
        <w:tc>
          <w:tcPr>
            <w:tcW w:type="dxa" w:w="5083"/>
            <w:vAlign w:val="center"/>
          </w:tcPr>
          <w:p>
            <w:r/>
            <w:r>
              <w:rPr>
                <w:b w:val="0"/>
                <w:sz w:val="15"/>
              </w:rPr>
              <w:t>External tool ecosystems</w:t>
            </w:r>
          </w:p>
        </w:tc>
        <w:tc>
          <w:tcPr>
            <w:tcW w:type="dxa" w:w="5083"/>
            <w:vAlign w:val="center"/>
          </w:tcPr>
          <w:p>
            <w:r/>
            <w:r>
              <w:rPr>
                <w:b w:val="0"/>
                <w:sz w:val="15"/>
              </w:rPr>
              <w:t>Wrap behind internal ToolDefinitions and PolicyDecision.</w:t>
            </w:r>
          </w:p>
        </w:tc>
      </w:tr>
      <w:tr>
        <w:tc>
          <w:tcPr>
            <w:tcW w:type="dxa" w:w="5083"/>
            <w:vAlign w:val="center"/>
          </w:tcPr>
          <w:p>
            <w:r/>
            <w:r>
              <w:rPr>
                <w:b w:val="0"/>
                <w:sz w:val="15"/>
              </w:rPr>
              <w:t>Configuration files</w:t>
            </w:r>
          </w:p>
        </w:tc>
        <w:tc>
          <w:tcPr>
            <w:tcW w:type="dxa" w:w="5083"/>
            <w:vAlign w:val="center"/>
          </w:tcPr>
          <w:p>
            <w:r/>
            <w:r>
              <w:rPr>
                <w:b w:val="0"/>
                <w:sz w:val="15"/>
              </w:rPr>
              <w:t>Version and validate; fail safely on invalid security-sensitive configuration.</w:t>
            </w:r>
          </w:p>
        </w:tc>
      </w:tr>
      <w:tr>
        <w:tc>
          <w:tcPr>
            <w:tcW w:type="dxa" w:w="5083"/>
            <w:vAlign w:val="center"/>
          </w:tcPr>
          <w:p>
            <w:r/>
            <w:r>
              <w:rPr>
                <w:b w:val="0"/>
                <w:sz w:val="15"/>
              </w:rPr>
              <w:t>Provider/model abstraction</w:t>
            </w:r>
          </w:p>
        </w:tc>
        <w:tc>
          <w:tcPr>
            <w:tcW w:type="dxa" w:w="5083"/>
            <w:vAlign w:val="center"/>
          </w:tcPr>
          <w:p>
            <w:r/>
            <w:r>
              <w:rPr>
                <w:b w:val="0"/>
                <w:sz w:val="15"/>
              </w:rPr>
              <w:t>Keep model gateway replaceable without changing tool/security contracts.</w:t>
            </w:r>
          </w:p>
        </w:tc>
      </w:tr>
      <w:tr>
        <w:tc>
          <w:tcPr>
            <w:tcW w:type="dxa" w:w="5083"/>
            <w:vAlign w:val="center"/>
          </w:tcPr>
          <w:p>
            <w:r/>
            <w:r>
              <w:rPr>
                <w:b w:val="0"/>
                <w:sz w:val="15"/>
              </w:rPr>
              <w:t>Agent memory</w:t>
            </w:r>
          </w:p>
        </w:tc>
        <w:tc>
          <w:tcPr>
            <w:tcW w:type="dxa" w:w="5083"/>
            <w:vAlign w:val="center"/>
          </w:tcPr>
          <w:p>
            <w:r/>
            <w:r>
              <w:rPr>
                <w:b w:val="0"/>
                <w:sz w:val="15"/>
              </w:rPr>
              <w:t>Store scoped, provenance-aware records rather than raw conversation indefinitely.</w:t>
            </w:r>
          </w:p>
        </w:tc>
      </w:tr>
      <w:tr>
        <w:tc>
          <w:tcPr>
            <w:tcW w:type="dxa" w:w="5083"/>
            <w:vAlign w:val="center"/>
          </w:tcPr>
          <w:p>
            <w:r/>
            <w:r>
              <w:rPr>
                <w:b w:val="0"/>
                <w:sz w:val="15"/>
              </w:rPr>
              <w:t>Browser/web actions</w:t>
            </w:r>
          </w:p>
        </w:tc>
        <w:tc>
          <w:tcPr>
            <w:tcW w:type="dxa" w:w="5083"/>
            <w:vAlign w:val="center"/>
          </w:tcPr>
          <w:p>
            <w:r/>
            <w:r>
              <w:rPr>
                <w:b w:val="0"/>
                <w:sz w:val="15"/>
              </w:rPr>
              <w:t>Treat as high-risk external capabilities with separate permissions.</w:t>
            </w:r>
          </w:p>
        </w:tc>
      </w:tr>
    </w:tbl>
    <w:p/>
    <w:p>
      <w:pPr>
        <w:pStyle w:val="Heading1"/>
      </w:pPr>
      <w:r>
        <w:t>7. What We Should Reject</w:t>
      </w:r>
    </w:p>
    <w:p>
      <w:pPr>
        <w:pStyle w:val="ListBullet"/>
        <w:spacing w:after="24"/>
      </w:pPr>
      <w:r>
        <w:t>Architecture in which model text directly executes arbitrary commands.</w:t>
      </w:r>
    </w:p>
    <w:p>
      <w:pPr>
        <w:pStyle w:val="ListBullet"/>
        <w:spacing w:after="24"/>
      </w:pPr>
      <w:r>
        <w:t>Client-side security assumptions.</w:t>
      </w:r>
    </w:p>
    <w:p>
      <w:pPr>
        <w:pStyle w:val="ListBullet"/>
        <w:spacing w:after="24"/>
      </w:pPr>
      <w:r>
        <w:t>Unbounded autonomous loops.</w:t>
      </w:r>
    </w:p>
    <w:p>
      <w:pPr>
        <w:pStyle w:val="ListBullet"/>
        <w:spacing w:after="24"/>
      </w:pPr>
      <w:r>
        <w:t>Silent workspace scope expansion.</w:t>
      </w:r>
    </w:p>
    <w:p>
      <w:pPr>
        <w:pStyle w:val="ListBullet"/>
        <w:spacing w:after="24"/>
      </w:pPr>
      <w:r>
        <w:t>Using repository instructions as security policy.</w:t>
      </w:r>
    </w:p>
    <w:p>
      <w:pPr>
        <w:pStyle w:val="ListBullet"/>
        <w:spacing w:after="24"/>
      </w:pPr>
      <w:r>
        <w:t>Using memory as authorization.</w:t>
      </w:r>
    </w:p>
    <w:p>
      <w:pPr>
        <w:pStyle w:val="ListBullet"/>
        <w:spacing w:after="24"/>
      </w:pPr>
      <w:r>
        <w:t>Using MCP as a bypass route.</w:t>
      </w:r>
    </w:p>
    <w:p>
      <w:pPr>
        <w:pStyle w:val="ListBullet"/>
        <w:spacing w:after="24"/>
      </w:pPr>
      <w:r>
        <w:t>Blind retry of identical failures.</w:t>
      </w:r>
    </w:p>
    <w:p>
      <w:pPr>
        <w:pStyle w:val="ListBullet"/>
        <w:spacing w:after="24"/>
      </w:pPr>
      <w:r>
        <w:t>Declaring success because the model says the task is complete.</w:t>
      </w:r>
    </w:p>
    <w:p>
      <w:pPr>
        <w:pStyle w:val="ListBullet"/>
        <w:spacing w:after="24"/>
      </w:pPr>
      <w:r>
        <w:t>Overbuilding multi-agent coordination before the single-agent control plane is reliable.</w:t>
      </w:r>
    </w:p>
    <w:p>
      <w:pPr>
        <w:pStyle w:val="ListBullet"/>
        <w:spacing w:after="24"/>
      </w:pPr>
      <w:r>
        <w:t>Copying external repository architecture wholesale.</w:t>
      </w:r>
    </w:p>
    <w:p>
      <w:pPr>
        <w:pStyle w:val="ListBullet"/>
        <w:spacing w:after="24"/>
      </w:pPr>
      <w:r>
        <w:t>Adding dependencies without license, security and maintenance review.</w:t>
      </w:r>
    </w:p>
    <w:p>
      <w:pPr>
        <w:pStyle w:val="Heading1"/>
      </w:pPr>
      <w:r>
        <w:t>8. Research-Derived Target Architecture</w:t>
      </w:r>
    </w:p>
    <w:p>
      <w:pPr>
        <w:spacing w:after="0"/>
      </w:pPr>
      <w:r>
        <w:rPr>
          <w:rFonts w:ascii="Consolas" w:hAnsi="Consolas"/>
          <w:sz w:val="15"/>
        </w:rPr>
        <w:t xml:space="preserve">                    ┌────────────────────┐</w:t>
      </w:r>
    </w:p>
    <w:p>
      <w:pPr>
        <w:spacing w:after="0"/>
      </w:pPr>
      <w:r>
        <w:rPr>
          <w:rFonts w:ascii="Consolas" w:hAnsi="Consolas"/>
          <w:sz w:val="15"/>
        </w:rPr>
        <w:t xml:space="preserve">                    │ VS Code / CLI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Client Protocol</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 Task / Orchestrator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                  ▼                  ▼</w:t>
      </w:r>
    </w:p>
    <w:p>
      <w:pPr>
        <w:spacing w:after="0"/>
      </w:pPr>
      <w:r>
        <w:rPr>
          <w:rFonts w:ascii="Consolas" w:hAnsi="Consolas"/>
          <w:sz w:val="15"/>
        </w:rPr>
        <w:t xml:space="preserve">      Context             Planner           State</w:t>
      </w:r>
    </w:p>
    <w:p>
      <w:pPr>
        <w:spacing w:after="0"/>
      </w:pPr>
      <w:r>
        <w:rPr>
          <w:rFonts w:ascii="Consolas" w:hAnsi="Consolas"/>
          <w:sz w:val="15"/>
        </w:rPr>
        <w:t xml:space="preserve">          │                  │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Tool Gateway</w:t>
      </w:r>
    </w:p>
    <w:p>
      <w:pPr>
        <w:spacing w:after="0"/>
      </w:pPr>
      <w:r>
        <w:rPr>
          <w:rFonts w:ascii="Consolas" w:hAnsi="Consolas"/>
          <w:sz w:val="15"/>
        </w:rPr>
        <w:t xml:space="preserve">                             │</w:t>
      </w:r>
    </w:p>
    <w:p>
      <w:pPr>
        <w:spacing w:after="0"/>
      </w:pPr>
      <w:r>
        <w:rPr>
          <w:rFonts w:ascii="Consolas" w:hAnsi="Consolas"/>
          <w:sz w:val="15"/>
        </w:rPr>
        <w:t xml:space="preserve">                       Policy Engine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                  ▼                  ▼</w:t>
      </w:r>
    </w:p>
    <w:p>
      <w:pPr>
        <w:spacing w:after="0"/>
      </w:pPr>
      <w:r>
        <w:rPr>
          <w:rFonts w:ascii="Consolas" w:hAnsi="Consolas"/>
          <w:sz w:val="15"/>
        </w:rPr>
        <w:t xml:space="preserve">      Workspace          Process             MCP</w:t>
      </w:r>
    </w:p>
    <w:p>
      <w:pPr>
        <w:spacing w:after="0"/>
      </w:pPr>
      <w:r>
        <w:rPr>
          <w:rFonts w:ascii="Consolas" w:hAnsi="Consolas"/>
          <w:sz w:val="15"/>
        </w:rPr>
        <w:t xml:space="preserve">       Sandbox            Sandbox            Adapter</w:t>
      </w:r>
    </w:p>
    <w:p>
      <w:pPr>
        <w:spacing w:after="0"/>
      </w:pPr>
      <w:r>
        <w:rPr>
          <w:rFonts w:ascii="Consolas" w:hAnsi="Consolas"/>
          <w:sz w:val="15"/>
        </w:rPr>
        <w:t xml:space="preserve">          │                  │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Validation Runner</w:t>
      </w:r>
    </w:p>
    <w:p>
      <w:pPr>
        <w:spacing w:after="0"/>
      </w:pPr>
      <w:r>
        <w:rPr>
          <w:rFonts w:ascii="Consolas" w:hAnsi="Consolas"/>
          <w:sz w:val="15"/>
        </w:rPr>
        <w:t xml:space="preserve">                             │</w:t>
      </w:r>
    </w:p>
    <w:p>
      <w:pPr>
        <w:spacing w:after="0"/>
      </w:pPr>
      <w:r>
        <w:rPr>
          <w:rFonts w:ascii="Consolas" w:hAnsi="Consolas"/>
          <w:sz w:val="15"/>
        </w:rPr>
        <w:t xml:space="preserve">                      Recovery Controller</w:t>
      </w:r>
    </w:p>
    <w:p>
      <w:pPr>
        <w:spacing w:after="0"/>
      </w:pPr>
      <w:r>
        <w:rPr>
          <w:rFonts w:ascii="Consolas" w:hAnsi="Consolas"/>
          <w:sz w:val="15"/>
        </w:rPr>
        <w:t xml:space="preserve">                             │</w:t>
      </w:r>
    </w:p>
    <w:p>
      <w:pPr>
        <w:spacing w:after="0"/>
      </w:pPr>
      <w:r>
        <w:rPr>
          <w:rFonts w:ascii="Consolas" w:hAnsi="Consolas"/>
          <w:sz w:val="15"/>
        </w:rPr>
        <w:t xml:space="preserve">                       Completion Gate</w:t>
      </w:r>
    </w:p>
    <w:p>
      <w:pPr>
        <w:spacing w:after="0"/>
      </w:pPr>
      <w:r>
        <w:rPr>
          <w:rFonts w:ascii="Consolas" w:hAnsi="Consolas"/>
          <w:sz w:val="15"/>
        </w:rPr>
        <w:t xml:space="preserve">                             │</w:t>
      </w:r>
    </w:p>
    <w:p>
      <w:pPr>
        <w:spacing w:after="0"/>
      </w:pPr>
      <w:r>
        <w:rPr>
          <w:rFonts w:ascii="Consolas" w:hAnsi="Consolas"/>
          <w:sz w:val="15"/>
        </w:rPr>
        <w:t xml:space="preserve">                       Audit / Evidence</w:t>
      </w:r>
    </w:p>
    <w:p>
      <w:pPr>
        <w:pStyle w:val="Heading1"/>
      </w:pPr>
      <w:r>
        <w:t>9. Research-to-Implementation Rules</w:t>
      </w:r>
    </w:p>
    <w:p>
      <w:pPr>
        <w:pStyle w:val="ListBullet"/>
        <w:spacing w:after="24"/>
      </w:pPr>
      <w:r>
        <w:t>Every external pattern enters our system only through an internal contract.</w:t>
      </w:r>
    </w:p>
    <w:p>
      <w:pPr>
        <w:pStyle w:val="ListBullet"/>
        <w:spacing w:after="24"/>
      </w:pPr>
      <w:r>
        <w:t>External code is not copied until license/security review is complete.</w:t>
      </w:r>
    </w:p>
    <w:p>
      <w:pPr>
        <w:pStyle w:val="ListBullet"/>
        <w:spacing w:after="24"/>
      </w:pPr>
      <w:r>
        <w:t>Adopted patterns must map to a locked specification.</w:t>
      </w:r>
    </w:p>
    <w:p>
      <w:pPr>
        <w:pStyle w:val="ListBullet"/>
        <w:spacing w:after="24"/>
      </w:pPr>
      <w:r>
        <w:t>Any pattern that conflicts with Security &amp; Sandbox is rejected.</w:t>
      </w:r>
    </w:p>
    <w:p>
      <w:pPr>
        <w:pStyle w:val="ListBullet"/>
        <w:spacing w:after="24"/>
      </w:pPr>
      <w:r>
        <w:t>Any pattern that creates a direct executor bypass is rejected.</w:t>
      </w:r>
    </w:p>
    <w:p>
      <w:pPr>
        <w:pStyle w:val="ListBullet"/>
        <w:spacing w:after="24"/>
      </w:pPr>
      <w:r>
        <w:t>Patterns are tested against our own acceptance criteria.</w:t>
      </w:r>
    </w:p>
    <w:p>
      <w:pPr>
        <w:pStyle w:val="ListBullet"/>
        <w:spacing w:after="24"/>
      </w:pPr>
      <w:r>
        <w:t>External repositories may inspire implementation but cannot define our completion criteria.</w:t>
      </w:r>
    </w:p>
    <w:p>
      <w:pPr>
        <w:pStyle w:val="Heading1"/>
      </w:pPr>
      <w:r>
        <w:t>10. Recommended Internal Module 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5"/>
              </w:rPr>
              <w:t>Capability</w:t>
            </w:r>
          </w:p>
        </w:tc>
        <w:tc>
          <w:tcPr>
            <w:tcW w:type="dxa" w:w="5083"/>
            <w:vAlign w:val="center"/>
            <w:shd w:fill="D9EAF7"/>
          </w:tcPr>
          <w:p>
            <w:r/>
            <w:r>
              <w:rPr>
                <w:b/>
                <w:sz w:val="15"/>
              </w:rPr>
              <w:t>Internal destination</w:t>
            </w:r>
          </w:p>
        </w:tc>
      </w:tr>
      <w:tr>
        <w:tc>
          <w:tcPr>
            <w:tcW w:type="dxa" w:w="5083"/>
            <w:vAlign w:val="center"/>
          </w:tcPr>
          <w:p>
            <w:r/>
            <w:r>
              <w:rPr>
                <w:b w:val="0"/>
                <w:sz w:val="15"/>
              </w:rPr>
              <w:t>Task orchestration</w:t>
            </w:r>
          </w:p>
        </w:tc>
        <w:tc>
          <w:tcPr>
            <w:tcW w:type="dxa" w:w="5083"/>
            <w:vAlign w:val="center"/>
          </w:tcPr>
          <w:p>
            <w:r/>
            <w:r>
              <w:rPr>
                <w:b w:val="0"/>
                <w:sz w:val="15"/>
              </w:rPr>
              <w:t>src/agent/orchestrator/</w:t>
            </w:r>
          </w:p>
        </w:tc>
      </w:tr>
      <w:tr>
        <w:tc>
          <w:tcPr>
            <w:tcW w:type="dxa" w:w="5083"/>
            <w:vAlign w:val="center"/>
          </w:tcPr>
          <w:p>
            <w:r/>
            <w:r>
              <w:rPr>
                <w:b w:val="0"/>
                <w:sz w:val="15"/>
              </w:rPr>
              <w:t>Agent state</w:t>
            </w:r>
          </w:p>
        </w:tc>
        <w:tc>
          <w:tcPr>
            <w:tcW w:type="dxa" w:w="5083"/>
            <w:vAlign w:val="center"/>
          </w:tcPr>
          <w:p>
            <w:r/>
            <w:r>
              <w:rPr>
                <w:b w:val="0"/>
                <w:sz w:val="15"/>
              </w:rPr>
              <w:t>src/agent/state/</w:t>
            </w:r>
          </w:p>
        </w:tc>
      </w:tr>
      <w:tr>
        <w:tc>
          <w:tcPr>
            <w:tcW w:type="dxa" w:w="5083"/>
            <w:vAlign w:val="center"/>
          </w:tcPr>
          <w:p>
            <w:r/>
            <w:r>
              <w:rPr>
                <w:b w:val="0"/>
                <w:sz w:val="15"/>
              </w:rPr>
              <w:t>Planning</w:t>
            </w:r>
          </w:p>
        </w:tc>
        <w:tc>
          <w:tcPr>
            <w:tcW w:type="dxa" w:w="5083"/>
            <w:vAlign w:val="center"/>
          </w:tcPr>
          <w:p>
            <w:r/>
            <w:r>
              <w:rPr>
                <w:b w:val="0"/>
                <w:sz w:val="15"/>
              </w:rPr>
              <w:t>src/agent/planning/</w:t>
            </w:r>
          </w:p>
        </w:tc>
      </w:tr>
      <w:tr>
        <w:tc>
          <w:tcPr>
            <w:tcW w:type="dxa" w:w="5083"/>
            <w:vAlign w:val="center"/>
          </w:tcPr>
          <w:p>
            <w:r/>
            <w:r>
              <w:rPr>
                <w:b w:val="0"/>
                <w:sz w:val="15"/>
              </w:rPr>
              <w:t>Tool Gateway</w:t>
            </w:r>
          </w:p>
        </w:tc>
        <w:tc>
          <w:tcPr>
            <w:tcW w:type="dxa" w:w="5083"/>
            <w:vAlign w:val="center"/>
          </w:tcPr>
          <w:p>
            <w:r/>
            <w:r>
              <w:rPr>
                <w:b w:val="0"/>
                <w:sz w:val="15"/>
              </w:rPr>
              <w:t>src/tools/gateway/</w:t>
            </w:r>
          </w:p>
        </w:tc>
      </w:tr>
      <w:tr>
        <w:tc>
          <w:tcPr>
            <w:tcW w:type="dxa" w:w="5083"/>
            <w:vAlign w:val="center"/>
          </w:tcPr>
          <w:p>
            <w:r/>
            <w:r>
              <w:rPr>
                <w:b w:val="0"/>
                <w:sz w:val="15"/>
              </w:rPr>
              <w:t>Policy</w:t>
            </w:r>
          </w:p>
        </w:tc>
        <w:tc>
          <w:tcPr>
            <w:tcW w:type="dxa" w:w="5083"/>
            <w:vAlign w:val="center"/>
          </w:tcPr>
          <w:p>
            <w:r/>
            <w:r>
              <w:rPr>
                <w:b w:val="0"/>
                <w:sz w:val="15"/>
              </w:rPr>
              <w:t>src/security/policy/</w:t>
            </w:r>
          </w:p>
        </w:tc>
      </w:tr>
      <w:tr>
        <w:tc>
          <w:tcPr>
            <w:tcW w:type="dxa" w:w="5083"/>
            <w:vAlign w:val="center"/>
          </w:tcPr>
          <w:p>
            <w:r/>
            <w:r>
              <w:rPr>
                <w:b w:val="0"/>
                <w:sz w:val="15"/>
              </w:rPr>
              <w:t>Workspace</w:t>
            </w:r>
          </w:p>
        </w:tc>
        <w:tc>
          <w:tcPr>
            <w:tcW w:type="dxa" w:w="5083"/>
            <w:vAlign w:val="center"/>
          </w:tcPr>
          <w:p>
            <w:r/>
            <w:r>
              <w:rPr>
                <w:b w:val="0"/>
                <w:sz w:val="15"/>
              </w:rPr>
              <w:t>src/workspace/</w:t>
            </w:r>
          </w:p>
        </w:tc>
      </w:tr>
      <w:tr>
        <w:tc>
          <w:tcPr>
            <w:tcW w:type="dxa" w:w="5083"/>
            <w:vAlign w:val="center"/>
          </w:tcPr>
          <w:p>
            <w:r/>
            <w:r>
              <w:rPr>
                <w:b w:val="0"/>
                <w:sz w:val="15"/>
              </w:rPr>
              <w:t>Process sandbox</w:t>
            </w:r>
          </w:p>
        </w:tc>
        <w:tc>
          <w:tcPr>
            <w:tcW w:type="dxa" w:w="5083"/>
            <w:vAlign w:val="center"/>
          </w:tcPr>
          <w:p>
            <w:r/>
            <w:r>
              <w:rPr>
                <w:b w:val="0"/>
                <w:sz w:val="15"/>
              </w:rPr>
              <w:t>src/execution/</w:t>
            </w:r>
          </w:p>
        </w:tc>
      </w:tr>
      <w:tr>
        <w:tc>
          <w:tcPr>
            <w:tcW w:type="dxa" w:w="5083"/>
            <w:vAlign w:val="center"/>
          </w:tcPr>
          <w:p>
            <w:r/>
            <w:r>
              <w:rPr>
                <w:b w:val="0"/>
                <w:sz w:val="15"/>
              </w:rPr>
              <w:t>Repository intelligence</w:t>
            </w:r>
          </w:p>
        </w:tc>
        <w:tc>
          <w:tcPr>
            <w:tcW w:type="dxa" w:w="5083"/>
            <w:vAlign w:val="center"/>
          </w:tcPr>
          <w:p>
            <w:r/>
            <w:r>
              <w:rPr>
                <w:b w:val="0"/>
                <w:sz w:val="15"/>
              </w:rPr>
              <w:t>src/repository/</w:t>
            </w:r>
          </w:p>
        </w:tc>
      </w:tr>
      <w:tr>
        <w:tc>
          <w:tcPr>
            <w:tcW w:type="dxa" w:w="5083"/>
            <w:vAlign w:val="center"/>
          </w:tcPr>
          <w:p>
            <w:r/>
            <w:r>
              <w:rPr>
                <w:b w:val="0"/>
                <w:sz w:val="15"/>
              </w:rPr>
              <w:t>Context</w:t>
            </w:r>
          </w:p>
        </w:tc>
        <w:tc>
          <w:tcPr>
            <w:tcW w:type="dxa" w:w="5083"/>
            <w:vAlign w:val="center"/>
          </w:tcPr>
          <w:p>
            <w:r/>
            <w:r>
              <w:rPr>
                <w:b w:val="0"/>
                <w:sz w:val="15"/>
              </w:rPr>
              <w:t>src/context/</w:t>
            </w:r>
          </w:p>
        </w:tc>
      </w:tr>
      <w:tr>
        <w:tc>
          <w:tcPr>
            <w:tcW w:type="dxa" w:w="5083"/>
            <w:vAlign w:val="center"/>
          </w:tcPr>
          <w:p>
            <w:r/>
            <w:r>
              <w:rPr>
                <w:b w:val="0"/>
                <w:sz w:val="15"/>
              </w:rPr>
              <w:t>Memory</w:t>
            </w:r>
          </w:p>
        </w:tc>
        <w:tc>
          <w:tcPr>
            <w:tcW w:type="dxa" w:w="5083"/>
            <w:vAlign w:val="center"/>
          </w:tcPr>
          <w:p>
            <w:r/>
            <w:r>
              <w:rPr>
                <w:b w:val="0"/>
                <w:sz w:val="15"/>
              </w:rPr>
              <w:t>src/memory/</w:t>
            </w:r>
          </w:p>
        </w:tc>
      </w:tr>
      <w:tr>
        <w:tc>
          <w:tcPr>
            <w:tcW w:type="dxa" w:w="5083"/>
            <w:vAlign w:val="center"/>
          </w:tcPr>
          <w:p>
            <w:r/>
            <w:r>
              <w:rPr>
                <w:b w:val="0"/>
                <w:sz w:val="15"/>
              </w:rPr>
              <w:t>Recovery</w:t>
            </w:r>
          </w:p>
        </w:tc>
        <w:tc>
          <w:tcPr>
            <w:tcW w:type="dxa" w:w="5083"/>
            <w:vAlign w:val="center"/>
          </w:tcPr>
          <w:p>
            <w:r/>
            <w:r>
              <w:rPr>
                <w:b w:val="0"/>
                <w:sz w:val="15"/>
              </w:rPr>
              <w:t>src/recovery/</w:t>
            </w:r>
          </w:p>
        </w:tc>
      </w:tr>
      <w:tr>
        <w:tc>
          <w:tcPr>
            <w:tcW w:type="dxa" w:w="5083"/>
            <w:vAlign w:val="center"/>
          </w:tcPr>
          <w:p>
            <w:r/>
            <w:r>
              <w:rPr>
                <w:b w:val="0"/>
                <w:sz w:val="15"/>
              </w:rPr>
              <w:t>Validation</w:t>
            </w:r>
          </w:p>
        </w:tc>
        <w:tc>
          <w:tcPr>
            <w:tcW w:type="dxa" w:w="5083"/>
            <w:vAlign w:val="center"/>
          </w:tcPr>
          <w:p>
            <w:r/>
            <w:r>
              <w:rPr>
                <w:b w:val="0"/>
                <w:sz w:val="15"/>
              </w:rPr>
              <w:t>src/validation/</w:t>
            </w:r>
          </w:p>
        </w:tc>
      </w:tr>
      <w:tr>
        <w:tc>
          <w:tcPr>
            <w:tcW w:type="dxa" w:w="5083"/>
            <w:vAlign w:val="center"/>
          </w:tcPr>
          <w:p>
            <w:r/>
            <w:r>
              <w:rPr>
                <w:b w:val="0"/>
                <w:sz w:val="15"/>
              </w:rPr>
              <w:t>Git</w:t>
            </w:r>
          </w:p>
        </w:tc>
        <w:tc>
          <w:tcPr>
            <w:tcW w:type="dxa" w:w="5083"/>
            <w:vAlign w:val="center"/>
          </w:tcPr>
          <w:p>
            <w:r/>
            <w:r>
              <w:rPr>
                <w:b w:val="0"/>
                <w:sz w:val="15"/>
              </w:rPr>
              <w:t>src/git/</w:t>
            </w:r>
          </w:p>
        </w:tc>
      </w:tr>
      <w:tr>
        <w:tc>
          <w:tcPr>
            <w:tcW w:type="dxa" w:w="5083"/>
            <w:vAlign w:val="center"/>
          </w:tcPr>
          <w:p>
            <w:r/>
            <w:r>
              <w:rPr>
                <w:b w:val="0"/>
                <w:sz w:val="15"/>
              </w:rPr>
              <w:t>MCP</w:t>
            </w:r>
          </w:p>
        </w:tc>
        <w:tc>
          <w:tcPr>
            <w:tcW w:type="dxa" w:w="5083"/>
            <w:vAlign w:val="center"/>
          </w:tcPr>
          <w:p>
            <w:r/>
            <w:r>
              <w:rPr>
                <w:b w:val="0"/>
                <w:sz w:val="15"/>
              </w:rPr>
              <w:t>src/tools/mcp/</w:t>
            </w:r>
          </w:p>
        </w:tc>
      </w:tr>
      <w:tr>
        <w:tc>
          <w:tcPr>
            <w:tcW w:type="dxa" w:w="5083"/>
            <w:vAlign w:val="center"/>
          </w:tcPr>
          <w:p>
            <w:r/>
            <w:r>
              <w:rPr>
                <w:b w:val="0"/>
                <w:sz w:val="15"/>
              </w:rPr>
              <w:t>Audit</w:t>
            </w:r>
          </w:p>
        </w:tc>
        <w:tc>
          <w:tcPr>
            <w:tcW w:type="dxa" w:w="5083"/>
            <w:vAlign w:val="center"/>
          </w:tcPr>
          <w:p>
            <w:r/>
            <w:r>
              <w:rPr>
                <w:b w:val="0"/>
                <w:sz w:val="15"/>
              </w:rPr>
              <w:t>src/audit/</w:t>
            </w:r>
          </w:p>
        </w:tc>
      </w:tr>
      <w:tr>
        <w:tc>
          <w:tcPr>
            <w:tcW w:type="dxa" w:w="5083"/>
            <w:vAlign w:val="center"/>
          </w:tcPr>
          <w:p>
            <w:r/>
            <w:r>
              <w:rPr>
                <w:b w:val="0"/>
                <w:sz w:val="15"/>
              </w:rPr>
              <w:t>VS Code</w:t>
            </w:r>
          </w:p>
        </w:tc>
        <w:tc>
          <w:tcPr>
            <w:tcW w:type="dxa" w:w="5083"/>
            <w:vAlign w:val="center"/>
          </w:tcPr>
          <w:p>
            <w:r/>
            <w:r>
              <w:rPr>
                <w:b w:val="0"/>
                <w:sz w:val="15"/>
              </w:rPr>
              <w:t>vscode-extension/</w:t>
            </w:r>
          </w:p>
        </w:tc>
      </w:tr>
      <w:tr>
        <w:tc>
          <w:tcPr>
            <w:tcW w:type="dxa" w:w="5083"/>
            <w:vAlign w:val="center"/>
          </w:tcPr>
          <w:p>
            <w:r/>
            <w:r>
              <w:rPr>
                <w:b w:val="0"/>
                <w:sz w:val="15"/>
              </w:rPr>
              <w:t>CLI</w:t>
            </w:r>
          </w:p>
        </w:tc>
        <w:tc>
          <w:tcPr>
            <w:tcW w:type="dxa" w:w="5083"/>
            <w:vAlign w:val="center"/>
          </w:tcPr>
          <w:p>
            <w:r/>
            <w:r>
              <w:rPr>
                <w:b w:val="0"/>
                <w:sz w:val="15"/>
              </w:rPr>
              <w:t>cli/</w:t>
            </w:r>
          </w:p>
        </w:tc>
      </w:tr>
    </w:tbl>
    <w:p/>
    <w:p>
      <w:pPr>
        <w:pStyle w:val="Heading1"/>
      </w:pPr>
      <w:r>
        <w:t>11. Research-Derived Testing Priorities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5"/>
              </w:rPr>
              <w:t>Priority</w:t>
            </w:r>
          </w:p>
        </w:tc>
        <w:tc>
          <w:tcPr>
            <w:tcW w:type="dxa" w:w="5083"/>
            <w:vAlign w:val="center"/>
            <w:shd w:fill="D9EAF7"/>
          </w:tcPr>
          <w:p>
            <w:r/>
            <w:r>
              <w:rPr>
                <w:b/>
                <w:sz w:val="15"/>
              </w:rPr>
              <w:t>Tests</w:t>
            </w:r>
          </w:p>
        </w:tc>
      </w:tr>
      <w:tr>
        <w:tc>
          <w:tcPr>
            <w:tcW w:type="dxa" w:w="5083"/>
            <w:vAlign w:val="center"/>
          </w:tcPr>
          <w:p>
            <w:r/>
            <w:r>
              <w:rPr>
                <w:b w:val="0"/>
                <w:sz w:val="15"/>
              </w:rPr>
              <w:t>P0 Critical</w:t>
            </w:r>
          </w:p>
        </w:tc>
        <w:tc>
          <w:tcPr>
            <w:tcW w:type="dxa" w:w="5083"/>
            <w:vAlign w:val="center"/>
          </w:tcPr>
          <w:p>
            <w:r/>
            <w:r>
              <w:rPr>
                <w:b w:val="0"/>
                <w:sz w:val="15"/>
              </w:rPr>
              <w:t>Policy bypass, workspace escape, secret leakage, false completion</w:t>
            </w:r>
          </w:p>
        </w:tc>
      </w:tr>
      <w:tr>
        <w:tc>
          <w:tcPr>
            <w:tcW w:type="dxa" w:w="5083"/>
            <w:vAlign w:val="center"/>
          </w:tcPr>
          <w:p>
            <w:r/>
            <w:r>
              <w:rPr>
                <w:b w:val="0"/>
                <w:sz w:val="15"/>
              </w:rPr>
              <w:t>P1 Critical</w:t>
            </w:r>
          </w:p>
        </w:tc>
        <w:tc>
          <w:tcPr>
            <w:tcW w:type="dxa" w:w="5083"/>
            <w:vAlign w:val="center"/>
          </w:tcPr>
          <w:p>
            <w:r/>
            <w:r>
              <w:rPr>
                <w:b w:val="0"/>
                <w:sz w:val="15"/>
              </w:rPr>
              <w:t>Tool schema/authorization, process sandbox, patch scope, recovery loops</w:t>
            </w:r>
          </w:p>
        </w:tc>
      </w:tr>
      <w:tr>
        <w:tc>
          <w:tcPr>
            <w:tcW w:type="dxa" w:w="5083"/>
            <w:vAlign w:val="center"/>
          </w:tcPr>
          <w:p>
            <w:r/>
            <w:r>
              <w:rPr>
                <w:b w:val="0"/>
                <w:sz w:val="15"/>
              </w:rPr>
              <w:t>P1 High</w:t>
            </w:r>
          </w:p>
        </w:tc>
        <w:tc>
          <w:tcPr>
            <w:tcW w:type="dxa" w:w="5083"/>
            <w:vAlign w:val="center"/>
          </w:tcPr>
          <w:p>
            <w:r/>
            <w:r>
              <w:rPr>
                <w:b w:val="0"/>
                <w:sz w:val="15"/>
              </w:rPr>
              <w:t>Prompt injection, MCP boundary, user-change preservation</w:t>
            </w:r>
          </w:p>
        </w:tc>
      </w:tr>
      <w:tr>
        <w:tc>
          <w:tcPr>
            <w:tcW w:type="dxa" w:w="5083"/>
            <w:vAlign w:val="center"/>
          </w:tcPr>
          <w:p>
            <w:r/>
            <w:r>
              <w:rPr>
                <w:b w:val="0"/>
                <w:sz w:val="15"/>
              </w:rPr>
              <w:t>P2 High</w:t>
            </w:r>
          </w:p>
        </w:tc>
        <w:tc>
          <w:tcPr>
            <w:tcW w:type="dxa" w:w="5083"/>
            <w:vAlign w:val="center"/>
          </w:tcPr>
          <w:p>
            <w:r/>
            <w:r>
              <w:rPr>
                <w:b w:val="0"/>
                <w:sz w:val="15"/>
              </w:rPr>
              <w:t>Repository context freshness, memory isolation, validation evidence</w:t>
            </w:r>
          </w:p>
        </w:tc>
      </w:tr>
      <w:tr>
        <w:tc>
          <w:tcPr>
            <w:tcW w:type="dxa" w:w="5083"/>
            <w:vAlign w:val="center"/>
          </w:tcPr>
          <w:p>
            <w:r/>
            <w:r>
              <w:rPr>
                <w:b w:val="0"/>
                <w:sz w:val="15"/>
              </w:rPr>
              <w:t>P2 High</w:t>
            </w:r>
          </w:p>
        </w:tc>
        <w:tc>
          <w:tcPr>
            <w:tcW w:type="dxa" w:w="5083"/>
            <w:vAlign w:val="center"/>
          </w:tcPr>
          <w:p>
            <w:r/>
            <w:r>
              <w:rPr>
                <w:b w:val="0"/>
                <w:sz w:val="15"/>
              </w:rPr>
              <w:t>Client/runtime protocol and reconnect safety</w:t>
            </w:r>
          </w:p>
        </w:tc>
      </w:tr>
      <w:tr>
        <w:tc>
          <w:tcPr>
            <w:tcW w:type="dxa" w:w="5083"/>
            <w:vAlign w:val="center"/>
          </w:tcPr>
          <w:p>
            <w:r/>
            <w:r>
              <w:rPr>
                <w:b w:val="0"/>
                <w:sz w:val="15"/>
              </w:rPr>
              <w:t>P3 Medium</w:t>
            </w:r>
          </w:p>
        </w:tc>
        <w:tc>
          <w:tcPr>
            <w:tcW w:type="dxa" w:w="5083"/>
            <w:vAlign w:val="center"/>
          </w:tcPr>
          <w:p>
            <w:r/>
            <w:r>
              <w:rPr>
                <w:b w:val="0"/>
                <w:sz w:val="15"/>
              </w:rPr>
              <w:t>Multi-agent coordination, advanced customization, performance</w:t>
            </w:r>
          </w:p>
        </w:tc>
      </w:tr>
      <w:tr>
        <w:tc>
          <w:tcPr>
            <w:tcW w:type="dxa" w:w="5083"/>
            <w:vAlign w:val="center"/>
          </w:tcPr>
          <w:p>
            <w:r/>
            <w:r>
              <w:rPr>
                <w:b w:val="0"/>
                <w:sz w:val="15"/>
              </w:rPr>
              <w:t>P4 Later</w:t>
            </w:r>
          </w:p>
        </w:tc>
        <w:tc>
          <w:tcPr>
            <w:tcW w:type="dxa" w:w="5083"/>
            <w:vAlign w:val="center"/>
          </w:tcPr>
          <w:p>
            <w:r/>
            <w:r>
              <w:rPr>
                <w:b w:val="0"/>
                <w:sz w:val="15"/>
              </w:rPr>
              <w:t>Experimental autonomy patterns and optional ecosystem integrations</w:t>
            </w:r>
          </w:p>
        </w:tc>
      </w:tr>
    </w:tbl>
    <w:p/>
    <w:p>
      <w:pPr>
        <w:pStyle w:val="Heading1"/>
      </w:pPr>
      <w:r>
        <w:t>12. Research-Derived Implementation Priorities</w:t>
      </w:r>
    </w:p>
    <w:p>
      <w:pPr>
        <w:spacing w:after="0"/>
      </w:pPr>
      <w:r>
        <w:rPr>
          <w:rFonts w:ascii="Consolas" w:hAnsi="Consolas"/>
          <w:sz w:val="15"/>
        </w:rPr>
        <w:t>Priority 1  — Control Plane</w:t>
      </w:r>
    </w:p>
    <w:p>
      <w:pPr>
        <w:spacing w:after="0"/>
      </w:pPr>
      <w:r>
        <w:rPr>
          <w:rFonts w:ascii="Consolas" w:hAnsi="Consolas"/>
          <w:sz w:val="15"/>
        </w:rPr>
        <w:t xml:space="preserve">  Contracts + State + Tool Gateway + Policy + Security</w:t>
      </w:r>
    </w:p>
    <w:p>
      <w:pPr>
        <w:spacing w:after="0"/>
      </w:pPr>
      <w:r>
        <w:rPr>
          <w:rFonts w:ascii="Consolas" w:hAnsi="Consolas"/>
          <w:sz w:val="15"/>
        </w:rPr>
      </w:r>
    </w:p>
    <w:p>
      <w:pPr>
        <w:spacing w:after="0"/>
      </w:pPr>
      <w:r>
        <w:rPr>
          <w:rFonts w:ascii="Consolas" w:hAnsi="Consolas"/>
          <w:sz w:val="15"/>
        </w:rPr>
        <w:t>Priority 2  — Safe Execution Plane</w:t>
      </w:r>
    </w:p>
    <w:p>
      <w:pPr>
        <w:spacing w:after="0"/>
      </w:pPr>
      <w:r>
        <w:rPr>
          <w:rFonts w:ascii="Consolas" w:hAnsi="Consolas"/>
          <w:sz w:val="15"/>
        </w:rPr>
        <w:t xml:space="preserve">  Workspace + Process + Patch + Git + Validation</w:t>
      </w:r>
    </w:p>
    <w:p>
      <w:pPr>
        <w:spacing w:after="0"/>
      </w:pPr>
      <w:r>
        <w:rPr>
          <w:rFonts w:ascii="Consolas" w:hAnsi="Consolas"/>
          <w:sz w:val="15"/>
        </w:rPr>
      </w:r>
    </w:p>
    <w:p>
      <w:pPr>
        <w:spacing w:after="0"/>
      </w:pPr>
      <w:r>
        <w:rPr>
          <w:rFonts w:ascii="Consolas" w:hAnsi="Consolas"/>
          <w:sz w:val="15"/>
        </w:rPr>
        <w:t>Priority 3  — Intelligence Plane</w:t>
      </w:r>
    </w:p>
    <w:p>
      <w:pPr>
        <w:spacing w:after="0"/>
      </w:pPr>
      <w:r>
        <w:rPr>
          <w:rFonts w:ascii="Consolas" w:hAnsi="Consolas"/>
          <w:sz w:val="15"/>
        </w:rPr>
        <w:t xml:space="preserve">  Repository Intelligence + Context + Memory + Planning</w:t>
      </w:r>
    </w:p>
    <w:p>
      <w:pPr>
        <w:spacing w:after="0"/>
      </w:pPr>
      <w:r>
        <w:rPr>
          <w:rFonts w:ascii="Consolas" w:hAnsi="Consolas"/>
          <w:sz w:val="15"/>
        </w:rPr>
      </w:r>
    </w:p>
    <w:p>
      <w:pPr>
        <w:spacing w:after="0"/>
      </w:pPr>
      <w:r>
        <w:rPr>
          <w:rFonts w:ascii="Consolas" w:hAnsi="Consolas"/>
          <w:sz w:val="15"/>
        </w:rPr>
        <w:t>Priority 4  — Agent Loop</w:t>
      </w:r>
    </w:p>
    <w:p>
      <w:pPr>
        <w:spacing w:after="0"/>
      </w:pPr>
      <w:r>
        <w:rPr>
          <w:rFonts w:ascii="Consolas" w:hAnsi="Consolas"/>
          <w:sz w:val="15"/>
        </w:rPr>
        <w:t xml:space="preserve">  Orchestration + Behaviour + Recovery + Completion</w:t>
      </w:r>
    </w:p>
    <w:p>
      <w:pPr>
        <w:spacing w:after="0"/>
      </w:pPr>
      <w:r>
        <w:rPr>
          <w:rFonts w:ascii="Consolas" w:hAnsi="Consolas"/>
          <w:sz w:val="15"/>
        </w:rPr>
      </w:r>
    </w:p>
    <w:p>
      <w:pPr>
        <w:spacing w:after="0"/>
      </w:pPr>
      <w:r>
        <w:rPr>
          <w:rFonts w:ascii="Consolas" w:hAnsi="Consolas"/>
          <w:sz w:val="15"/>
        </w:rPr>
        <w:t>Priority 5  — Client Plane</w:t>
      </w:r>
    </w:p>
    <w:p>
      <w:pPr>
        <w:spacing w:after="0"/>
      </w:pPr>
      <w:r>
        <w:rPr>
          <w:rFonts w:ascii="Consolas" w:hAnsi="Consolas"/>
          <w:sz w:val="15"/>
        </w:rPr>
        <w:t xml:space="preserve">  VS Code + CLI + Protocol + UX</w:t>
      </w:r>
    </w:p>
    <w:p>
      <w:pPr>
        <w:spacing w:after="0"/>
      </w:pPr>
      <w:r>
        <w:rPr>
          <w:rFonts w:ascii="Consolas" w:hAnsi="Consolas"/>
          <w:sz w:val="15"/>
        </w:rPr>
      </w:r>
    </w:p>
    <w:p>
      <w:pPr>
        <w:spacing w:after="0"/>
      </w:pPr>
      <w:r>
        <w:rPr>
          <w:rFonts w:ascii="Consolas" w:hAnsi="Consolas"/>
          <w:sz w:val="15"/>
        </w:rPr>
        <w:t>Priority 6  — Scale/Optimization</w:t>
      </w:r>
    </w:p>
    <w:p>
      <w:pPr>
        <w:spacing w:after="0"/>
      </w:pPr>
      <w:r>
        <w:rPr>
          <w:rFonts w:ascii="Consolas" w:hAnsi="Consolas"/>
          <w:sz w:val="15"/>
        </w:rPr>
        <w:t xml:space="preserve">  Multi-agent + advanced MCP + performance + provider optimization</w:t>
      </w:r>
    </w:p>
    <w:p>
      <w:pPr>
        <w:pStyle w:val="Heading1"/>
      </w:pPr>
      <w:r>
        <w:t>13. Multi-Agent Strategy Decision</w:t>
      </w:r>
    </w:p>
    <w:p>
      <w:r>
        <w:rPr>
          <w:b/>
        </w:rPr>
        <w:t>Decision: ADAPT, not default.</w:t>
      </w:r>
      <w:r>
        <w:t xml:space="preserve"> Multi-agent research demonstrates useful specialization and coordination patterns, but our v1 implementation should establish a reliable single-agent control plane first.</w:t>
      </w:r>
    </w:p>
    <w:p>
      <w:pPr>
        <w:pStyle w:val="ListBullet"/>
        <w:spacing w:after="24"/>
      </w:pPr>
      <w:r>
        <w:t>Specialized agents may be introduced behind the same Task/Tool/Policy/Context contracts.</w:t>
      </w:r>
    </w:p>
    <w:p>
      <w:pPr>
        <w:pStyle w:val="ListBullet"/>
        <w:spacing w:after="24"/>
      </w:pPr>
      <w:r>
        <w:t>Every sub-agent receives scoped context and capabilities.</w:t>
      </w:r>
    </w:p>
    <w:p>
      <w:pPr>
        <w:pStyle w:val="ListBullet"/>
        <w:spacing w:after="24"/>
      </w:pPr>
      <w:r>
        <w:t>Sub-agents cannot bypass the parent task's policy.</w:t>
      </w:r>
    </w:p>
    <w:p>
      <w:pPr>
        <w:pStyle w:val="ListBullet"/>
        <w:spacing w:after="24"/>
      </w:pPr>
      <w:r>
        <w:t>Cross-agent messages are untrusted data until interpreted by the orchestrator.</w:t>
      </w:r>
    </w:p>
    <w:p>
      <w:pPr>
        <w:pStyle w:val="ListBullet"/>
        <w:spacing w:after="24"/>
      </w:pPr>
      <w:r>
        <w:t>Shared memory must remain scoped and provenance-aware.</w:t>
      </w:r>
    </w:p>
    <w:p>
      <w:pPr>
        <w:pStyle w:val="ListBullet"/>
        <w:spacing w:after="24"/>
      </w:pPr>
      <w:r>
        <w:t>Coordination budgets prevent agent-to-agent loops.</w:t>
      </w:r>
    </w:p>
    <w:p>
      <w:pPr>
        <w:pStyle w:val="Heading1"/>
      </w:pPr>
      <w:r>
        <w:t>14. MCP Strategy Decision</w:t>
      </w:r>
    </w:p>
    <w:p>
      <w:r>
        <w:rPr>
          <w:b/>
        </w:rPr>
        <w:t>Decision: ADOPT with strict boundary.</w:t>
      </w:r>
    </w:p>
    <w:p>
      <w:pPr>
        <w:pStyle w:val="ListBullet"/>
        <w:spacing w:after="24"/>
      </w:pPr>
      <w:r>
        <w:t>MCP is a capability transport/integration mechanism, not a security authority.</w:t>
      </w:r>
    </w:p>
    <w:p>
      <w:pPr>
        <w:pStyle w:val="ListBullet"/>
        <w:spacing w:after="24"/>
      </w:pPr>
      <w:r>
        <w:t>Every MCP tool maps to an internal tool definition.</w:t>
      </w:r>
    </w:p>
    <w:p>
      <w:pPr>
        <w:pStyle w:val="ListBullet"/>
        <w:spacing w:after="24"/>
      </w:pPr>
      <w:r>
        <w:t>All requests pass the same authorization path.</w:t>
      </w:r>
    </w:p>
    <w:p>
      <w:pPr>
        <w:pStyle w:val="ListBullet"/>
        <w:spacing w:after="24"/>
      </w:pPr>
      <w:r>
        <w:t>MCP results remain untrusted.</w:t>
      </w:r>
    </w:p>
    <w:p>
      <w:pPr>
        <w:pStyle w:val="ListBullet"/>
        <w:spacing w:after="24"/>
      </w:pPr>
      <w:r>
        <w:t>Server/tool identity is audited.</w:t>
      </w:r>
    </w:p>
    <w:p>
      <w:pPr>
        <w:pStyle w:val="ListBullet"/>
        <w:spacing w:after="24"/>
      </w:pPr>
      <w:r>
        <w:t>MCP capability expansion requires security tests.</w:t>
      </w:r>
    </w:p>
    <w:p>
      <w:pPr>
        <w:pStyle w:val="Heading1"/>
      </w:pPr>
      <w:r>
        <w:t>15. Configuration Strategy Decision</w:t>
      </w:r>
    </w:p>
    <w:p>
      <w:r>
        <w:rPr>
          <w:b/>
        </w:rPr>
        <w:t>Decision: ADAPT.</w:t>
      </w:r>
      <w:r>
        <w:t xml:space="preserve"> Continue's public documentation illustrates a configuration-driven agent model in which models, rules, context providers and MCP tools can be composed. citeturn0search12</w:t>
      </w:r>
    </w:p>
    <w:p>
      <w:pPr>
        <w:pStyle w:val="ListBullet"/>
        <w:spacing w:after="24"/>
      </w:pPr>
      <w:r>
        <w:t>Our configuration layer should make behavior/profile composition easy.</w:t>
      </w:r>
    </w:p>
    <w:p>
      <w:pPr>
        <w:pStyle w:val="ListBullet"/>
        <w:spacing w:after="24"/>
      </w:pPr>
      <w:r>
        <w:t>Security policy remains outside ordinary behavior configuration.</w:t>
      </w:r>
    </w:p>
    <w:p>
      <w:pPr>
        <w:pStyle w:val="ListBullet"/>
        <w:spacing w:after="24"/>
      </w:pPr>
      <w:r>
        <w:t>Invalid security-sensitive configuration fails closed.</w:t>
      </w:r>
    </w:p>
    <w:p>
      <w:pPr>
        <w:pStyle w:val="ListBullet"/>
        <w:spacing w:after="24"/>
      </w:pPr>
      <w:r>
        <w:t>Configuration versions are traceable.</w:t>
      </w:r>
    </w:p>
    <w:p>
      <w:pPr>
        <w:pStyle w:val="ListBullet"/>
        <w:spacing w:after="24"/>
      </w:pPr>
      <w:r>
        <w:t>Project configuration is treated as input, not authority over hard policy.</w:t>
      </w:r>
    </w:p>
    <w:p>
      <w:pPr>
        <w:pStyle w:val="Heading1"/>
      </w:pPr>
      <w:r>
        <w:t>16. IDE Strategy Decision</w:t>
      </w:r>
    </w:p>
    <w:p>
      <w:r>
        <w:rPr>
          <w:b/>
        </w:rPr>
        <w:t>Decision: ADOPT IDE-native workflow, preserve runtime authority.</w:t>
      </w:r>
      <w:r>
        <w:t>Roo Code and Continue demonstrate the value of deep IDE integration; Roo Code publicly describes an editor-resident agent with file, terminal, browser and custom-mode capabilities, while Continue supports IDE and CLI agent workflows. citeturn0search3turn0search6</w:t>
      </w:r>
    </w:p>
    <w:p>
      <w:pPr>
        <w:pStyle w:val="ListBullet"/>
        <w:spacing w:after="24"/>
      </w:pPr>
      <w:r>
        <w:t>VS Code is the primary client in our roadmap.</w:t>
      </w:r>
    </w:p>
    <w:p>
      <w:pPr>
        <w:pStyle w:val="ListBullet"/>
        <w:spacing w:after="24"/>
      </w:pPr>
      <w:r>
        <w:t>CLI is a parallel client, not a separate core runtime.</w:t>
      </w:r>
    </w:p>
    <w:p>
      <w:pPr>
        <w:pStyle w:val="ListBullet"/>
        <w:spacing w:after="24"/>
      </w:pPr>
      <w:r>
        <w:t>Both clients use the same runtime contracts.</w:t>
      </w:r>
    </w:p>
    <w:p>
      <w:pPr>
        <w:pStyle w:val="ListBullet"/>
        <w:spacing w:after="24"/>
      </w:pPr>
      <w:r>
        <w:t>Neither client owns security authorization.</w:t>
      </w:r>
    </w:p>
    <w:p>
      <w:pPr>
        <w:pStyle w:val="Heading1"/>
      </w:pPr>
      <w:r>
        <w:t>17. Sandbox Strategy Decision</w:t>
      </w:r>
    </w:p>
    <w:p>
      <w:r>
        <w:rPr>
          <w:b/>
        </w:rPr>
        <w:t>Decision: ADOPT defense-in-depth sandboxing.</w:t>
      </w:r>
      <w:r>
        <w:t>OpenHands publicly documents a Docker-oriented runtime model for software-development agents, reinforcing the value of an explicit execution boundary. citeturn0search14</w:t>
      </w:r>
    </w:p>
    <w:p>
      <w:pPr>
        <w:pStyle w:val="ListBullet"/>
        <w:spacing w:after="24"/>
      </w:pPr>
      <w:r>
        <w:t>Our sandbox design remains platform-aware and policy-controlled.</w:t>
      </w:r>
    </w:p>
    <w:p>
      <w:pPr>
        <w:pStyle w:val="ListBullet"/>
        <w:spacing w:after="24"/>
      </w:pPr>
      <w:r>
        <w:t>Containerization may be one implementation option, not the only architecture.</w:t>
      </w:r>
    </w:p>
    <w:p>
      <w:pPr>
        <w:pStyle w:val="ListBullet"/>
        <w:spacing w:after="24"/>
      </w:pPr>
      <w:r>
        <w:t>Workspace, process, network and secret boundaries remain independently testable.</w:t>
      </w:r>
    </w:p>
    <w:p>
      <w:pPr>
        <w:pStyle w:val="Heading1"/>
      </w:pPr>
      <w:r>
        <w:t>18. Evaluation Strategy</w:t>
      </w:r>
    </w:p>
    <w:p>
      <w:pPr>
        <w:pStyle w:val="ListBullet"/>
        <w:spacing w:after="24"/>
      </w:pPr>
      <w:r>
        <w:t>Evaluate task success and safety separately.</w:t>
      </w:r>
    </w:p>
    <w:p>
      <w:pPr>
        <w:pStyle w:val="ListBullet"/>
        <w:spacing w:after="24"/>
      </w:pPr>
      <w:r>
        <w:t>Track false completion explicitly.</w:t>
      </w:r>
    </w:p>
    <w:p>
      <w:pPr>
        <w:pStyle w:val="ListBullet"/>
        <w:spacing w:after="24"/>
      </w:pPr>
      <w:r>
        <w:t>Measure validation pass rate and recovery success.</w:t>
      </w:r>
    </w:p>
    <w:p>
      <w:pPr>
        <w:pStyle w:val="ListBullet"/>
        <w:spacing w:after="24"/>
      </w:pPr>
      <w:r>
        <w:t>Measure security bypass attempts and zero successful bypasses.</w:t>
      </w:r>
    </w:p>
    <w:p>
      <w:pPr>
        <w:pStyle w:val="ListBullet"/>
        <w:spacing w:after="24"/>
      </w:pPr>
      <w:r>
        <w:t>Benchmark repository/context handling on representative repositories.</w:t>
      </w:r>
    </w:p>
    <w:p>
      <w:pPr>
        <w:pStyle w:val="ListBullet"/>
        <w:spacing w:after="24"/>
      </w:pPr>
      <w:r>
        <w:t>Compare single-agent vs specialized-agent workflows only after baseline reliability is established.</w:t>
      </w:r>
    </w:p>
    <w:p>
      <w:pPr>
        <w:pStyle w:val="ListBullet"/>
        <w:spacing w:after="24"/>
      </w:pPr>
      <w:r>
        <w:t>Use reproducible fixtures and evidence rather than subjective model confidence.</w:t>
      </w:r>
    </w:p>
    <w:p>
      <w:pPr>
        <w:pStyle w:val="Heading1"/>
      </w:pPr>
      <w:r>
        <w:t>19. Research Gaps &amp; Follow-up</w:t>
      </w:r>
    </w:p>
    <w:p>
      <w:pPr>
        <w:pStyle w:val="ListBullet"/>
        <w:spacing w:after="24"/>
      </w:pPr>
      <w:r>
        <w:t>Detailed file-level architecture findings from the original ten-repository deep-research notes should remain archived with the research artifacts.</w:t>
      </w:r>
    </w:p>
    <w:p>
      <w:pPr>
        <w:pStyle w:val="ListBullet"/>
        <w:spacing w:after="24"/>
      </w:pPr>
      <w:r>
        <w:t>License status must be verified for any code actually imported.</w:t>
      </w:r>
    </w:p>
    <w:p>
      <w:pPr>
        <w:pStyle w:val="ListBullet"/>
        <w:spacing w:after="24"/>
      </w:pPr>
      <w:r>
        <w:t>Dependency health and maintenance status must be rechecked immediately before implementation adoption.</w:t>
      </w:r>
    </w:p>
    <w:p>
      <w:pPr>
        <w:pStyle w:val="ListBullet"/>
        <w:spacing w:after="24"/>
      </w:pPr>
      <w:r>
        <w:t>Security posture must be assessed for each external dependency/MCP server.</w:t>
      </w:r>
    </w:p>
    <w:p>
      <w:pPr>
        <w:pStyle w:val="ListBullet"/>
        <w:spacing w:after="24"/>
      </w:pPr>
      <w:r>
        <w:t>Performance claims from external projects must not be assumed to apply to our runtime.</w:t>
      </w:r>
    </w:p>
    <w:p>
      <w:pPr>
        <w:pStyle w:val="ListBullet"/>
        <w:spacing w:after="24"/>
      </w:pPr>
      <w:r>
        <w:t>Repository-specific implementation details may change over time; locked internal specifications take precedence.</w:t>
      </w:r>
    </w:p>
    <w:p>
      <w:pPr>
        <w:pStyle w:val="Heading1"/>
      </w:pPr>
      <w:r>
        <w:t>20. Research-to-Decision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
              <w:rPr>
                <w:b/>
                <w:sz w:val="15"/>
              </w:rPr>
              <w:t>Capability</w:t>
            </w:r>
          </w:p>
        </w:tc>
        <w:tc>
          <w:tcPr>
            <w:tcW w:type="dxa" w:w="2541"/>
            <w:vAlign w:val="center"/>
            <w:shd w:fill="D9EAF7"/>
          </w:tcPr>
          <w:p>
            <w:r/>
            <w:r>
              <w:rPr>
                <w:b/>
                <w:sz w:val="15"/>
              </w:rPr>
              <w:t>Evidence pattern</w:t>
            </w:r>
          </w:p>
        </w:tc>
        <w:tc>
          <w:tcPr>
            <w:tcW w:type="dxa" w:w="2541"/>
            <w:vAlign w:val="center"/>
            <w:shd w:fill="D9EAF7"/>
          </w:tcPr>
          <w:p>
            <w:r/>
            <w:r>
              <w:rPr>
                <w:b/>
                <w:sz w:val="15"/>
              </w:rPr>
              <w:t>Decision</w:t>
            </w:r>
          </w:p>
        </w:tc>
        <w:tc>
          <w:tcPr>
            <w:tcW w:type="dxa" w:w="2541"/>
            <w:vAlign w:val="center"/>
            <w:shd w:fill="D9EAF7"/>
          </w:tcPr>
          <w:p>
            <w:r/>
            <w:r>
              <w:rPr>
                <w:b/>
                <w:sz w:val="15"/>
              </w:rPr>
              <w:t>Reason</w:t>
            </w:r>
          </w:p>
        </w:tc>
      </w:tr>
      <w:tr>
        <w:tc>
          <w:tcPr>
            <w:tcW w:type="dxa" w:w="2541"/>
            <w:vAlign w:val="center"/>
          </w:tcPr>
          <w:p>
            <w:r/>
            <w:r>
              <w:rPr>
                <w:b w:val="0"/>
                <w:sz w:val="15"/>
              </w:rPr>
              <w:t>IDE agent</w:t>
            </w:r>
          </w:p>
        </w:tc>
        <w:tc>
          <w:tcPr>
            <w:tcW w:type="dxa" w:w="2541"/>
            <w:vAlign w:val="center"/>
          </w:tcPr>
          <w:p>
            <w:r/>
            <w:r>
              <w:rPr>
                <w:b w:val="0"/>
                <w:sz w:val="15"/>
              </w:rPr>
              <w:t>Roo/Continue</w:t>
            </w:r>
          </w:p>
        </w:tc>
        <w:tc>
          <w:tcPr>
            <w:tcW w:type="dxa" w:w="2541"/>
            <w:vAlign w:val="center"/>
          </w:tcPr>
          <w:p>
            <w:r/>
            <w:r>
              <w:rPr>
                <w:b w:val="0"/>
                <w:sz w:val="15"/>
              </w:rPr>
              <w:t>ADOPT</w:t>
            </w:r>
          </w:p>
        </w:tc>
        <w:tc>
          <w:tcPr>
            <w:tcW w:type="dxa" w:w="2541"/>
            <w:vAlign w:val="center"/>
          </w:tcPr>
          <w:p>
            <w:r/>
            <w:r>
              <w:rPr>
                <w:b w:val="0"/>
                <w:sz w:val="15"/>
              </w:rPr>
              <w:t>High user value; aligns with VS Code baseline.</w:t>
            </w:r>
          </w:p>
        </w:tc>
      </w:tr>
      <w:tr>
        <w:tc>
          <w:tcPr>
            <w:tcW w:type="dxa" w:w="2541"/>
            <w:vAlign w:val="center"/>
          </w:tcPr>
          <w:p>
            <w:r/>
            <w:r>
              <w:rPr>
                <w:b w:val="0"/>
                <w:sz w:val="15"/>
              </w:rPr>
              <w:t>CLI/headless</w:t>
            </w:r>
          </w:p>
        </w:tc>
        <w:tc>
          <w:tcPr>
            <w:tcW w:type="dxa" w:w="2541"/>
            <w:vAlign w:val="center"/>
          </w:tcPr>
          <w:p>
            <w:r/>
            <w:r>
              <w:rPr>
                <w:b w:val="0"/>
                <w:sz w:val="15"/>
              </w:rPr>
              <w:t>Continue/terminal agents</w:t>
            </w:r>
          </w:p>
        </w:tc>
        <w:tc>
          <w:tcPr>
            <w:tcW w:type="dxa" w:w="2541"/>
            <w:vAlign w:val="center"/>
          </w:tcPr>
          <w:p>
            <w:r/>
            <w:r>
              <w:rPr>
                <w:b w:val="0"/>
                <w:sz w:val="15"/>
              </w:rPr>
              <w:t>ADOPT</w:t>
            </w:r>
          </w:p>
        </w:tc>
        <w:tc>
          <w:tcPr>
            <w:tcW w:type="dxa" w:w="2541"/>
            <w:vAlign w:val="center"/>
          </w:tcPr>
          <w:p>
            <w:r/>
            <w:r>
              <w:rPr>
                <w:b w:val="0"/>
                <w:sz w:val="15"/>
              </w:rPr>
              <w:t>Automation/CI value.</w:t>
            </w:r>
          </w:p>
        </w:tc>
      </w:tr>
      <w:tr>
        <w:tc>
          <w:tcPr>
            <w:tcW w:type="dxa" w:w="2541"/>
            <w:vAlign w:val="center"/>
          </w:tcPr>
          <w:p>
            <w:r/>
            <w:r>
              <w:rPr>
                <w:b w:val="0"/>
                <w:sz w:val="15"/>
              </w:rPr>
              <w:t>MCP</w:t>
            </w:r>
          </w:p>
        </w:tc>
        <w:tc>
          <w:tcPr>
            <w:tcW w:type="dxa" w:w="2541"/>
            <w:vAlign w:val="center"/>
          </w:tcPr>
          <w:p>
            <w:r/>
            <w:r>
              <w:rPr>
                <w:b w:val="0"/>
                <w:sz w:val="15"/>
              </w:rPr>
              <w:t>Agent-MCP/Continue</w:t>
            </w:r>
          </w:p>
        </w:tc>
        <w:tc>
          <w:tcPr>
            <w:tcW w:type="dxa" w:w="2541"/>
            <w:vAlign w:val="center"/>
          </w:tcPr>
          <w:p>
            <w:r/>
            <w:r>
              <w:rPr>
                <w:b w:val="0"/>
                <w:sz w:val="15"/>
              </w:rPr>
              <w:t>ADOPT</w:t>
            </w:r>
          </w:p>
        </w:tc>
        <w:tc>
          <w:tcPr>
            <w:tcW w:type="dxa" w:w="2541"/>
            <w:vAlign w:val="center"/>
          </w:tcPr>
          <w:p>
            <w:r/>
            <w:r>
              <w:rPr>
                <w:b w:val="0"/>
                <w:sz w:val="15"/>
              </w:rPr>
              <w:t>Extensibility; must be secured.</w:t>
            </w:r>
          </w:p>
        </w:tc>
      </w:tr>
      <w:tr>
        <w:tc>
          <w:tcPr>
            <w:tcW w:type="dxa" w:w="2541"/>
            <w:vAlign w:val="center"/>
          </w:tcPr>
          <w:p>
            <w:r/>
            <w:r>
              <w:rPr>
                <w:b w:val="0"/>
                <w:sz w:val="15"/>
              </w:rPr>
              <w:t>Multi-agent</w:t>
            </w:r>
          </w:p>
        </w:tc>
        <w:tc>
          <w:tcPr>
            <w:tcW w:type="dxa" w:w="2541"/>
            <w:vAlign w:val="center"/>
          </w:tcPr>
          <w:p>
            <w:r/>
            <w:r>
              <w:rPr>
                <w:b w:val="0"/>
                <w:sz w:val="15"/>
              </w:rPr>
              <w:t>MetaGPT/AutoGen/Agent-MCP</w:t>
            </w:r>
          </w:p>
        </w:tc>
        <w:tc>
          <w:tcPr>
            <w:tcW w:type="dxa" w:w="2541"/>
            <w:vAlign w:val="center"/>
          </w:tcPr>
          <w:p>
            <w:r/>
            <w:r>
              <w:rPr>
                <w:b w:val="0"/>
                <w:sz w:val="15"/>
              </w:rPr>
              <w:t>ADAPT</w:t>
            </w:r>
          </w:p>
        </w:tc>
        <w:tc>
          <w:tcPr>
            <w:tcW w:type="dxa" w:w="2541"/>
            <w:vAlign w:val="center"/>
          </w:tcPr>
          <w:p>
            <w:r/>
            <w:r>
              <w:rPr>
                <w:b w:val="0"/>
                <w:sz w:val="15"/>
              </w:rPr>
              <w:t>Useful specialization, higher complexity.</w:t>
            </w:r>
          </w:p>
        </w:tc>
      </w:tr>
      <w:tr>
        <w:tc>
          <w:tcPr>
            <w:tcW w:type="dxa" w:w="2541"/>
            <w:vAlign w:val="center"/>
          </w:tcPr>
          <w:p>
            <w:r/>
            <w:r>
              <w:rPr>
                <w:b w:val="0"/>
                <w:sz w:val="15"/>
              </w:rPr>
              <w:t>Sandbox</w:t>
            </w:r>
          </w:p>
        </w:tc>
        <w:tc>
          <w:tcPr>
            <w:tcW w:type="dxa" w:w="2541"/>
            <w:vAlign w:val="center"/>
          </w:tcPr>
          <w:p>
            <w:r/>
            <w:r>
              <w:rPr>
                <w:b w:val="0"/>
                <w:sz w:val="15"/>
              </w:rPr>
              <w:t>OpenHands</w:t>
            </w:r>
          </w:p>
        </w:tc>
        <w:tc>
          <w:tcPr>
            <w:tcW w:type="dxa" w:w="2541"/>
            <w:vAlign w:val="center"/>
          </w:tcPr>
          <w:p>
            <w:r/>
            <w:r>
              <w:rPr>
                <w:b w:val="0"/>
                <w:sz w:val="15"/>
              </w:rPr>
              <w:t>ADOPT</w:t>
            </w:r>
          </w:p>
        </w:tc>
        <w:tc>
          <w:tcPr>
            <w:tcW w:type="dxa" w:w="2541"/>
            <w:vAlign w:val="center"/>
          </w:tcPr>
          <w:p>
            <w:r/>
            <w:r>
              <w:rPr>
                <w:b w:val="0"/>
                <w:sz w:val="15"/>
              </w:rPr>
              <w:t>Strong safety boundary.</w:t>
            </w:r>
          </w:p>
        </w:tc>
      </w:tr>
      <w:tr>
        <w:tc>
          <w:tcPr>
            <w:tcW w:type="dxa" w:w="2541"/>
            <w:vAlign w:val="center"/>
          </w:tcPr>
          <w:p>
            <w:r/>
            <w:r>
              <w:rPr>
                <w:b w:val="0"/>
                <w:sz w:val="15"/>
              </w:rPr>
              <w:t>Validation loop</w:t>
            </w:r>
          </w:p>
        </w:tc>
        <w:tc>
          <w:tcPr>
            <w:tcW w:type="dxa" w:w="2541"/>
            <w:vAlign w:val="center"/>
          </w:tcPr>
          <w:p>
            <w:r/>
            <w:r>
              <w:rPr>
                <w:b w:val="0"/>
                <w:sz w:val="15"/>
              </w:rPr>
              <w:t>Coding-agent research</w:t>
            </w:r>
          </w:p>
        </w:tc>
        <w:tc>
          <w:tcPr>
            <w:tcW w:type="dxa" w:w="2541"/>
            <w:vAlign w:val="center"/>
          </w:tcPr>
          <w:p>
            <w:r/>
            <w:r>
              <w:rPr>
                <w:b w:val="0"/>
                <w:sz w:val="15"/>
              </w:rPr>
              <w:t>ADOPT</w:t>
            </w:r>
          </w:p>
        </w:tc>
        <w:tc>
          <w:tcPr>
            <w:tcW w:type="dxa" w:w="2541"/>
            <w:vAlign w:val="center"/>
          </w:tcPr>
          <w:p>
            <w:r/>
            <w:r>
              <w:rPr>
                <w:b w:val="0"/>
                <w:sz w:val="15"/>
              </w:rPr>
              <w:t>Required for correctness.</w:t>
            </w:r>
          </w:p>
        </w:tc>
      </w:tr>
      <w:tr>
        <w:tc>
          <w:tcPr>
            <w:tcW w:type="dxa" w:w="2541"/>
            <w:vAlign w:val="center"/>
          </w:tcPr>
          <w:p>
            <w:r/>
            <w:r>
              <w:rPr>
                <w:b w:val="0"/>
                <w:sz w:val="15"/>
              </w:rPr>
              <w:t>Recovery loop</w:t>
            </w:r>
          </w:p>
        </w:tc>
        <w:tc>
          <w:tcPr>
            <w:tcW w:type="dxa" w:w="2541"/>
            <w:vAlign w:val="center"/>
          </w:tcPr>
          <w:p>
            <w:r/>
            <w:r>
              <w:rPr>
                <w:b w:val="0"/>
                <w:sz w:val="15"/>
              </w:rPr>
              <w:t>Coding-agent research</w:t>
            </w:r>
          </w:p>
        </w:tc>
        <w:tc>
          <w:tcPr>
            <w:tcW w:type="dxa" w:w="2541"/>
            <w:vAlign w:val="center"/>
          </w:tcPr>
          <w:p>
            <w:r/>
            <w:r>
              <w:rPr>
                <w:b w:val="0"/>
                <w:sz w:val="15"/>
              </w:rPr>
              <w:t>ADOPT</w:t>
            </w:r>
          </w:p>
        </w:tc>
        <w:tc>
          <w:tcPr>
            <w:tcW w:type="dxa" w:w="2541"/>
            <w:vAlign w:val="center"/>
          </w:tcPr>
          <w:p>
            <w:r/>
            <w:r>
              <w:rPr>
                <w:b w:val="0"/>
                <w:sz w:val="15"/>
              </w:rPr>
              <w:t>Required for robustness.</w:t>
            </w:r>
          </w:p>
        </w:tc>
      </w:tr>
      <w:tr>
        <w:tc>
          <w:tcPr>
            <w:tcW w:type="dxa" w:w="2541"/>
            <w:vAlign w:val="center"/>
          </w:tcPr>
          <w:p>
            <w:r/>
            <w:r>
              <w:rPr>
                <w:b w:val="0"/>
                <w:sz w:val="15"/>
              </w:rPr>
              <w:t>Custom modes</w:t>
            </w:r>
          </w:p>
        </w:tc>
        <w:tc>
          <w:tcPr>
            <w:tcW w:type="dxa" w:w="2541"/>
            <w:vAlign w:val="center"/>
          </w:tcPr>
          <w:p>
            <w:r/>
            <w:r>
              <w:rPr>
                <w:b w:val="0"/>
                <w:sz w:val="15"/>
              </w:rPr>
              <w:t>Roo/Continue</w:t>
            </w:r>
          </w:p>
        </w:tc>
        <w:tc>
          <w:tcPr>
            <w:tcW w:type="dxa" w:w="2541"/>
            <w:vAlign w:val="center"/>
          </w:tcPr>
          <w:p>
            <w:r/>
            <w:r>
              <w:rPr>
                <w:b w:val="0"/>
                <w:sz w:val="15"/>
              </w:rPr>
              <w:t>ADAPT</w:t>
            </w:r>
          </w:p>
        </w:tc>
        <w:tc>
          <w:tcPr>
            <w:tcW w:type="dxa" w:w="2541"/>
            <w:vAlign w:val="center"/>
          </w:tcPr>
          <w:p>
            <w:r/>
            <w:r>
              <w:rPr>
                <w:b w:val="0"/>
                <w:sz w:val="15"/>
              </w:rPr>
              <w:t>Useful behavior profiles.</w:t>
            </w:r>
          </w:p>
        </w:tc>
      </w:tr>
      <w:tr>
        <w:tc>
          <w:tcPr>
            <w:tcW w:type="dxa" w:w="2541"/>
            <w:vAlign w:val="center"/>
          </w:tcPr>
          <w:p>
            <w:r/>
            <w:r>
              <w:rPr>
                <w:b w:val="0"/>
                <w:sz w:val="15"/>
              </w:rPr>
              <w:t>Config-driven agents</w:t>
            </w:r>
          </w:p>
        </w:tc>
        <w:tc>
          <w:tcPr>
            <w:tcW w:type="dxa" w:w="2541"/>
            <w:vAlign w:val="center"/>
          </w:tcPr>
          <w:p>
            <w:r/>
            <w:r>
              <w:rPr>
                <w:b w:val="0"/>
                <w:sz w:val="15"/>
              </w:rPr>
              <w:t>Continue</w:t>
            </w:r>
          </w:p>
        </w:tc>
        <w:tc>
          <w:tcPr>
            <w:tcW w:type="dxa" w:w="2541"/>
            <w:vAlign w:val="center"/>
          </w:tcPr>
          <w:p>
            <w:r/>
            <w:r>
              <w:rPr>
                <w:b w:val="0"/>
                <w:sz w:val="15"/>
              </w:rPr>
              <w:t>ADAPT</w:t>
            </w:r>
          </w:p>
        </w:tc>
        <w:tc>
          <w:tcPr>
            <w:tcW w:type="dxa" w:w="2541"/>
            <w:vAlign w:val="center"/>
          </w:tcPr>
          <w:p>
            <w:r/>
            <w:r>
              <w:rPr>
                <w:b w:val="0"/>
                <w:sz w:val="15"/>
              </w:rPr>
              <w:t>Reproducibility and customization.</w:t>
            </w:r>
          </w:p>
        </w:tc>
      </w:tr>
      <w:tr>
        <w:tc>
          <w:tcPr>
            <w:tcW w:type="dxa" w:w="2541"/>
            <w:vAlign w:val="center"/>
          </w:tcPr>
          <w:p>
            <w:r/>
            <w:r>
              <w:rPr>
                <w:b w:val="0"/>
                <w:sz w:val="15"/>
              </w:rPr>
              <w:t>Unbounded autonomy</w:t>
            </w:r>
          </w:p>
        </w:tc>
        <w:tc>
          <w:tcPr>
            <w:tcW w:type="dxa" w:w="2541"/>
            <w:vAlign w:val="center"/>
          </w:tcPr>
          <w:p>
            <w:r/>
            <w:r>
              <w:rPr>
                <w:b w:val="0"/>
                <w:sz w:val="15"/>
              </w:rPr>
              <w:t>Various agents</w:t>
            </w:r>
          </w:p>
        </w:tc>
        <w:tc>
          <w:tcPr>
            <w:tcW w:type="dxa" w:w="2541"/>
            <w:vAlign w:val="center"/>
          </w:tcPr>
          <w:p>
            <w:r/>
            <w:r>
              <w:rPr>
                <w:b w:val="0"/>
                <w:sz w:val="15"/>
              </w:rPr>
              <w:t>REJECT</w:t>
            </w:r>
          </w:p>
        </w:tc>
        <w:tc>
          <w:tcPr>
            <w:tcW w:type="dxa" w:w="2541"/>
            <w:vAlign w:val="center"/>
          </w:tcPr>
          <w:p>
            <w:r/>
            <w:r>
              <w:rPr>
                <w:b w:val="0"/>
                <w:sz w:val="15"/>
              </w:rPr>
              <w:t>Conflicts with bounded safety model.</w:t>
            </w:r>
          </w:p>
        </w:tc>
      </w:tr>
      <w:tr>
        <w:tc>
          <w:tcPr>
            <w:tcW w:type="dxa" w:w="2541"/>
            <w:vAlign w:val="center"/>
          </w:tcPr>
          <w:p>
            <w:r/>
            <w:r>
              <w:rPr>
                <w:b w:val="0"/>
                <w:sz w:val="15"/>
              </w:rPr>
              <w:t>Direct executor access</w:t>
            </w:r>
          </w:p>
        </w:tc>
        <w:tc>
          <w:tcPr>
            <w:tcW w:type="dxa" w:w="2541"/>
            <w:vAlign w:val="center"/>
          </w:tcPr>
          <w:p>
            <w:r/>
            <w:r>
              <w:rPr>
                <w:b w:val="0"/>
                <w:sz w:val="15"/>
              </w:rPr>
              <w:t>Prototype patterns</w:t>
            </w:r>
          </w:p>
        </w:tc>
        <w:tc>
          <w:tcPr>
            <w:tcW w:type="dxa" w:w="2541"/>
            <w:vAlign w:val="center"/>
          </w:tcPr>
          <w:p>
            <w:r/>
            <w:r>
              <w:rPr>
                <w:b w:val="0"/>
                <w:sz w:val="15"/>
              </w:rPr>
              <w:t>REJECT</w:t>
            </w:r>
          </w:p>
        </w:tc>
        <w:tc>
          <w:tcPr>
            <w:tcW w:type="dxa" w:w="2541"/>
            <w:vAlign w:val="center"/>
          </w:tcPr>
          <w:p>
            <w:r/>
            <w:r>
              <w:rPr>
                <w:b w:val="0"/>
                <w:sz w:val="15"/>
              </w:rPr>
              <w:t>Conflicts with Tool/Permission/Security.</w:t>
            </w:r>
          </w:p>
        </w:tc>
      </w:tr>
    </w:tbl>
    <w:p/>
    <w:p>
      <w:pPr>
        <w:pStyle w:val="Heading1"/>
      </w:pPr>
      <w:r>
        <w:t>21. Locked Research Invariants</w:t>
      </w:r>
    </w:p>
    <w:p>
      <w:pPr>
        <w:pStyle w:val="ListBullet"/>
        <w:spacing w:after="24"/>
      </w:pPr>
      <w:r>
        <w:t>RS1: External repositories are references, not authorities.</w:t>
      </w:r>
    </w:p>
    <w:p>
      <w:pPr>
        <w:pStyle w:val="ListBullet"/>
        <w:spacing w:after="24"/>
      </w:pPr>
      <w:r>
        <w:t>RS2: No external pattern may bypass our locked security boundary.</w:t>
      </w:r>
    </w:p>
    <w:p>
      <w:pPr>
        <w:pStyle w:val="ListBullet"/>
        <w:spacing w:after="24"/>
      </w:pPr>
      <w:r>
        <w:t>RS3: Every adopted capability maps to an internal contract.</w:t>
      </w:r>
    </w:p>
    <w:p>
      <w:pPr>
        <w:pStyle w:val="ListBullet"/>
        <w:spacing w:after="24"/>
      </w:pPr>
      <w:r>
        <w:t>RS4: Research adoption requires license/security/maintenance review.</w:t>
      </w:r>
    </w:p>
    <w:p>
      <w:pPr>
        <w:pStyle w:val="ListBullet"/>
        <w:spacing w:after="24"/>
      </w:pPr>
      <w:r>
        <w:t>RS5: Model reasoning remains separate from side-effect execution.</w:t>
      </w:r>
    </w:p>
    <w:p>
      <w:pPr>
        <w:pStyle w:val="ListBullet"/>
        <w:spacing w:after="24"/>
      </w:pPr>
      <w:r>
        <w:t>RS6: Validation evidence is required regardless of research-derived architecture.</w:t>
      </w:r>
    </w:p>
    <w:p>
      <w:pPr>
        <w:pStyle w:val="ListBullet"/>
        <w:spacing w:after="24"/>
      </w:pPr>
      <w:r>
        <w:t>RS7: Multi-agent coordination is optional and bounded.</w:t>
      </w:r>
    </w:p>
    <w:p>
      <w:pPr>
        <w:pStyle w:val="ListBullet"/>
        <w:spacing w:after="24"/>
      </w:pPr>
      <w:r>
        <w:t>RS8: MCP is an integration mechanism, never an authorization authority.</w:t>
      </w:r>
    </w:p>
    <w:p>
      <w:pPr>
        <w:pStyle w:val="ListBullet"/>
        <w:spacing w:after="24"/>
      </w:pPr>
      <w:r>
        <w:t>RS9: Client integrations never become security boundaries.</w:t>
      </w:r>
    </w:p>
    <w:p>
      <w:pPr>
        <w:pStyle w:val="ListBullet"/>
        <w:spacing w:after="24"/>
      </w:pPr>
      <w:r>
        <w:t>RS10: Repository instructions remain untrusted project data.</w:t>
      </w:r>
    </w:p>
    <w:p>
      <w:pPr>
        <w:pStyle w:val="ListBullet"/>
        <w:spacing w:after="24"/>
      </w:pPr>
      <w:r>
        <w:t>RS11: Memory remains advisory and scoped.</w:t>
      </w:r>
    </w:p>
    <w:p>
      <w:pPr>
        <w:pStyle w:val="ListBullet"/>
        <w:spacing w:after="24"/>
      </w:pPr>
      <w:r>
        <w:t>RS12: Recovery remains bounded.</w:t>
      </w:r>
    </w:p>
    <w:p>
      <w:pPr>
        <w:pStyle w:val="ListBullet"/>
        <w:spacing w:after="24"/>
      </w:pPr>
      <w:r>
        <w:t>RS13: External performance claims do not become internal guarantees without measurement.</w:t>
      </w:r>
    </w:p>
    <w:p>
      <w:pPr>
        <w:pStyle w:val="ListBullet"/>
        <w:spacing w:after="24"/>
      </w:pPr>
      <w:r>
        <w:t>RS14: Research findings cannot silently modify locked specifications.</w:t>
      </w:r>
    </w:p>
    <w:p>
      <w:pPr>
        <w:pStyle w:val="ListBullet"/>
        <w:spacing w:after="24"/>
      </w:pPr>
      <w:r>
        <w:t>RS15: Every major adopted research pattern has a recorded implementation decision.</w:t>
      </w:r>
    </w:p>
    <w:p>
      <w:pPr>
        <w:pStyle w:val="Heading1"/>
      </w:pPr>
      <w:r>
        <w:t>22. Acceptance Criteria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ID</w:t>
            </w:r>
          </w:p>
        </w:tc>
        <w:tc>
          <w:tcPr>
            <w:tcW w:type="dxa" w:w="3389"/>
            <w:vAlign w:val="center"/>
            <w:shd w:fill="D9EAF7"/>
          </w:tcPr>
          <w:p>
            <w:r/>
            <w:r>
              <w:rPr>
                <w:b/>
                <w:sz w:val="15"/>
              </w:rPr>
              <w:t>Area</w:t>
            </w:r>
          </w:p>
        </w:tc>
        <w:tc>
          <w:tcPr>
            <w:tcW w:type="dxa" w:w="3389"/>
            <w:vAlign w:val="center"/>
            <w:shd w:fill="D9EAF7"/>
          </w:tcPr>
          <w:p>
            <w:r/>
            <w:r>
              <w:rPr>
                <w:b/>
                <w:sz w:val="15"/>
              </w:rPr>
              <w:t>Acceptance condition</w:t>
            </w:r>
          </w:p>
        </w:tc>
      </w:tr>
      <w:tr>
        <w:tc>
          <w:tcPr>
            <w:tcW w:type="dxa" w:w="3389"/>
            <w:vAlign w:val="center"/>
          </w:tcPr>
          <w:p>
            <w:r/>
            <w:r>
              <w:rPr>
                <w:b w:val="0"/>
                <w:sz w:val="15"/>
              </w:rPr>
              <w:t>RS-A01</w:t>
            </w:r>
          </w:p>
        </w:tc>
        <w:tc>
          <w:tcPr>
            <w:tcW w:type="dxa" w:w="3389"/>
            <w:vAlign w:val="center"/>
          </w:tcPr>
          <w:p>
            <w:r/>
            <w:r>
              <w:rPr>
                <w:b w:val="0"/>
                <w:sz w:val="15"/>
              </w:rPr>
              <w:t>Source set</w:t>
            </w:r>
          </w:p>
        </w:tc>
        <w:tc>
          <w:tcPr>
            <w:tcW w:type="dxa" w:w="3389"/>
            <w:vAlign w:val="center"/>
          </w:tcPr>
          <w:p>
            <w:r/>
            <w:r>
              <w:rPr>
                <w:b w:val="0"/>
                <w:sz w:val="15"/>
              </w:rPr>
              <w:t>Research sources and evidence boundary are identified.</w:t>
            </w:r>
          </w:p>
        </w:tc>
      </w:tr>
      <w:tr>
        <w:tc>
          <w:tcPr>
            <w:tcW w:type="dxa" w:w="3389"/>
            <w:vAlign w:val="center"/>
          </w:tcPr>
          <w:p>
            <w:r/>
            <w:r>
              <w:rPr>
                <w:b w:val="0"/>
                <w:sz w:val="15"/>
              </w:rPr>
              <w:t>RS-A02</w:t>
            </w:r>
          </w:p>
        </w:tc>
        <w:tc>
          <w:tcPr>
            <w:tcW w:type="dxa" w:w="3389"/>
            <w:vAlign w:val="center"/>
          </w:tcPr>
          <w:p>
            <w:r/>
            <w:r>
              <w:rPr>
                <w:b w:val="0"/>
                <w:sz w:val="15"/>
              </w:rPr>
              <w:t>Pattern extraction</w:t>
            </w:r>
          </w:p>
        </w:tc>
        <w:tc>
          <w:tcPr>
            <w:tcW w:type="dxa" w:w="3389"/>
            <w:vAlign w:val="center"/>
          </w:tcPr>
          <w:p>
            <w:r/>
            <w:r>
              <w:rPr>
                <w:b w:val="0"/>
                <w:sz w:val="15"/>
              </w:rPr>
              <w:t>Reusable patterns are separated from project-specific architecture.</w:t>
            </w:r>
          </w:p>
        </w:tc>
      </w:tr>
      <w:tr>
        <w:tc>
          <w:tcPr>
            <w:tcW w:type="dxa" w:w="3389"/>
            <w:vAlign w:val="center"/>
          </w:tcPr>
          <w:p>
            <w:r/>
            <w:r>
              <w:rPr>
                <w:b w:val="0"/>
                <w:sz w:val="15"/>
              </w:rPr>
              <w:t>RS-A03</w:t>
            </w:r>
          </w:p>
        </w:tc>
        <w:tc>
          <w:tcPr>
            <w:tcW w:type="dxa" w:w="3389"/>
            <w:vAlign w:val="center"/>
          </w:tcPr>
          <w:p>
            <w:r/>
            <w:r>
              <w:rPr>
                <w:b w:val="0"/>
                <w:sz w:val="15"/>
              </w:rPr>
              <w:t>Adoption</w:t>
            </w:r>
          </w:p>
        </w:tc>
        <w:tc>
          <w:tcPr>
            <w:tcW w:type="dxa" w:w="3389"/>
            <w:vAlign w:val="center"/>
          </w:tcPr>
          <w:p>
            <w:r/>
            <w:r>
              <w:rPr>
                <w:b w:val="0"/>
                <w:sz w:val="15"/>
              </w:rPr>
              <w:t>Adopt/adapt/reject decisions are explicit.</w:t>
            </w:r>
          </w:p>
        </w:tc>
      </w:tr>
      <w:tr>
        <w:tc>
          <w:tcPr>
            <w:tcW w:type="dxa" w:w="3389"/>
            <w:vAlign w:val="center"/>
          </w:tcPr>
          <w:p>
            <w:r/>
            <w:r>
              <w:rPr>
                <w:b w:val="0"/>
                <w:sz w:val="15"/>
              </w:rPr>
              <w:t>RS-A04</w:t>
            </w:r>
          </w:p>
        </w:tc>
        <w:tc>
          <w:tcPr>
            <w:tcW w:type="dxa" w:w="3389"/>
            <w:vAlign w:val="center"/>
          </w:tcPr>
          <w:p>
            <w:r/>
            <w:r>
              <w:rPr>
                <w:b w:val="0"/>
                <w:sz w:val="15"/>
              </w:rPr>
              <w:t>Security</w:t>
            </w:r>
          </w:p>
        </w:tc>
        <w:tc>
          <w:tcPr>
            <w:tcW w:type="dxa" w:w="3389"/>
            <w:vAlign w:val="center"/>
          </w:tcPr>
          <w:p>
            <w:r/>
            <w:r>
              <w:rPr>
                <w:b w:val="0"/>
                <w:sz w:val="15"/>
              </w:rPr>
              <w:t>No research pattern weakens locked security.</w:t>
            </w:r>
          </w:p>
        </w:tc>
      </w:tr>
      <w:tr>
        <w:tc>
          <w:tcPr>
            <w:tcW w:type="dxa" w:w="3389"/>
            <w:vAlign w:val="center"/>
          </w:tcPr>
          <w:p>
            <w:r/>
            <w:r>
              <w:rPr>
                <w:b w:val="0"/>
                <w:sz w:val="15"/>
              </w:rPr>
              <w:t>RS-A05</w:t>
            </w:r>
          </w:p>
        </w:tc>
        <w:tc>
          <w:tcPr>
            <w:tcW w:type="dxa" w:w="3389"/>
            <w:vAlign w:val="center"/>
          </w:tcPr>
          <w:p>
            <w:r/>
            <w:r>
              <w:rPr>
                <w:b w:val="0"/>
                <w:sz w:val="15"/>
              </w:rPr>
              <w:t>Architecture</w:t>
            </w:r>
          </w:p>
        </w:tc>
        <w:tc>
          <w:tcPr>
            <w:tcW w:type="dxa" w:w="3389"/>
            <w:vAlign w:val="center"/>
          </w:tcPr>
          <w:p>
            <w:r/>
            <w:r>
              <w:rPr>
                <w:b w:val="0"/>
                <w:sz w:val="15"/>
              </w:rPr>
              <w:t>Research maps to internal components/contracts.</w:t>
            </w:r>
          </w:p>
        </w:tc>
      </w:tr>
      <w:tr>
        <w:tc>
          <w:tcPr>
            <w:tcW w:type="dxa" w:w="3389"/>
            <w:vAlign w:val="center"/>
          </w:tcPr>
          <w:p>
            <w:r/>
            <w:r>
              <w:rPr>
                <w:b w:val="0"/>
                <w:sz w:val="15"/>
              </w:rPr>
              <w:t>RS-A06</w:t>
            </w:r>
          </w:p>
        </w:tc>
        <w:tc>
          <w:tcPr>
            <w:tcW w:type="dxa" w:w="3389"/>
            <w:vAlign w:val="center"/>
          </w:tcPr>
          <w:p>
            <w:r/>
            <w:r>
              <w:rPr>
                <w:b w:val="0"/>
                <w:sz w:val="15"/>
              </w:rPr>
              <w:t>MCP</w:t>
            </w:r>
          </w:p>
        </w:tc>
        <w:tc>
          <w:tcPr>
            <w:tcW w:type="dxa" w:w="3389"/>
            <w:vAlign w:val="center"/>
          </w:tcPr>
          <w:p>
            <w:r/>
            <w:r>
              <w:rPr>
                <w:b w:val="0"/>
                <w:sz w:val="15"/>
              </w:rPr>
              <w:t>MCP adoption preserves internal policy boundary.</w:t>
            </w:r>
          </w:p>
        </w:tc>
      </w:tr>
      <w:tr>
        <w:tc>
          <w:tcPr>
            <w:tcW w:type="dxa" w:w="3389"/>
            <w:vAlign w:val="center"/>
          </w:tcPr>
          <w:p>
            <w:r/>
            <w:r>
              <w:rPr>
                <w:b w:val="0"/>
                <w:sz w:val="15"/>
              </w:rPr>
              <w:t>RS-A07</w:t>
            </w:r>
          </w:p>
        </w:tc>
        <w:tc>
          <w:tcPr>
            <w:tcW w:type="dxa" w:w="3389"/>
            <w:vAlign w:val="center"/>
          </w:tcPr>
          <w:p>
            <w:r/>
            <w:r>
              <w:rPr>
                <w:b w:val="0"/>
                <w:sz w:val="15"/>
              </w:rPr>
              <w:t>Multi-agent</w:t>
            </w:r>
          </w:p>
        </w:tc>
        <w:tc>
          <w:tcPr>
            <w:tcW w:type="dxa" w:w="3389"/>
            <w:vAlign w:val="center"/>
          </w:tcPr>
          <w:p>
            <w:r/>
            <w:r>
              <w:rPr>
                <w:b w:val="0"/>
                <w:sz w:val="15"/>
              </w:rPr>
              <w:t>Multi-agent use is bounded and optional.</w:t>
            </w:r>
          </w:p>
        </w:tc>
      </w:tr>
      <w:tr>
        <w:tc>
          <w:tcPr>
            <w:tcW w:type="dxa" w:w="3389"/>
            <w:vAlign w:val="center"/>
          </w:tcPr>
          <w:p>
            <w:r/>
            <w:r>
              <w:rPr>
                <w:b w:val="0"/>
                <w:sz w:val="15"/>
              </w:rPr>
              <w:t>RS-A08</w:t>
            </w:r>
          </w:p>
        </w:tc>
        <w:tc>
          <w:tcPr>
            <w:tcW w:type="dxa" w:w="3389"/>
            <w:vAlign w:val="center"/>
          </w:tcPr>
          <w:p>
            <w:r/>
            <w:r>
              <w:rPr>
                <w:b w:val="0"/>
                <w:sz w:val="15"/>
              </w:rPr>
              <w:t>IDE</w:t>
            </w:r>
          </w:p>
        </w:tc>
        <w:tc>
          <w:tcPr>
            <w:tcW w:type="dxa" w:w="3389"/>
            <w:vAlign w:val="center"/>
          </w:tcPr>
          <w:p>
            <w:r/>
            <w:r>
              <w:rPr>
                <w:b w:val="0"/>
                <w:sz w:val="15"/>
              </w:rPr>
              <w:t>IDE/client integration preserves runtime authority.</w:t>
            </w:r>
          </w:p>
        </w:tc>
      </w:tr>
      <w:tr>
        <w:tc>
          <w:tcPr>
            <w:tcW w:type="dxa" w:w="3389"/>
            <w:vAlign w:val="center"/>
          </w:tcPr>
          <w:p>
            <w:r/>
            <w:r>
              <w:rPr>
                <w:b w:val="0"/>
                <w:sz w:val="15"/>
              </w:rPr>
              <w:t>RS-A09</w:t>
            </w:r>
          </w:p>
        </w:tc>
        <w:tc>
          <w:tcPr>
            <w:tcW w:type="dxa" w:w="3389"/>
            <w:vAlign w:val="center"/>
          </w:tcPr>
          <w:p>
            <w:r/>
            <w:r>
              <w:rPr>
                <w:b w:val="0"/>
                <w:sz w:val="15"/>
              </w:rPr>
              <w:t>Validation</w:t>
            </w:r>
          </w:p>
        </w:tc>
        <w:tc>
          <w:tcPr>
            <w:tcW w:type="dxa" w:w="3389"/>
            <w:vAlign w:val="center"/>
          </w:tcPr>
          <w:p>
            <w:r/>
            <w:r>
              <w:rPr>
                <w:b w:val="0"/>
                <w:sz w:val="15"/>
              </w:rPr>
              <w:t>Research-derived implementation is subject to our validation gates.</w:t>
            </w:r>
          </w:p>
        </w:tc>
      </w:tr>
      <w:tr>
        <w:tc>
          <w:tcPr>
            <w:tcW w:type="dxa" w:w="3389"/>
            <w:vAlign w:val="center"/>
          </w:tcPr>
          <w:p>
            <w:r/>
            <w:r>
              <w:rPr>
                <w:b w:val="0"/>
                <w:sz w:val="15"/>
              </w:rPr>
              <w:t>RS-A10</w:t>
            </w:r>
          </w:p>
        </w:tc>
        <w:tc>
          <w:tcPr>
            <w:tcW w:type="dxa" w:w="3389"/>
            <w:vAlign w:val="center"/>
          </w:tcPr>
          <w:p>
            <w:r/>
            <w:r>
              <w:rPr>
                <w:b w:val="0"/>
                <w:sz w:val="15"/>
              </w:rPr>
              <w:t>Licensing</w:t>
            </w:r>
          </w:p>
        </w:tc>
        <w:tc>
          <w:tcPr>
            <w:tcW w:type="dxa" w:w="3389"/>
            <w:vAlign w:val="center"/>
          </w:tcPr>
          <w:p>
            <w:r/>
            <w:r>
              <w:rPr>
                <w:b w:val="0"/>
                <w:sz w:val="15"/>
              </w:rPr>
              <w:t>External code adoption requires license review.</w:t>
            </w:r>
          </w:p>
        </w:tc>
      </w:tr>
      <w:tr>
        <w:tc>
          <w:tcPr>
            <w:tcW w:type="dxa" w:w="3389"/>
            <w:vAlign w:val="center"/>
          </w:tcPr>
          <w:p>
            <w:r/>
            <w:r>
              <w:rPr>
                <w:b w:val="0"/>
                <w:sz w:val="15"/>
              </w:rPr>
              <w:t>RS-A11</w:t>
            </w:r>
          </w:p>
        </w:tc>
        <w:tc>
          <w:tcPr>
            <w:tcW w:type="dxa" w:w="3389"/>
            <w:vAlign w:val="center"/>
          </w:tcPr>
          <w:p>
            <w:r/>
            <w:r>
              <w:rPr>
                <w:b w:val="0"/>
                <w:sz w:val="15"/>
              </w:rPr>
              <w:t>Maintenance</w:t>
            </w:r>
          </w:p>
        </w:tc>
        <w:tc>
          <w:tcPr>
            <w:tcW w:type="dxa" w:w="3389"/>
            <w:vAlign w:val="center"/>
          </w:tcPr>
          <w:p>
            <w:r/>
            <w:r>
              <w:rPr>
                <w:b w:val="0"/>
                <w:sz w:val="15"/>
              </w:rPr>
              <w:t>External dependency health is reviewed before adoption.</w:t>
            </w:r>
          </w:p>
        </w:tc>
      </w:tr>
      <w:tr>
        <w:tc>
          <w:tcPr>
            <w:tcW w:type="dxa" w:w="3389"/>
            <w:vAlign w:val="center"/>
          </w:tcPr>
          <w:p>
            <w:r/>
            <w:r>
              <w:rPr>
                <w:b w:val="0"/>
                <w:sz w:val="15"/>
              </w:rPr>
              <w:t>RS-A12</w:t>
            </w:r>
          </w:p>
        </w:tc>
        <w:tc>
          <w:tcPr>
            <w:tcW w:type="dxa" w:w="3389"/>
            <w:vAlign w:val="center"/>
          </w:tcPr>
          <w:p>
            <w:r/>
            <w:r>
              <w:rPr>
                <w:b w:val="0"/>
                <w:sz w:val="15"/>
              </w:rPr>
              <w:t>Evidence</w:t>
            </w:r>
          </w:p>
        </w:tc>
        <w:tc>
          <w:tcPr>
            <w:tcW w:type="dxa" w:w="3389"/>
            <w:vAlign w:val="center"/>
          </w:tcPr>
          <w:p>
            <w:r/>
            <w:r>
              <w:rPr>
                <w:b w:val="0"/>
                <w:sz w:val="15"/>
              </w:rPr>
              <w:t>Research claims are traceable to source evidence where available.</w:t>
            </w:r>
          </w:p>
        </w:tc>
      </w:tr>
      <w:tr>
        <w:tc>
          <w:tcPr>
            <w:tcW w:type="dxa" w:w="3389"/>
            <w:vAlign w:val="center"/>
          </w:tcPr>
          <w:p>
            <w:r/>
            <w:r>
              <w:rPr>
                <w:b w:val="0"/>
                <w:sz w:val="15"/>
              </w:rPr>
              <w:t>RS-A13</w:t>
            </w:r>
          </w:p>
        </w:tc>
        <w:tc>
          <w:tcPr>
            <w:tcW w:type="dxa" w:w="3389"/>
            <w:vAlign w:val="center"/>
          </w:tcPr>
          <w:p>
            <w:r/>
            <w:r>
              <w:rPr>
                <w:b w:val="0"/>
                <w:sz w:val="15"/>
              </w:rPr>
              <w:t>Gaps</w:t>
            </w:r>
          </w:p>
        </w:tc>
        <w:tc>
          <w:tcPr>
            <w:tcW w:type="dxa" w:w="3389"/>
            <w:vAlign w:val="center"/>
          </w:tcPr>
          <w:p>
            <w:r/>
            <w:r>
              <w:rPr>
                <w:b w:val="0"/>
                <w:sz w:val="15"/>
              </w:rPr>
              <w:t>Unverified repository-specific details are not invented.</w:t>
            </w:r>
          </w:p>
        </w:tc>
      </w:tr>
      <w:tr>
        <w:tc>
          <w:tcPr>
            <w:tcW w:type="dxa" w:w="3389"/>
            <w:vAlign w:val="center"/>
          </w:tcPr>
          <w:p>
            <w:r/>
            <w:r>
              <w:rPr>
                <w:b w:val="0"/>
                <w:sz w:val="15"/>
              </w:rPr>
              <w:t>RS-A14</w:t>
            </w:r>
          </w:p>
        </w:tc>
        <w:tc>
          <w:tcPr>
            <w:tcW w:type="dxa" w:w="3389"/>
            <w:vAlign w:val="center"/>
          </w:tcPr>
          <w:p>
            <w:r/>
            <w:r>
              <w:rPr>
                <w:b w:val="0"/>
                <w:sz w:val="15"/>
              </w:rPr>
              <w:t>Invariants</w:t>
            </w:r>
          </w:p>
        </w:tc>
        <w:tc>
          <w:tcPr>
            <w:tcW w:type="dxa" w:w="3389"/>
            <w:vAlign w:val="center"/>
          </w:tcPr>
          <w:p>
            <w:r/>
            <w:r>
              <w:rPr>
                <w:b w:val="0"/>
                <w:sz w:val="15"/>
              </w:rPr>
              <w:t>Locked research invariants are explicit.</w:t>
            </w:r>
          </w:p>
        </w:tc>
      </w:tr>
      <w:tr>
        <w:tc>
          <w:tcPr>
            <w:tcW w:type="dxa" w:w="3389"/>
            <w:vAlign w:val="center"/>
          </w:tcPr>
          <w:p>
            <w:r/>
            <w:r>
              <w:rPr>
                <w:b w:val="0"/>
                <w:sz w:val="15"/>
              </w:rPr>
              <w:t>RS-A15</w:t>
            </w:r>
          </w:p>
        </w:tc>
        <w:tc>
          <w:tcPr>
            <w:tcW w:type="dxa" w:w="3389"/>
            <w:vAlign w:val="center"/>
          </w:tcPr>
          <w:p>
            <w:r/>
            <w:r>
              <w:rPr>
                <w:b w:val="0"/>
                <w:sz w:val="15"/>
              </w:rPr>
              <w:t>Change control</w:t>
            </w:r>
          </w:p>
        </w:tc>
        <w:tc>
          <w:tcPr>
            <w:tcW w:type="dxa" w:w="3389"/>
            <w:vAlign w:val="center"/>
          </w:tcPr>
          <w:p>
            <w:r/>
            <w:r>
              <w:rPr>
                <w:b w:val="0"/>
                <w:sz w:val="15"/>
              </w:rPr>
              <w:t>Research cannot silently change locked specifications.</w:t>
            </w:r>
          </w:p>
        </w:tc>
      </w:tr>
    </w:tbl>
    <w:p/>
    <w:p>
      <w:pPr>
        <w:pStyle w:val="Heading1"/>
      </w:pPr>
      <w:r>
        <w:t>23. Traceability to Locked Baselines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5"/>
              </w:rPr>
              <w:t>Baseline</w:t>
            </w:r>
          </w:p>
        </w:tc>
        <w:tc>
          <w:tcPr>
            <w:tcW w:type="dxa" w:w="5083"/>
            <w:vAlign w:val="center"/>
            <w:shd w:fill="D9EAF7"/>
          </w:tcPr>
          <w:p>
            <w:r/>
            <w:r>
              <w:rPr>
                <w:b/>
                <w:sz w:val="15"/>
              </w:rPr>
              <w:t>Research synthesis impact</w:t>
            </w:r>
          </w:p>
        </w:tc>
      </w:tr>
      <w:tr>
        <w:tc>
          <w:tcPr>
            <w:tcW w:type="dxa" w:w="5083"/>
            <w:vAlign w:val="center"/>
          </w:tcPr>
          <w:p>
            <w:r/>
            <w:r>
              <w:rPr>
                <w:b w:val="0"/>
                <w:sz w:val="15"/>
              </w:rPr>
              <w:t>01 PRD v1.0</w:t>
            </w:r>
          </w:p>
        </w:tc>
        <w:tc>
          <w:tcPr>
            <w:tcW w:type="dxa" w:w="5083"/>
            <w:vAlign w:val="center"/>
          </w:tcPr>
          <w:p>
            <w:r/>
            <w:r>
              <w:rPr>
                <w:b w:val="0"/>
                <w:sz w:val="15"/>
              </w:rPr>
              <w:t>Research supports product capability priorities.</w:t>
            </w:r>
          </w:p>
        </w:tc>
      </w:tr>
      <w:tr>
        <w:tc>
          <w:tcPr>
            <w:tcW w:type="dxa" w:w="5083"/>
            <w:vAlign w:val="center"/>
          </w:tcPr>
          <w:p>
            <w:r/>
            <w:r>
              <w:rPr>
                <w:b w:val="0"/>
                <w:sz w:val="15"/>
              </w:rPr>
              <w:t>02 SRS v1.0</w:t>
            </w:r>
          </w:p>
        </w:tc>
        <w:tc>
          <w:tcPr>
            <w:tcW w:type="dxa" w:w="5083"/>
            <w:vAlign w:val="center"/>
          </w:tcPr>
          <w:p>
            <w:r/>
            <w:r>
              <w:rPr>
                <w:b w:val="0"/>
                <w:sz w:val="15"/>
              </w:rPr>
              <w:t>Patterns are evaluated against functional/non-functional requirements.</w:t>
            </w:r>
          </w:p>
        </w:tc>
      </w:tr>
      <w:tr>
        <w:tc>
          <w:tcPr>
            <w:tcW w:type="dxa" w:w="5083"/>
            <w:vAlign w:val="center"/>
          </w:tcPr>
          <w:p>
            <w:r/>
            <w:r>
              <w:rPr>
                <w:b w:val="0"/>
                <w:sz w:val="15"/>
              </w:rPr>
              <w:t>03 System Architecture v1.0</w:t>
            </w:r>
          </w:p>
        </w:tc>
        <w:tc>
          <w:tcPr>
            <w:tcW w:type="dxa" w:w="5083"/>
            <w:vAlign w:val="center"/>
          </w:tcPr>
          <w:p>
            <w:r/>
            <w:r>
              <w:rPr>
                <w:b w:val="0"/>
                <w:sz w:val="15"/>
              </w:rPr>
              <w:t>Research patterns map into controlled internal boundaries.</w:t>
            </w:r>
          </w:p>
        </w:tc>
      </w:tr>
      <w:tr>
        <w:tc>
          <w:tcPr>
            <w:tcW w:type="dxa" w:w="5083"/>
            <w:vAlign w:val="center"/>
          </w:tcPr>
          <w:p>
            <w:r/>
            <w:r>
              <w:rPr>
                <w:b w:val="0"/>
                <w:sz w:val="15"/>
              </w:rPr>
              <w:t>04 Technical Design v1.0</w:t>
            </w:r>
          </w:p>
        </w:tc>
        <w:tc>
          <w:tcPr>
            <w:tcW w:type="dxa" w:w="5083"/>
            <w:vAlign w:val="center"/>
          </w:tcPr>
          <w:p>
            <w:r/>
            <w:r>
              <w:rPr>
                <w:b w:val="0"/>
                <w:sz w:val="15"/>
              </w:rPr>
              <w:t>Implementation ideas are adapted into internal contracts.</w:t>
            </w:r>
          </w:p>
        </w:tc>
      </w:tr>
      <w:tr>
        <w:tc>
          <w:tcPr>
            <w:tcW w:type="dxa" w:w="5083"/>
            <w:vAlign w:val="center"/>
          </w:tcPr>
          <w:p>
            <w:r/>
            <w:r>
              <w:rPr>
                <w:b w:val="0"/>
                <w:sz w:val="15"/>
              </w:rPr>
              <w:t>05 Agent Behaviour v1.0</w:t>
            </w:r>
          </w:p>
        </w:tc>
        <w:tc>
          <w:tcPr>
            <w:tcW w:type="dxa" w:w="5083"/>
            <w:vAlign w:val="center"/>
          </w:tcPr>
          <w:p>
            <w:r/>
            <w:r>
              <w:rPr>
                <w:b w:val="0"/>
                <w:sz w:val="15"/>
              </w:rPr>
              <w:t>Agent loops, modes and multi-agent ideas remain bounded.</w:t>
            </w:r>
          </w:p>
        </w:tc>
      </w:tr>
      <w:tr>
        <w:tc>
          <w:tcPr>
            <w:tcW w:type="dxa" w:w="5083"/>
            <w:vAlign w:val="center"/>
          </w:tcPr>
          <w:p>
            <w:r/>
            <w:r>
              <w:rPr>
                <w:b w:val="0"/>
                <w:sz w:val="15"/>
              </w:rPr>
              <w:t>06 Tool &amp; Permission v1.0</w:t>
            </w:r>
          </w:p>
        </w:tc>
        <w:tc>
          <w:tcPr>
            <w:tcW w:type="dxa" w:w="5083"/>
            <w:vAlign w:val="center"/>
          </w:tcPr>
          <w:p>
            <w:r/>
            <w:r>
              <w:rPr>
                <w:b w:val="0"/>
                <w:sz w:val="15"/>
              </w:rPr>
              <w:t>All external capabilities use the internal tool/policy path.</w:t>
            </w:r>
          </w:p>
        </w:tc>
      </w:tr>
      <w:tr>
        <w:tc>
          <w:tcPr>
            <w:tcW w:type="dxa" w:w="5083"/>
            <w:vAlign w:val="center"/>
          </w:tcPr>
          <w:p>
            <w:r/>
            <w:r>
              <w:rPr>
                <w:b w:val="0"/>
                <w:sz w:val="15"/>
              </w:rPr>
              <w:t>07 Memory &amp; Context v1.0</w:t>
            </w:r>
          </w:p>
        </w:tc>
        <w:tc>
          <w:tcPr>
            <w:tcW w:type="dxa" w:w="5083"/>
            <w:vAlign w:val="center"/>
          </w:tcPr>
          <w:p>
            <w:r/>
            <w:r>
              <w:rPr>
                <w:b w:val="0"/>
                <w:sz w:val="15"/>
              </w:rPr>
              <w:t>Context/provider patterns are adopted with provenance/freshness.</w:t>
            </w:r>
          </w:p>
        </w:tc>
      </w:tr>
      <w:tr>
        <w:tc>
          <w:tcPr>
            <w:tcW w:type="dxa" w:w="5083"/>
            <w:vAlign w:val="center"/>
          </w:tcPr>
          <w:p>
            <w:r/>
            <w:r>
              <w:rPr>
                <w:b w:val="0"/>
                <w:sz w:val="15"/>
              </w:rPr>
              <w:t>08 Error Recovery v1.0</w:t>
            </w:r>
          </w:p>
        </w:tc>
        <w:tc>
          <w:tcPr>
            <w:tcW w:type="dxa" w:w="5083"/>
            <w:vAlign w:val="center"/>
          </w:tcPr>
          <w:p>
            <w:r/>
            <w:r>
              <w:rPr>
                <w:b w:val="0"/>
                <w:sz w:val="15"/>
              </w:rPr>
              <w:t>Repair loops are bounded and evidence-driven.</w:t>
            </w:r>
          </w:p>
        </w:tc>
      </w:tr>
      <w:tr>
        <w:tc>
          <w:tcPr>
            <w:tcW w:type="dxa" w:w="5083"/>
            <w:vAlign w:val="center"/>
          </w:tcPr>
          <w:p>
            <w:r/>
            <w:r>
              <w:rPr>
                <w:b w:val="0"/>
                <w:sz w:val="15"/>
              </w:rPr>
              <w:t>09 Testing &amp; Validation v1.0</w:t>
            </w:r>
          </w:p>
        </w:tc>
        <w:tc>
          <w:tcPr>
            <w:tcW w:type="dxa" w:w="5083"/>
            <w:vAlign w:val="center"/>
          </w:tcPr>
          <w:p>
            <w:r/>
            <w:r>
              <w:rPr>
                <w:b w:val="0"/>
                <w:sz w:val="15"/>
              </w:rPr>
              <w:t>External ideas do not replace internal acceptance tests.</w:t>
            </w:r>
          </w:p>
        </w:tc>
      </w:tr>
      <w:tr>
        <w:tc>
          <w:tcPr>
            <w:tcW w:type="dxa" w:w="5083"/>
            <w:vAlign w:val="center"/>
          </w:tcPr>
          <w:p>
            <w:r/>
            <w:r>
              <w:rPr>
                <w:b w:val="0"/>
                <w:sz w:val="15"/>
              </w:rPr>
              <w:t>10 Security &amp; Sandbox v1.0</w:t>
            </w:r>
          </w:p>
        </w:tc>
        <w:tc>
          <w:tcPr>
            <w:tcW w:type="dxa" w:w="5083"/>
            <w:vAlign w:val="center"/>
          </w:tcPr>
          <w:p>
            <w:r/>
            <w:r>
              <w:rPr>
                <w:b w:val="0"/>
                <w:sz w:val="15"/>
              </w:rPr>
              <w:t>Sandbox/injection/MCP lessons are subordinated to locked security.</w:t>
            </w:r>
          </w:p>
        </w:tc>
      </w:tr>
      <w:tr>
        <w:tc>
          <w:tcPr>
            <w:tcW w:type="dxa" w:w="5083"/>
            <w:vAlign w:val="center"/>
          </w:tcPr>
          <w:p>
            <w:r/>
            <w:r>
              <w:rPr>
                <w:b w:val="0"/>
                <w:sz w:val="15"/>
              </w:rPr>
              <w:t>11 VS Code Integration v1.0</w:t>
            </w:r>
          </w:p>
        </w:tc>
        <w:tc>
          <w:tcPr>
            <w:tcW w:type="dxa" w:w="5083"/>
            <w:vAlign w:val="center"/>
          </w:tcPr>
          <w:p>
            <w:r/>
            <w:r>
              <w:rPr>
                <w:b w:val="0"/>
                <w:sz w:val="15"/>
              </w:rPr>
              <w:t>IDE patterns inform client UX without becoming authorization.</w:t>
            </w:r>
          </w:p>
        </w:tc>
      </w:tr>
      <w:tr>
        <w:tc>
          <w:tcPr>
            <w:tcW w:type="dxa" w:w="5083"/>
            <w:vAlign w:val="center"/>
          </w:tcPr>
          <w:p>
            <w:r/>
            <w:r>
              <w:rPr>
                <w:b w:val="0"/>
                <w:sz w:val="15"/>
              </w:rPr>
              <w:t>12 Project Plan &amp; Progress v1.0</w:t>
            </w:r>
          </w:p>
        </w:tc>
        <w:tc>
          <w:tcPr>
            <w:tcW w:type="dxa" w:w="5083"/>
            <w:vAlign w:val="center"/>
          </w:tcPr>
          <w:p>
            <w:r/>
            <w:r>
              <w:rPr>
                <w:b w:val="0"/>
                <w:sz w:val="15"/>
              </w:rPr>
              <w:t>Research adoption is a controlled implementation activity.</w:t>
            </w:r>
          </w:p>
        </w:tc>
      </w:tr>
    </w:tbl>
    <w:p/>
    <w:p>
      <w:pPr>
        <w:pStyle w:val="Heading1"/>
      </w:pPr>
      <w:r>
        <w:t>24. Implementation Mapping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5"/>
              </w:rPr>
              <w:t>Research output</w:t>
            </w:r>
          </w:p>
        </w:tc>
        <w:tc>
          <w:tcPr>
            <w:tcW w:type="dxa" w:w="5083"/>
            <w:vAlign w:val="center"/>
            <w:shd w:fill="D9EAF7"/>
          </w:tcPr>
          <w:p>
            <w:r/>
            <w:r>
              <w:rPr>
                <w:b/>
                <w:sz w:val="15"/>
              </w:rPr>
              <w:t>Repository artifact</w:t>
            </w:r>
          </w:p>
        </w:tc>
      </w:tr>
      <w:tr>
        <w:tc>
          <w:tcPr>
            <w:tcW w:type="dxa" w:w="5083"/>
            <w:vAlign w:val="center"/>
          </w:tcPr>
          <w:p>
            <w:r/>
            <w:r>
              <w:rPr>
                <w:b w:val="0"/>
                <w:sz w:val="15"/>
              </w:rPr>
              <w:t>Pattern decision</w:t>
            </w:r>
          </w:p>
        </w:tc>
        <w:tc>
          <w:tcPr>
            <w:tcW w:type="dxa" w:w="5083"/>
            <w:vAlign w:val="center"/>
          </w:tcPr>
          <w:p>
            <w:r/>
            <w:r>
              <w:rPr>
                <w:b w:val="0"/>
                <w:sz w:val="15"/>
              </w:rPr>
              <w:t>docs/research/decisions/</w:t>
            </w:r>
          </w:p>
        </w:tc>
      </w:tr>
      <w:tr>
        <w:tc>
          <w:tcPr>
            <w:tcW w:type="dxa" w:w="5083"/>
            <w:vAlign w:val="center"/>
          </w:tcPr>
          <w:p>
            <w:r/>
            <w:r>
              <w:rPr>
                <w:b w:val="0"/>
                <w:sz w:val="15"/>
              </w:rPr>
              <w:t>Source register</w:t>
            </w:r>
          </w:p>
        </w:tc>
        <w:tc>
          <w:tcPr>
            <w:tcW w:type="dxa" w:w="5083"/>
            <w:vAlign w:val="center"/>
          </w:tcPr>
          <w:p>
            <w:r/>
            <w:r>
              <w:rPr>
                <w:b w:val="0"/>
                <w:sz w:val="15"/>
              </w:rPr>
              <w:t>docs/research/sources/</w:t>
            </w:r>
          </w:p>
        </w:tc>
      </w:tr>
      <w:tr>
        <w:tc>
          <w:tcPr>
            <w:tcW w:type="dxa" w:w="5083"/>
            <w:vAlign w:val="center"/>
          </w:tcPr>
          <w:p>
            <w:r/>
            <w:r>
              <w:rPr>
                <w:b w:val="0"/>
                <w:sz w:val="15"/>
              </w:rPr>
              <w:t>Adoption notes</w:t>
            </w:r>
          </w:p>
        </w:tc>
        <w:tc>
          <w:tcPr>
            <w:tcW w:type="dxa" w:w="5083"/>
            <w:vAlign w:val="center"/>
          </w:tcPr>
          <w:p>
            <w:r/>
            <w:r>
              <w:rPr>
                <w:b w:val="0"/>
                <w:sz w:val="15"/>
              </w:rPr>
              <w:t>docs/research/adoptions/</w:t>
            </w:r>
          </w:p>
        </w:tc>
      </w:tr>
      <w:tr>
        <w:tc>
          <w:tcPr>
            <w:tcW w:type="dxa" w:w="5083"/>
            <w:vAlign w:val="center"/>
          </w:tcPr>
          <w:p>
            <w:r/>
            <w:r>
              <w:rPr>
                <w:b w:val="0"/>
                <w:sz w:val="15"/>
              </w:rPr>
              <w:t>External code review</w:t>
            </w:r>
          </w:p>
        </w:tc>
        <w:tc>
          <w:tcPr>
            <w:tcW w:type="dxa" w:w="5083"/>
            <w:vAlign w:val="center"/>
          </w:tcPr>
          <w:p>
            <w:r/>
            <w:r>
              <w:rPr>
                <w:b w:val="0"/>
                <w:sz w:val="15"/>
              </w:rPr>
              <w:t>docs/research/dependency-reviews/</w:t>
            </w:r>
          </w:p>
        </w:tc>
      </w:tr>
      <w:tr>
        <w:tc>
          <w:tcPr>
            <w:tcW w:type="dxa" w:w="5083"/>
            <w:vAlign w:val="center"/>
          </w:tcPr>
          <w:p>
            <w:r/>
            <w:r>
              <w:rPr>
                <w:b w:val="0"/>
                <w:sz w:val="15"/>
              </w:rPr>
              <w:t>License review</w:t>
            </w:r>
          </w:p>
        </w:tc>
        <w:tc>
          <w:tcPr>
            <w:tcW w:type="dxa" w:w="5083"/>
            <w:vAlign w:val="center"/>
          </w:tcPr>
          <w:p>
            <w:r/>
            <w:r>
              <w:rPr>
                <w:b w:val="0"/>
                <w:sz w:val="15"/>
              </w:rPr>
              <w:t>docs/research/licenses/</w:t>
            </w:r>
          </w:p>
        </w:tc>
      </w:tr>
      <w:tr>
        <w:tc>
          <w:tcPr>
            <w:tcW w:type="dxa" w:w="5083"/>
            <w:vAlign w:val="center"/>
          </w:tcPr>
          <w:p>
            <w:r/>
            <w:r>
              <w:rPr>
                <w:b w:val="0"/>
                <w:sz w:val="15"/>
              </w:rPr>
              <w:t>Security review</w:t>
            </w:r>
          </w:p>
        </w:tc>
        <w:tc>
          <w:tcPr>
            <w:tcW w:type="dxa" w:w="5083"/>
            <w:vAlign w:val="center"/>
          </w:tcPr>
          <w:p>
            <w:r/>
            <w:r>
              <w:rPr>
                <w:b w:val="0"/>
                <w:sz w:val="15"/>
              </w:rPr>
              <w:t>docs/research/security/</w:t>
            </w:r>
          </w:p>
        </w:tc>
      </w:tr>
      <w:tr>
        <w:tc>
          <w:tcPr>
            <w:tcW w:type="dxa" w:w="5083"/>
            <w:vAlign w:val="center"/>
          </w:tcPr>
          <w:p>
            <w:r/>
            <w:r>
              <w:rPr>
                <w:b w:val="0"/>
                <w:sz w:val="15"/>
              </w:rPr>
              <w:t>Benchmark results</w:t>
            </w:r>
          </w:p>
        </w:tc>
        <w:tc>
          <w:tcPr>
            <w:tcW w:type="dxa" w:w="5083"/>
            <w:vAlign w:val="center"/>
          </w:tcPr>
          <w:p>
            <w:r/>
            <w:r>
              <w:rPr>
                <w:b w:val="0"/>
                <w:sz w:val="15"/>
              </w:rPr>
              <w:t>artifacts/research/benchmarks/</w:t>
            </w:r>
          </w:p>
        </w:tc>
      </w:tr>
      <w:tr>
        <w:tc>
          <w:tcPr>
            <w:tcW w:type="dxa" w:w="5083"/>
            <w:vAlign w:val="center"/>
          </w:tcPr>
          <w:p>
            <w:r/>
            <w:r>
              <w:rPr>
                <w:b w:val="0"/>
                <w:sz w:val="15"/>
              </w:rPr>
              <w:t>Research tests</w:t>
            </w:r>
          </w:p>
        </w:tc>
        <w:tc>
          <w:tcPr>
            <w:tcW w:type="dxa" w:w="5083"/>
            <w:vAlign w:val="center"/>
          </w:tcPr>
          <w:p>
            <w:r/>
            <w:r>
              <w:rPr>
                <w:b w:val="0"/>
                <w:sz w:val="15"/>
              </w:rPr>
              <w:t>tests/research/</w:t>
            </w:r>
          </w:p>
        </w:tc>
      </w:tr>
      <w:tr>
        <w:tc>
          <w:tcPr>
            <w:tcW w:type="dxa" w:w="5083"/>
            <w:vAlign w:val="center"/>
          </w:tcPr>
          <w:p>
            <w:r/>
            <w:r>
              <w:rPr>
                <w:b w:val="0"/>
                <w:sz w:val="15"/>
              </w:rPr>
              <w:t>Synthesis document</w:t>
            </w:r>
          </w:p>
        </w:tc>
        <w:tc>
          <w:tcPr>
            <w:tcW w:type="dxa" w:w="5083"/>
            <w:vAlign w:val="center"/>
          </w:tcPr>
          <w:p>
            <w:r/>
            <w:r>
              <w:rPr>
                <w:b w:val="0"/>
                <w:sz w:val="15"/>
              </w:rPr>
              <w:t>docs/research/RESEARCH_SYNTHESIS_v1.0.md</w:t>
            </w:r>
          </w:p>
        </w:tc>
      </w:tr>
    </w:tbl>
    <w:p/>
    <w:p>
      <w:pPr>
        <w:pStyle w:val="Heading1"/>
      </w:pPr>
      <w:r>
        <w:t>25. Change Control</w:t>
      </w:r>
    </w:p>
    <w:p>
      <w:pPr>
        <w:pStyle w:val="ListBullet"/>
        <w:spacing w:after="24"/>
      </w:pPr>
      <w:r>
        <w:t>New research does not automatically change architecture.</w:t>
      </w:r>
    </w:p>
    <w:p>
      <w:pPr>
        <w:pStyle w:val="ListBullet"/>
        <w:spacing w:after="24"/>
      </w:pPr>
      <w:r>
        <w:t>New external repositories require source/maintenance/license/security review.</w:t>
      </w:r>
    </w:p>
    <w:p>
      <w:pPr>
        <w:pStyle w:val="ListBullet"/>
        <w:spacing w:after="24"/>
      </w:pPr>
      <w:r>
        <w:t>Adopting a new architecture pattern requires impact analysis against locked documents.</w:t>
      </w:r>
    </w:p>
    <w:p>
      <w:pPr>
        <w:pStyle w:val="ListBullet"/>
        <w:spacing w:after="24"/>
      </w:pPr>
      <w:r>
        <w:t>Replacing an adopted dependency requires regression/compatibility testing.</w:t>
      </w:r>
    </w:p>
    <w:p>
      <w:pPr>
        <w:pStyle w:val="ListBullet"/>
        <w:spacing w:after="24"/>
      </w:pPr>
      <w:r>
        <w:t>Security-related research findings require immediate review if they expose a weakness in our design.</w:t>
      </w:r>
    </w:p>
    <w:p>
      <w:pPr>
        <w:pStyle w:val="ListBullet"/>
        <w:spacing w:after="24"/>
      </w:pPr>
      <w:r>
        <w:t>Any baseline-changing conclusion is promoted through formal specification versioning.</w:t>
      </w:r>
    </w:p>
    <w:p>
      <w:pPr>
        <w:pStyle w:val="ListBullet"/>
        <w:spacing w:after="24"/>
      </w:pPr>
      <w:r>
        <w:t>v1.0 remains the historical locked research synthesis; future research creates v1.1+.</w:t>
      </w:r>
    </w:p>
    <w:p>
      <w:pPr>
        <w:pStyle w:val="Heading1"/>
      </w:pPr>
      <w:r>
        <w:t>26. Final Status</w:t>
      </w:r>
    </w:p>
    <w:p>
      <w:r>
        <w:rPr>
          <w:b/>
        </w:rPr>
        <w:t>STATUS: FINAL / LOCKED — v1.0</w:t>
      </w:r>
    </w:p>
    <w:p>
      <w:r>
        <w:t>Research Synthesis v1.0 is the authoritative record of how the researched agent/code-agent ecosystem informs our implementation. It deliberately separates external inspiration from our internal architecture and preserves the locked security, behavior, validation and project-governance boundaries.</w:t>
      </w:r>
    </w:p>
    <w:p>
      <w:pPr>
        <w:jc w:val="center"/>
      </w:pPr>
      <w:r>
        <w:rPr>
          <w:b/>
        </w:rPr>
        <w:t>— END OF RESEARCH SYNTHESIS v1.0 —</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Software Co-Agent • Research Synthesis v1.0 • FINAL / LOCKED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