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SOFTWARE CO-AGENT</w:t>
      </w:r>
    </w:p>
    <w:p>
      <w:pPr>
        <w:jc w:val="center"/>
      </w:pPr>
      <w:r>
        <w:rPr>
          <w:b/>
          <w:sz w:val="38"/>
        </w:rPr>
        <w:t>SECURITY &amp; SANDBOX SPECIFICATION</w:t>
      </w:r>
    </w:p>
    <w:p>
      <w:pPr>
        <w:jc w:val="center"/>
      </w:pPr>
      <w:r>
        <w:rPr>
          <w:b/>
          <w:sz w:val="27"/>
        </w:rPr>
        <w:t>Version 1.0 — FINAL / LOCKED</w:t>
      </w:r>
    </w:p>
    <w:p>
      <w:pPr>
        <w:jc w:val="center"/>
      </w:pPr>
      <w:r>
        <w:rPr>
          <w:i/>
        </w:rPr>
        <w:t>Document ID: SSS-001 • Derived from PRD, SRS, System Architecture, Technical Design, Agent Behaviour, Tool/Permission, Memory/Context, Error Recovery &amp; Testing/Validation v1.0</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Field</w:t>
            </w:r>
          </w:p>
        </w:tc>
        <w:tc>
          <w:tcPr>
            <w:tcW w:type="dxa" w:w="5083"/>
            <w:vAlign w:val="center"/>
            <w:shd w:fill="D9EAF7"/>
          </w:tcPr>
          <w:p>
            <w:r/>
            <w:r>
              <w:rPr>
                <w:b/>
                <w:sz w:val="16"/>
              </w:rPr>
              <w:t>Value</w:t>
            </w:r>
          </w:p>
        </w:tc>
      </w:tr>
      <w:tr>
        <w:tc>
          <w:tcPr>
            <w:tcW w:type="dxa" w:w="5083"/>
            <w:vAlign w:val="center"/>
          </w:tcPr>
          <w:p>
            <w:r/>
            <w:r>
              <w:rPr>
                <w:b w:val="0"/>
                <w:sz w:val="16"/>
              </w:rPr>
              <w:t>Document</w:t>
            </w:r>
          </w:p>
        </w:tc>
        <w:tc>
          <w:tcPr>
            <w:tcW w:type="dxa" w:w="5083"/>
            <w:vAlign w:val="center"/>
          </w:tcPr>
          <w:p>
            <w:r/>
            <w:r>
              <w:rPr>
                <w:b w:val="0"/>
                <w:sz w:val="16"/>
              </w:rPr>
              <w:t>Security &amp; Sandbox Specification</w:t>
            </w:r>
          </w:p>
        </w:tc>
      </w:tr>
      <w:tr>
        <w:tc>
          <w:tcPr>
            <w:tcW w:type="dxa" w:w="5083"/>
            <w:vAlign w:val="center"/>
          </w:tcPr>
          <w:p>
            <w:r/>
            <w:r>
              <w:rPr>
                <w:b w:val="0"/>
                <w:sz w:val="16"/>
              </w:rPr>
              <w:t>Version</w:t>
            </w:r>
          </w:p>
        </w:tc>
        <w:tc>
          <w:tcPr>
            <w:tcW w:type="dxa" w:w="5083"/>
            <w:vAlign w:val="center"/>
          </w:tcPr>
          <w:p>
            <w:r/>
            <w:r>
              <w:rPr>
                <w:b w:val="0"/>
                <w:sz w:val="16"/>
              </w:rPr>
              <w:t>v1.0</w:t>
            </w:r>
          </w:p>
        </w:tc>
      </w:tr>
      <w:tr>
        <w:tc>
          <w:tcPr>
            <w:tcW w:type="dxa" w:w="5083"/>
            <w:vAlign w:val="center"/>
          </w:tcPr>
          <w:p>
            <w:r/>
            <w:r>
              <w:rPr>
                <w:b w:val="0"/>
                <w:sz w:val="16"/>
              </w:rPr>
              <w:t>Status</w:t>
            </w:r>
          </w:p>
        </w:tc>
        <w:tc>
          <w:tcPr>
            <w:tcW w:type="dxa" w:w="5083"/>
            <w:vAlign w:val="center"/>
          </w:tcPr>
          <w:p>
            <w:r/>
            <w:r>
              <w:rPr>
                <w:b w:val="0"/>
                <w:sz w:val="16"/>
              </w:rPr>
              <w:t>FINAL / LOCKED</w:t>
            </w:r>
          </w:p>
        </w:tc>
      </w:tr>
      <w:tr>
        <w:tc>
          <w:tcPr>
            <w:tcW w:type="dxa" w:w="5083"/>
            <w:vAlign w:val="center"/>
          </w:tcPr>
          <w:p>
            <w:r/>
            <w:r>
              <w:rPr>
                <w:b w:val="0"/>
                <w:sz w:val="16"/>
              </w:rPr>
              <w:t>Product</w:t>
            </w:r>
          </w:p>
        </w:tc>
        <w:tc>
          <w:tcPr>
            <w:tcW w:type="dxa" w:w="5083"/>
            <w:vAlign w:val="center"/>
          </w:tcPr>
          <w:p>
            <w:r/>
            <w:r>
              <w:rPr>
                <w:b w:val="0"/>
                <w:sz w:val="16"/>
              </w:rPr>
              <w:t>AI Software Co-Agent</w:t>
            </w:r>
          </w:p>
        </w:tc>
      </w:tr>
      <w:tr>
        <w:tc>
          <w:tcPr>
            <w:tcW w:type="dxa" w:w="5083"/>
            <w:vAlign w:val="center"/>
          </w:tcPr>
          <w:p>
            <w:r/>
            <w:r>
              <w:rPr>
                <w:b w:val="0"/>
                <w:sz w:val="16"/>
              </w:rPr>
              <w:t>Source baselines</w:t>
            </w:r>
          </w:p>
        </w:tc>
        <w:tc>
          <w:tcPr>
            <w:tcW w:type="dxa" w:w="5083"/>
            <w:vAlign w:val="center"/>
          </w:tcPr>
          <w:p>
            <w:r/>
            <w:r>
              <w:rPr>
                <w:b w:val="0"/>
                <w:sz w:val="16"/>
              </w:rPr>
              <w:t>PRD + SRS + System Architecture + Technical Design + Agent Behaviour + Tool &amp; Permission + Memory &amp; Context + Error Recovery + Testing &amp; Validation v1.0</w:t>
            </w:r>
          </w:p>
        </w:tc>
      </w:tr>
      <w:tr>
        <w:tc>
          <w:tcPr>
            <w:tcW w:type="dxa" w:w="5083"/>
            <w:vAlign w:val="center"/>
          </w:tcPr>
          <w:p>
            <w:r/>
            <w:r>
              <w:rPr>
                <w:b w:val="0"/>
                <w:sz w:val="16"/>
              </w:rPr>
              <w:t>Purpose</w:t>
            </w:r>
          </w:p>
        </w:tc>
        <w:tc>
          <w:tcPr>
            <w:tcW w:type="dxa" w:w="5083"/>
            <w:vAlign w:val="center"/>
          </w:tcPr>
          <w:p>
            <w:r/>
            <w:r>
              <w:rPr>
                <w:b w:val="0"/>
                <w:sz w:val="16"/>
              </w:rPr>
              <w:t>Define security authority, workspace isolation, process execution controls, secret protection, prompt-injection resistance, MCP boundaries, audit and security validation</w:t>
            </w:r>
          </w:p>
        </w:tc>
      </w:tr>
    </w:tbl>
    <w:p/>
    <w:p>
      <w:r>
        <w:rPr>
          <w:b/>
        </w:rPr>
        <w:t xml:space="preserve">Lock Statement: </w:t>
      </w:r>
      <w:r>
        <w:t>This Security &amp; Sandbox Specification v1.0 is the final locked security baseline. Security controls are authoritative over agent intent, memory, repository instructions, tools, recovery and autonomy configuration. No normal agent workflow may bypass these controls.</w:t>
      </w:r>
    </w:p>
    <w:p>
      <w:r>
        <w:br w:type="page"/>
      </w:r>
    </w:p>
    <w:p>
      <w:pPr>
        <w:pStyle w:val="Heading1"/>
      </w:pPr>
      <w:r>
        <w:t>1. Security Mission</w:t>
      </w:r>
    </w:p>
    <w:p>
      <w:r>
        <w:t>The Security &amp; Sandbox layer protects the user's workspace, system resources, credentials, repository state, external interfaces and execution environment from unintended or unauthorized agent actions. It establishes defense-in-depth between model reasoning and real-world side effects.</w:t>
      </w:r>
    </w:p>
    <w:p>
      <w:r>
        <w:rPr>
          <w:b/>
        </w:rPr>
        <w:t xml:space="preserve">Primary security principle: </w:t>
      </w:r>
      <w:r>
        <w:t>No model output is a security authority.</w:t>
      </w:r>
    </w:p>
    <w:p>
      <w:pPr>
        <w:pStyle w:val="Heading1"/>
      </w:pPr>
      <w:r>
        <w:t>2. Security Principles</w:t>
      </w:r>
    </w:p>
    <w:p>
      <w:pPr>
        <w:pStyle w:val="ListBullet"/>
        <w:spacing w:after="26"/>
      </w:pPr>
      <w:r>
        <w:t>Default deny for unknown or high-impact capabilities.</w:t>
      </w:r>
    </w:p>
    <w:p>
      <w:pPr>
        <w:pStyle w:val="ListBullet"/>
        <w:spacing w:after="26"/>
      </w:pPr>
      <w:r>
        <w:t>Least privilege for every tool and execution path.</w:t>
      </w:r>
    </w:p>
    <w:p>
      <w:pPr>
        <w:pStyle w:val="ListBullet"/>
        <w:spacing w:after="26"/>
      </w:pPr>
      <w:r>
        <w:t>Explicit workspace/resource boundaries.</w:t>
      </w:r>
    </w:p>
    <w:p>
      <w:pPr>
        <w:pStyle w:val="ListBullet"/>
        <w:spacing w:after="26"/>
      </w:pPr>
      <w:r>
        <w:t>Centralized authorization through the Tool Gateway and Policy Engine.</w:t>
      </w:r>
    </w:p>
    <w:p>
      <w:pPr>
        <w:pStyle w:val="ListBullet"/>
        <w:spacing w:after="26"/>
      </w:pPr>
      <w:r>
        <w:t>Defense in depth: schema, scope, policy, executor and sandbox controls.</w:t>
      </w:r>
    </w:p>
    <w:p>
      <w:pPr>
        <w:pStyle w:val="ListBullet"/>
        <w:spacing w:after="26"/>
      </w:pPr>
      <w:r>
        <w:t>Untrusted repository, MCP and tool content cannot override security rules.</w:t>
      </w:r>
    </w:p>
    <w:p>
      <w:pPr>
        <w:pStyle w:val="ListBullet"/>
        <w:spacing w:after="26"/>
      </w:pPr>
      <w:r>
        <w:t>Secrets are minimized, filtered and never intentionally exposed to the model.</w:t>
      </w:r>
    </w:p>
    <w:p>
      <w:pPr>
        <w:pStyle w:val="ListBullet"/>
        <w:spacing w:after="26"/>
      </w:pPr>
      <w:r>
        <w:t>Destructive or high-impact operations require restrictive policy/approval.</w:t>
      </w:r>
    </w:p>
    <w:p>
      <w:pPr>
        <w:pStyle w:val="ListBullet"/>
        <w:spacing w:after="26"/>
      </w:pPr>
      <w:r>
        <w:t>User changes must be preserved.</w:t>
      </w:r>
    </w:p>
    <w:p>
      <w:pPr>
        <w:pStyle w:val="ListBullet"/>
        <w:spacing w:after="26"/>
      </w:pPr>
      <w:r>
        <w:t>Security failures stop or block the affected operation.</w:t>
      </w:r>
    </w:p>
    <w:p>
      <w:pPr>
        <w:pStyle w:val="ListBullet"/>
        <w:spacing w:after="26"/>
      </w:pPr>
      <w:r>
        <w:t>Security controls are independent of model confidence.</w:t>
      </w:r>
    </w:p>
    <w:p>
      <w:pPr>
        <w:pStyle w:val="ListBullet"/>
        <w:spacing w:after="26"/>
      </w:pPr>
      <w:r>
        <w:t>Recovery cannot bypass security controls.</w:t>
      </w:r>
    </w:p>
    <w:p>
      <w:pPr>
        <w:pStyle w:val="ListBullet"/>
        <w:spacing w:after="26"/>
      </w:pPr>
      <w:r>
        <w:t>Security configuration cannot be weakened by repository content or ordinary agent actions.</w:t>
      </w:r>
    </w:p>
    <w:p>
      <w:pPr>
        <w:pStyle w:val="ListBullet"/>
        <w:spacing w:after="26"/>
      </w:pPr>
      <w:r>
        <w:t>Every material security decision is auditable.</w:t>
      </w:r>
    </w:p>
    <w:p>
      <w:pPr>
        <w:pStyle w:val="Heading1"/>
      </w:pPr>
      <w:r>
        <w:t>3. Threat Model</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Threat source</w:t>
            </w:r>
          </w:p>
        </w:tc>
        <w:tc>
          <w:tcPr>
            <w:tcW w:type="dxa" w:w="3389"/>
            <w:vAlign w:val="center"/>
            <w:shd w:fill="D9EAF7"/>
          </w:tcPr>
          <w:p>
            <w:r/>
            <w:r>
              <w:rPr>
                <w:b/>
                <w:sz w:val="16"/>
              </w:rPr>
              <w:t>Examples</w:t>
            </w:r>
          </w:p>
        </w:tc>
        <w:tc>
          <w:tcPr>
            <w:tcW w:type="dxa" w:w="3389"/>
            <w:vAlign w:val="center"/>
            <w:shd w:fill="D9EAF7"/>
          </w:tcPr>
          <w:p>
            <w:r/>
            <w:r>
              <w:rPr>
                <w:b/>
                <w:sz w:val="16"/>
              </w:rPr>
              <w:t>Primary controls</w:t>
            </w:r>
          </w:p>
        </w:tc>
      </w:tr>
      <w:tr>
        <w:tc>
          <w:tcPr>
            <w:tcW w:type="dxa" w:w="3389"/>
            <w:vAlign w:val="center"/>
          </w:tcPr>
          <w:p>
            <w:r/>
            <w:r>
              <w:rPr>
                <w:b w:val="0"/>
                <w:sz w:val="16"/>
              </w:rPr>
              <w:t>Model-generated action</w:t>
            </w:r>
          </w:p>
        </w:tc>
        <w:tc>
          <w:tcPr>
            <w:tcW w:type="dxa" w:w="3389"/>
            <w:vAlign w:val="center"/>
          </w:tcPr>
          <w:p>
            <w:r/>
            <w:r>
              <w:rPr>
                <w:b w:val="0"/>
                <w:sz w:val="16"/>
              </w:rPr>
              <w:t>Unsafe command, broad file write</w:t>
            </w:r>
          </w:p>
        </w:tc>
        <w:tc>
          <w:tcPr>
            <w:tcW w:type="dxa" w:w="3389"/>
            <w:vAlign w:val="center"/>
          </w:tcPr>
          <w:p>
            <w:r/>
            <w:r>
              <w:rPr>
                <w:b w:val="0"/>
                <w:sz w:val="16"/>
              </w:rPr>
              <w:t>Tool Gateway + Policy</w:t>
            </w:r>
          </w:p>
        </w:tc>
      </w:tr>
      <w:tr>
        <w:tc>
          <w:tcPr>
            <w:tcW w:type="dxa" w:w="3389"/>
            <w:vAlign w:val="center"/>
          </w:tcPr>
          <w:p>
            <w:r/>
            <w:r>
              <w:rPr>
                <w:b w:val="0"/>
                <w:sz w:val="16"/>
              </w:rPr>
              <w:t>Repository content</w:t>
            </w:r>
          </w:p>
        </w:tc>
        <w:tc>
          <w:tcPr>
            <w:tcW w:type="dxa" w:w="3389"/>
            <w:vAlign w:val="center"/>
          </w:tcPr>
          <w:p>
            <w:r/>
            <w:r>
              <w:rPr>
                <w:b w:val="0"/>
                <w:sz w:val="16"/>
              </w:rPr>
              <w:t>Prompt injection in README/code/comments</w:t>
            </w:r>
          </w:p>
        </w:tc>
        <w:tc>
          <w:tcPr>
            <w:tcW w:type="dxa" w:w="3389"/>
            <w:vAlign w:val="center"/>
          </w:tcPr>
          <w:p>
            <w:r/>
            <w:r>
              <w:rPr>
                <w:b w:val="0"/>
                <w:sz w:val="16"/>
              </w:rPr>
              <w:t>Untrusted-content handling</w:t>
            </w:r>
          </w:p>
        </w:tc>
      </w:tr>
      <w:tr>
        <w:tc>
          <w:tcPr>
            <w:tcW w:type="dxa" w:w="3389"/>
            <w:vAlign w:val="center"/>
          </w:tcPr>
          <w:p>
            <w:r/>
            <w:r>
              <w:rPr>
                <w:b w:val="0"/>
                <w:sz w:val="16"/>
              </w:rPr>
              <w:t>MCP/external tool</w:t>
            </w:r>
          </w:p>
        </w:tc>
        <w:tc>
          <w:tcPr>
            <w:tcW w:type="dxa" w:w="3389"/>
            <w:vAlign w:val="center"/>
          </w:tcPr>
          <w:p>
            <w:r/>
            <w:r>
              <w:rPr>
                <w:b w:val="0"/>
                <w:sz w:val="16"/>
              </w:rPr>
              <w:t>Malicious response/capability</w:t>
            </w:r>
          </w:p>
        </w:tc>
        <w:tc>
          <w:tcPr>
            <w:tcW w:type="dxa" w:w="3389"/>
            <w:vAlign w:val="center"/>
          </w:tcPr>
          <w:p>
            <w:r/>
            <w:r>
              <w:rPr>
                <w:b w:val="0"/>
                <w:sz w:val="16"/>
              </w:rPr>
              <w:t>MCP adapter + policy boundary</w:t>
            </w:r>
          </w:p>
        </w:tc>
      </w:tr>
      <w:tr>
        <w:tc>
          <w:tcPr>
            <w:tcW w:type="dxa" w:w="3389"/>
            <w:vAlign w:val="center"/>
          </w:tcPr>
          <w:p>
            <w:r/>
            <w:r>
              <w:rPr>
                <w:b w:val="0"/>
                <w:sz w:val="16"/>
              </w:rPr>
              <w:t>Tool implementation</w:t>
            </w:r>
          </w:p>
        </w:tc>
        <w:tc>
          <w:tcPr>
            <w:tcW w:type="dxa" w:w="3389"/>
            <w:vAlign w:val="center"/>
          </w:tcPr>
          <w:p>
            <w:r/>
            <w:r>
              <w:rPr>
                <w:b w:val="0"/>
                <w:sz w:val="16"/>
              </w:rPr>
              <w:t>Buggy executor</w:t>
            </w:r>
          </w:p>
        </w:tc>
        <w:tc>
          <w:tcPr>
            <w:tcW w:type="dxa" w:w="3389"/>
            <w:vAlign w:val="center"/>
          </w:tcPr>
          <w:p>
            <w:r/>
            <w:r>
              <w:rPr>
                <w:b w:val="0"/>
                <w:sz w:val="16"/>
              </w:rPr>
              <w:t>Typed contracts + sandbox + tests</w:t>
            </w:r>
          </w:p>
        </w:tc>
      </w:tr>
      <w:tr>
        <w:tc>
          <w:tcPr>
            <w:tcW w:type="dxa" w:w="3389"/>
            <w:vAlign w:val="center"/>
          </w:tcPr>
          <w:p>
            <w:r/>
            <w:r>
              <w:rPr>
                <w:b w:val="0"/>
                <w:sz w:val="16"/>
              </w:rPr>
              <w:t>User workspace</w:t>
            </w:r>
          </w:p>
        </w:tc>
        <w:tc>
          <w:tcPr>
            <w:tcW w:type="dxa" w:w="3389"/>
            <w:vAlign w:val="center"/>
          </w:tcPr>
          <w:p>
            <w:r/>
            <w:r>
              <w:rPr>
                <w:b w:val="0"/>
                <w:sz w:val="16"/>
              </w:rPr>
              <w:t>Secrets, protected files</w:t>
            </w:r>
          </w:p>
        </w:tc>
        <w:tc>
          <w:tcPr>
            <w:tcW w:type="dxa" w:w="3389"/>
            <w:vAlign w:val="center"/>
          </w:tcPr>
          <w:p>
            <w:r/>
            <w:r>
              <w:rPr>
                <w:b w:val="0"/>
                <w:sz w:val="16"/>
              </w:rPr>
              <w:t>Scope/protected-path rules</w:t>
            </w:r>
          </w:p>
        </w:tc>
      </w:tr>
      <w:tr>
        <w:tc>
          <w:tcPr>
            <w:tcW w:type="dxa" w:w="3389"/>
            <w:vAlign w:val="center"/>
          </w:tcPr>
          <w:p>
            <w:r/>
            <w:r>
              <w:rPr>
                <w:b w:val="0"/>
                <w:sz w:val="16"/>
              </w:rPr>
              <w:t>Process execution</w:t>
            </w:r>
          </w:p>
        </w:tc>
        <w:tc>
          <w:tcPr>
            <w:tcW w:type="dxa" w:w="3389"/>
            <w:vAlign w:val="center"/>
          </w:tcPr>
          <w:p>
            <w:r/>
            <w:r>
              <w:rPr>
                <w:b w:val="0"/>
                <w:sz w:val="16"/>
              </w:rPr>
              <w:t>Shell escape, chaining</w:t>
            </w:r>
          </w:p>
        </w:tc>
        <w:tc>
          <w:tcPr>
            <w:tcW w:type="dxa" w:w="3389"/>
            <w:vAlign w:val="center"/>
          </w:tcPr>
          <w:p>
            <w:r/>
            <w:r>
              <w:rPr>
                <w:b w:val="0"/>
                <w:sz w:val="16"/>
              </w:rPr>
              <w:t>Command policy + sandbox</w:t>
            </w:r>
          </w:p>
        </w:tc>
      </w:tr>
      <w:tr>
        <w:tc>
          <w:tcPr>
            <w:tcW w:type="dxa" w:w="3389"/>
            <w:vAlign w:val="center"/>
          </w:tcPr>
          <w:p>
            <w:r/>
            <w:r>
              <w:rPr>
                <w:b w:val="0"/>
                <w:sz w:val="16"/>
              </w:rPr>
              <w:t>Filesystem</w:t>
            </w:r>
          </w:p>
        </w:tc>
        <w:tc>
          <w:tcPr>
            <w:tcW w:type="dxa" w:w="3389"/>
            <w:vAlign w:val="center"/>
          </w:tcPr>
          <w:p>
            <w:r/>
            <w:r>
              <w:rPr>
                <w:b w:val="0"/>
                <w:sz w:val="16"/>
              </w:rPr>
              <w:t>Traversal, symlink escape</w:t>
            </w:r>
          </w:p>
        </w:tc>
        <w:tc>
          <w:tcPr>
            <w:tcW w:type="dxa" w:w="3389"/>
            <w:vAlign w:val="center"/>
          </w:tcPr>
          <w:p>
            <w:r/>
            <w:r>
              <w:rPr>
                <w:b w:val="0"/>
                <w:sz w:val="16"/>
              </w:rPr>
              <w:t>Canonicalization + containment</w:t>
            </w:r>
          </w:p>
        </w:tc>
      </w:tr>
      <w:tr>
        <w:tc>
          <w:tcPr>
            <w:tcW w:type="dxa" w:w="3389"/>
            <w:vAlign w:val="center"/>
          </w:tcPr>
          <w:p>
            <w:r/>
            <w:r>
              <w:rPr>
                <w:b w:val="0"/>
                <w:sz w:val="16"/>
              </w:rPr>
              <w:t>Configuration</w:t>
            </w:r>
          </w:p>
        </w:tc>
        <w:tc>
          <w:tcPr>
            <w:tcW w:type="dxa" w:w="3389"/>
            <w:vAlign w:val="center"/>
          </w:tcPr>
          <w:p>
            <w:r/>
            <w:r>
              <w:rPr>
                <w:b w:val="0"/>
                <w:sz w:val="16"/>
              </w:rPr>
              <w:t>Policy weakening attempt</w:t>
            </w:r>
          </w:p>
        </w:tc>
        <w:tc>
          <w:tcPr>
            <w:tcW w:type="dxa" w:w="3389"/>
            <w:vAlign w:val="center"/>
          </w:tcPr>
          <w:p>
            <w:r/>
            <w:r>
              <w:rPr>
                <w:b w:val="0"/>
                <w:sz w:val="16"/>
              </w:rPr>
              <w:t>Protected config + authority separation</w:t>
            </w:r>
          </w:p>
        </w:tc>
      </w:tr>
      <w:tr>
        <w:tc>
          <w:tcPr>
            <w:tcW w:type="dxa" w:w="3389"/>
            <w:vAlign w:val="center"/>
          </w:tcPr>
          <w:p>
            <w:r/>
            <w:r>
              <w:rPr>
                <w:b w:val="0"/>
                <w:sz w:val="16"/>
              </w:rPr>
              <w:t>Memory</w:t>
            </w:r>
          </w:p>
        </w:tc>
        <w:tc>
          <w:tcPr>
            <w:tcW w:type="dxa" w:w="3389"/>
            <w:vAlign w:val="center"/>
          </w:tcPr>
          <w:p>
            <w:r/>
            <w:r>
              <w:rPr>
                <w:b w:val="0"/>
                <w:sz w:val="16"/>
              </w:rPr>
              <w:t>Stale/malicious instruction</w:t>
            </w:r>
          </w:p>
        </w:tc>
        <w:tc>
          <w:tcPr>
            <w:tcW w:type="dxa" w:w="3389"/>
            <w:vAlign w:val="center"/>
          </w:tcPr>
          <w:p>
            <w:r/>
            <w:r>
              <w:rPr>
                <w:b w:val="0"/>
                <w:sz w:val="16"/>
              </w:rPr>
              <w:t>Memory advisory-only</w:t>
            </w:r>
          </w:p>
        </w:tc>
      </w:tr>
      <w:tr>
        <w:tc>
          <w:tcPr>
            <w:tcW w:type="dxa" w:w="3389"/>
            <w:vAlign w:val="center"/>
          </w:tcPr>
          <w:p>
            <w:r/>
            <w:r>
              <w:rPr>
                <w:b w:val="0"/>
                <w:sz w:val="16"/>
              </w:rPr>
              <w:t>Recovery</w:t>
            </w:r>
          </w:p>
        </w:tc>
        <w:tc>
          <w:tcPr>
            <w:tcW w:type="dxa" w:w="3389"/>
            <w:vAlign w:val="center"/>
          </w:tcPr>
          <w:p>
            <w:r/>
            <w:r>
              <w:rPr>
                <w:b w:val="0"/>
                <w:sz w:val="16"/>
              </w:rPr>
              <w:t>Retry/bypass after DENY</w:t>
            </w:r>
          </w:p>
        </w:tc>
        <w:tc>
          <w:tcPr>
            <w:tcW w:type="dxa" w:w="3389"/>
            <w:vAlign w:val="center"/>
          </w:tcPr>
          <w:p>
            <w:r/>
            <w:r>
              <w:rPr>
                <w:b w:val="0"/>
                <w:sz w:val="16"/>
              </w:rPr>
              <w:t>Same policy path + budgets</w:t>
            </w:r>
          </w:p>
        </w:tc>
      </w:tr>
      <w:tr>
        <w:tc>
          <w:tcPr>
            <w:tcW w:type="dxa" w:w="3389"/>
            <w:vAlign w:val="center"/>
          </w:tcPr>
          <w:p>
            <w:r/>
            <w:r>
              <w:rPr>
                <w:b w:val="0"/>
                <w:sz w:val="16"/>
              </w:rPr>
              <w:t>Client</w:t>
            </w:r>
          </w:p>
        </w:tc>
        <w:tc>
          <w:tcPr>
            <w:tcW w:type="dxa" w:w="3389"/>
            <w:vAlign w:val="center"/>
          </w:tcPr>
          <w:p>
            <w:r/>
            <w:r>
              <w:rPr>
                <w:b w:val="0"/>
                <w:sz w:val="16"/>
              </w:rPr>
              <w:t>VS Code/CLI bypass</w:t>
            </w:r>
          </w:p>
        </w:tc>
        <w:tc>
          <w:tcPr>
            <w:tcW w:type="dxa" w:w="3389"/>
            <w:vAlign w:val="center"/>
          </w:tcPr>
          <w:p>
            <w:r/>
            <w:r>
              <w:rPr>
                <w:b w:val="0"/>
                <w:sz w:val="16"/>
              </w:rPr>
              <w:t>Server-side authorization</w:t>
            </w:r>
          </w:p>
        </w:tc>
      </w:tr>
      <w:tr>
        <w:tc>
          <w:tcPr>
            <w:tcW w:type="dxa" w:w="3389"/>
            <w:vAlign w:val="center"/>
          </w:tcPr>
          <w:p>
            <w:r/>
            <w:r>
              <w:rPr>
                <w:b w:val="0"/>
                <w:sz w:val="16"/>
              </w:rPr>
              <w:t>Persistence</w:t>
            </w:r>
          </w:p>
        </w:tc>
        <w:tc>
          <w:tcPr>
            <w:tcW w:type="dxa" w:w="3389"/>
            <w:vAlign w:val="center"/>
          </w:tcPr>
          <w:p>
            <w:r/>
            <w:r>
              <w:rPr>
                <w:b w:val="0"/>
                <w:sz w:val="16"/>
              </w:rPr>
              <w:t>Cross-task/project leakage</w:t>
            </w:r>
          </w:p>
        </w:tc>
        <w:tc>
          <w:tcPr>
            <w:tcW w:type="dxa" w:w="3389"/>
            <w:vAlign w:val="center"/>
          </w:tcPr>
          <w:p>
            <w:r/>
            <w:r>
              <w:rPr>
                <w:b w:val="0"/>
                <w:sz w:val="16"/>
              </w:rPr>
              <w:t>Scope isolation + access controls</w:t>
            </w:r>
          </w:p>
        </w:tc>
      </w:tr>
    </w:tbl>
    <w:p/>
    <w:p>
      <w:pPr>
        <w:pStyle w:val="Heading1"/>
      </w:pPr>
      <w:r>
        <w:t>4. Security Architecture</w:t>
      </w:r>
    </w:p>
    <w:p>
      <w:pPr>
        <w:spacing w:after="0"/>
      </w:pPr>
      <w:r>
        <w:rPr>
          <w:rFonts w:ascii="Consolas" w:hAnsi="Consolas"/>
          <w:sz w:val="15"/>
        </w:rPr>
        <w:t xml:space="preserve">                MODEL / AGENT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Tool Request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TOOL GATEWAY</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                         ▼</w:t>
      </w:r>
    </w:p>
    <w:p>
      <w:pPr>
        <w:spacing w:after="0"/>
      </w:pPr>
      <w:r>
        <w:rPr>
          <w:rFonts w:ascii="Consolas" w:hAnsi="Consolas"/>
          <w:sz w:val="15"/>
        </w:rPr>
        <w:t xml:space="preserve">  Schema Validation          Scope Resolution</w:t>
      </w:r>
    </w:p>
    <w:p>
      <w:pPr>
        <w:spacing w:after="0"/>
      </w:pPr>
      <w:r>
        <w:rPr>
          <w:rFonts w:ascii="Consolas" w:hAnsi="Consolas"/>
          <w:sz w:val="15"/>
        </w:rPr>
        <w:t xml:space="preserve">        │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POLICY ENGINE</w:t>
      </w:r>
    </w:p>
    <w:p>
      <w:pPr>
        <w:spacing w:after="0"/>
      </w:pPr>
      <w:r>
        <w:rPr>
          <w:rFonts w:ascii="Consolas" w:hAnsi="Consolas"/>
          <w:sz w:val="15"/>
        </w:rPr>
        <w:t xml:space="preserve">                     │</w:t>
      </w:r>
    </w:p>
    <w:p>
      <w:pPr>
        <w:spacing w:after="0"/>
      </w:pPr>
      <w:r>
        <w:rPr>
          <w:rFonts w:ascii="Consolas" w:hAnsi="Consolas"/>
          <w:sz w:val="15"/>
        </w:rPr>
        <w:t xml:space="preserve">              ALLOW / ASK /</w:t>
      </w:r>
    </w:p>
    <w:p>
      <w:pPr>
        <w:spacing w:after="0"/>
      </w:pPr>
      <w:r>
        <w:rPr>
          <w:rFonts w:ascii="Consolas" w:hAnsi="Consolas"/>
          <w:sz w:val="15"/>
        </w:rPr>
        <w:t xml:space="preserve">              DENY / RESTRICT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SECURITY ENFORCEMENT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          ▼           ▼</w:t>
      </w:r>
    </w:p>
    <w:p>
      <w:pPr>
        <w:spacing w:after="0"/>
      </w:pPr>
      <w:r>
        <w:rPr>
          <w:rFonts w:ascii="Consolas" w:hAnsi="Consolas"/>
          <w:sz w:val="15"/>
        </w:rPr>
        <w:t xml:space="preserve">      Workspace    Process      MCP</w:t>
      </w:r>
    </w:p>
    <w:p>
      <w:pPr>
        <w:spacing w:after="0"/>
      </w:pPr>
      <w:r>
        <w:rPr>
          <w:rFonts w:ascii="Consolas" w:hAnsi="Consolas"/>
          <w:sz w:val="15"/>
        </w:rPr>
        <w:t xml:space="preserve">       Sandbox     Sandbox    Boundary</w:t>
      </w:r>
    </w:p>
    <w:p>
      <w:pPr>
        <w:spacing w:after="0"/>
      </w:pPr>
      <w:r>
        <w:rPr>
          <w:rFonts w:ascii="Consolas" w:hAnsi="Consolas"/>
          <w:sz w:val="15"/>
        </w:rPr>
        <w:t xml:space="preserve">          │          │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AUDIT / EVIDENCE</w:t>
      </w:r>
    </w:p>
    <w:p>
      <w:r>
        <w:t>The executor/sandbox layer must enforce critical restrictions independently enough that a malformed or compromised caller cannot simply skip the Policy Engine.</w:t>
      </w:r>
    </w:p>
    <w:p>
      <w:pPr>
        <w:pStyle w:val="Heading1"/>
      </w:pPr>
      <w:r>
        <w:t>5. Security Boundaries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Boundary</w:t>
            </w:r>
          </w:p>
        </w:tc>
        <w:tc>
          <w:tcPr>
            <w:tcW w:type="dxa" w:w="3389"/>
            <w:vAlign w:val="center"/>
            <w:shd w:fill="D9EAF7"/>
          </w:tcPr>
          <w:p>
            <w:r/>
            <w:r>
              <w:rPr>
                <w:b/>
                <w:sz w:val="16"/>
              </w:rPr>
              <w:t>Protected asset</w:t>
            </w:r>
          </w:p>
        </w:tc>
        <w:tc>
          <w:tcPr>
            <w:tcW w:type="dxa" w:w="3389"/>
            <w:vAlign w:val="center"/>
            <w:shd w:fill="D9EAF7"/>
          </w:tcPr>
          <w:p>
            <w:r/>
            <w:r>
              <w:rPr>
                <w:b/>
                <w:sz w:val="16"/>
              </w:rPr>
              <w:t>Rule</w:t>
            </w:r>
          </w:p>
        </w:tc>
      </w:tr>
      <w:tr>
        <w:tc>
          <w:tcPr>
            <w:tcW w:type="dxa" w:w="3389"/>
            <w:vAlign w:val="center"/>
          </w:tcPr>
          <w:p>
            <w:r/>
            <w:r>
              <w:rPr>
                <w:b w:val="0"/>
                <w:sz w:val="16"/>
              </w:rPr>
              <w:t>Workspace boundary</w:t>
            </w:r>
          </w:p>
        </w:tc>
        <w:tc>
          <w:tcPr>
            <w:tcW w:type="dxa" w:w="3389"/>
            <w:vAlign w:val="center"/>
          </w:tcPr>
          <w:p>
            <w:r/>
            <w:r>
              <w:rPr>
                <w:b w:val="0"/>
                <w:sz w:val="16"/>
              </w:rPr>
              <w:t>Project filesystem</w:t>
            </w:r>
          </w:p>
        </w:tc>
        <w:tc>
          <w:tcPr>
            <w:tcW w:type="dxa" w:w="3389"/>
            <w:vAlign w:val="center"/>
          </w:tcPr>
          <w:p>
            <w:r/>
            <w:r>
              <w:rPr>
                <w:b w:val="0"/>
                <w:sz w:val="16"/>
              </w:rPr>
              <w:t>Operations restricted to authorized workspace.</w:t>
            </w:r>
          </w:p>
        </w:tc>
      </w:tr>
      <w:tr>
        <w:tc>
          <w:tcPr>
            <w:tcW w:type="dxa" w:w="3389"/>
            <w:vAlign w:val="center"/>
          </w:tcPr>
          <w:p>
            <w:r/>
            <w:r>
              <w:rPr>
                <w:b w:val="0"/>
                <w:sz w:val="16"/>
              </w:rPr>
              <w:t>Process boundary</w:t>
            </w:r>
          </w:p>
        </w:tc>
        <w:tc>
          <w:tcPr>
            <w:tcW w:type="dxa" w:w="3389"/>
            <w:vAlign w:val="center"/>
          </w:tcPr>
          <w:p>
            <w:r/>
            <w:r>
              <w:rPr>
                <w:b w:val="0"/>
                <w:sz w:val="16"/>
              </w:rPr>
              <w:t>OS processes</w:t>
            </w:r>
          </w:p>
        </w:tc>
        <w:tc>
          <w:tcPr>
            <w:tcW w:type="dxa" w:w="3389"/>
            <w:vAlign w:val="center"/>
          </w:tcPr>
          <w:p>
            <w:r/>
            <w:r>
              <w:rPr>
                <w:b w:val="0"/>
                <w:sz w:val="16"/>
              </w:rPr>
              <w:t>Controlled program, args, cwd, environment and lifetime.</w:t>
            </w:r>
          </w:p>
        </w:tc>
      </w:tr>
      <w:tr>
        <w:tc>
          <w:tcPr>
            <w:tcW w:type="dxa" w:w="3389"/>
            <w:vAlign w:val="center"/>
          </w:tcPr>
          <w:p>
            <w:r/>
            <w:r>
              <w:rPr>
                <w:b w:val="0"/>
                <w:sz w:val="16"/>
              </w:rPr>
              <w:t>Network boundary</w:t>
            </w:r>
          </w:p>
        </w:tc>
        <w:tc>
          <w:tcPr>
            <w:tcW w:type="dxa" w:w="3389"/>
            <w:vAlign w:val="center"/>
          </w:tcPr>
          <w:p>
            <w:r/>
            <w:r>
              <w:rPr>
                <w:b w:val="0"/>
                <w:sz w:val="16"/>
              </w:rPr>
              <w:t>External endpoints</w:t>
            </w:r>
          </w:p>
        </w:tc>
        <w:tc>
          <w:tcPr>
            <w:tcW w:type="dxa" w:w="3389"/>
            <w:vAlign w:val="center"/>
          </w:tcPr>
          <w:p>
            <w:r/>
            <w:r>
              <w:rPr>
                <w:b w:val="0"/>
                <w:sz w:val="16"/>
              </w:rPr>
              <w:t>Disabled/restricted unless explicitly authorized.</w:t>
            </w:r>
          </w:p>
        </w:tc>
      </w:tr>
      <w:tr>
        <w:tc>
          <w:tcPr>
            <w:tcW w:type="dxa" w:w="3389"/>
            <w:vAlign w:val="center"/>
          </w:tcPr>
          <w:p>
            <w:r/>
            <w:r>
              <w:rPr>
                <w:b w:val="0"/>
                <w:sz w:val="16"/>
              </w:rPr>
              <w:t>Secret boundary</w:t>
            </w:r>
          </w:p>
        </w:tc>
        <w:tc>
          <w:tcPr>
            <w:tcW w:type="dxa" w:w="3389"/>
            <w:vAlign w:val="center"/>
          </w:tcPr>
          <w:p>
            <w:r/>
            <w:r>
              <w:rPr>
                <w:b w:val="0"/>
                <w:sz w:val="16"/>
              </w:rPr>
              <w:t>Credentials/API keys</w:t>
            </w:r>
          </w:p>
        </w:tc>
        <w:tc>
          <w:tcPr>
            <w:tcW w:type="dxa" w:w="3389"/>
            <w:vAlign w:val="center"/>
          </w:tcPr>
          <w:p>
            <w:r/>
            <w:r>
              <w:rPr>
                <w:b w:val="0"/>
                <w:sz w:val="16"/>
              </w:rPr>
              <w:t>Filtered from model context and logs.</w:t>
            </w:r>
          </w:p>
        </w:tc>
      </w:tr>
      <w:tr>
        <w:tc>
          <w:tcPr>
            <w:tcW w:type="dxa" w:w="3389"/>
            <w:vAlign w:val="center"/>
          </w:tcPr>
          <w:p>
            <w:r/>
            <w:r>
              <w:rPr>
                <w:b w:val="0"/>
                <w:sz w:val="16"/>
              </w:rPr>
              <w:t>Policy boundary</w:t>
            </w:r>
          </w:p>
        </w:tc>
        <w:tc>
          <w:tcPr>
            <w:tcW w:type="dxa" w:w="3389"/>
            <w:vAlign w:val="center"/>
          </w:tcPr>
          <w:p>
            <w:r/>
            <w:r>
              <w:rPr>
                <w:b w:val="0"/>
                <w:sz w:val="16"/>
              </w:rPr>
              <w:t>Security configuration</w:t>
            </w:r>
          </w:p>
        </w:tc>
        <w:tc>
          <w:tcPr>
            <w:tcW w:type="dxa" w:w="3389"/>
            <w:vAlign w:val="center"/>
          </w:tcPr>
          <w:p>
            <w:r/>
            <w:r>
              <w:rPr>
                <w:b w:val="0"/>
                <w:sz w:val="16"/>
              </w:rPr>
              <w:t>Not writable through ordinary agent tools.</w:t>
            </w:r>
          </w:p>
        </w:tc>
      </w:tr>
      <w:tr>
        <w:tc>
          <w:tcPr>
            <w:tcW w:type="dxa" w:w="3389"/>
            <w:vAlign w:val="center"/>
          </w:tcPr>
          <w:p>
            <w:r/>
            <w:r>
              <w:rPr>
                <w:b w:val="0"/>
                <w:sz w:val="16"/>
              </w:rPr>
              <w:t>MCP boundary</w:t>
            </w:r>
          </w:p>
        </w:tc>
        <w:tc>
          <w:tcPr>
            <w:tcW w:type="dxa" w:w="3389"/>
            <w:vAlign w:val="center"/>
          </w:tcPr>
          <w:p>
            <w:r/>
            <w:r>
              <w:rPr>
                <w:b w:val="0"/>
                <w:sz w:val="16"/>
              </w:rPr>
              <w:t>External capabilities</w:t>
            </w:r>
          </w:p>
        </w:tc>
        <w:tc>
          <w:tcPr>
            <w:tcW w:type="dxa" w:w="3389"/>
            <w:vAlign w:val="center"/>
          </w:tcPr>
          <w:p>
            <w:r/>
            <w:r>
              <w:rPr>
                <w:b w:val="0"/>
                <w:sz w:val="16"/>
              </w:rPr>
              <w:t>All invocations pass internal policy.</w:t>
            </w:r>
          </w:p>
        </w:tc>
      </w:tr>
      <w:tr>
        <w:tc>
          <w:tcPr>
            <w:tcW w:type="dxa" w:w="3389"/>
            <w:vAlign w:val="center"/>
          </w:tcPr>
          <w:p>
            <w:r/>
            <w:r>
              <w:rPr>
                <w:b w:val="0"/>
                <w:sz w:val="16"/>
              </w:rPr>
              <w:t>Memory boundary</w:t>
            </w:r>
          </w:p>
        </w:tc>
        <w:tc>
          <w:tcPr>
            <w:tcW w:type="dxa" w:w="3389"/>
            <w:vAlign w:val="center"/>
          </w:tcPr>
          <w:p>
            <w:r/>
            <w:r>
              <w:rPr>
                <w:b w:val="0"/>
                <w:sz w:val="16"/>
              </w:rPr>
              <w:t>Stored context</w:t>
            </w:r>
          </w:p>
        </w:tc>
        <w:tc>
          <w:tcPr>
            <w:tcW w:type="dxa" w:w="3389"/>
            <w:vAlign w:val="center"/>
          </w:tcPr>
          <w:p>
            <w:r/>
            <w:r>
              <w:rPr>
                <w:b w:val="0"/>
                <w:sz w:val="16"/>
              </w:rPr>
              <w:t>Scoped by project/task; advisory only.</w:t>
            </w:r>
          </w:p>
        </w:tc>
      </w:tr>
      <w:tr>
        <w:tc>
          <w:tcPr>
            <w:tcW w:type="dxa" w:w="3389"/>
            <w:vAlign w:val="center"/>
          </w:tcPr>
          <w:p>
            <w:r/>
            <w:r>
              <w:rPr>
                <w:b w:val="0"/>
                <w:sz w:val="16"/>
              </w:rPr>
              <w:t>Client boundary</w:t>
            </w:r>
          </w:p>
        </w:tc>
        <w:tc>
          <w:tcPr>
            <w:tcW w:type="dxa" w:w="3389"/>
            <w:vAlign w:val="center"/>
          </w:tcPr>
          <w:p>
            <w:r/>
            <w:r>
              <w:rPr>
                <w:b w:val="0"/>
                <w:sz w:val="16"/>
              </w:rPr>
              <w:t>VS Code/CLI</w:t>
            </w:r>
          </w:p>
        </w:tc>
        <w:tc>
          <w:tcPr>
            <w:tcW w:type="dxa" w:w="3389"/>
            <w:vAlign w:val="center"/>
          </w:tcPr>
          <w:p>
            <w:r/>
            <w:r>
              <w:rPr>
                <w:b w:val="0"/>
                <w:sz w:val="16"/>
              </w:rPr>
              <w:t>Clients cannot bypass server-side authorization.</w:t>
            </w:r>
          </w:p>
        </w:tc>
      </w:tr>
      <w:tr>
        <w:tc>
          <w:tcPr>
            <w:tcW w:type="dxa" w:w="3389"/>
            <w:vAlign w:val="center"/>
          </w:tcPr>
          <w:p>
            <w:r/>
            <w:r>
              <w:rPr>
                <w:b w:val="0"/>
                <w:sz w:val="16"/>
              </w:rPr>
              <w:t>Git boundary</w:t>
            </w:r>
          </w:p>
        </w:tc>
        <w:tc>
          <w:tcPr>
            <w:tcW w:type="dxa" w:w="3389"/>
            <w:vAlign w:val="center"/>
          </w:tcPr>
          <w:p>
            <w:r/>
            <w:r>
              <w:rPr>
                <w:b w:val="0"/>
                <w:sz w:val="16"/>
              </w:rPr>
              <w:t>User changes/history</w:t>
            </w:r>
          </w:p>
        </w:tc>
        <w:tc>
          <w:tcPr>
            <w:tcW w:type="dxa" w:w="3389"/>
            <w:vAlign w:val="center"/>
          </w:tcPr>
          <w:p>
            <w:r/>
            <w:r>
              <w:rPr>
                <w:b w:val="0"/>
                <w:sz w:val="16"/>
              </w:rPr>
              <w:t>Controlled Git operations; preserve unrelated work.</w:t>
            </w:r>
          </w:p>
        </w:tc>
      </w:tr>
      <w:tr>
        <w:tc>
          <w:tcPr>
            <w:tcW w:type="dxa" w:w="3389"/>
            <w:vAlign w:val="center"/>
          </w:tcPr>
          <w:p>
            <w:r/>
            <w:r>
              <w:rPr>
                <w:b w:val="0"/>
                <w:sz w:val="16"/>
              </w:rPr>
              <w:t>Audit boundary</w:t>
            </w:r>
          </w:p>
        </w:tc>
        <w:tc>
          <w:tcPr>
            <w:tcW w:type="dxa" w:w="3389"/>
            <w:vAlign w:val="center"/>
          </w:tcPr>
          <w:p>
            <w:r/>
            <w:r>
              <w:rPr>
                <w:b w:val="0"/>
                <w:sz w:val="16"/>
              </w:rPr>
              <w:t>Security evidence</w:t>
            </w:r>
          </w:p>
        </w:tc>
        <w:tc>
          <w:tcPr>
            <w:tcW w:type="dxa" w:w="3389"/>
            <w:vAlign w:val="center"/>
          </w:tcPr>
          <w:p>
            <w:r/>
            <w:r>
              <w:rPr>
                <w:b w:val="0"/>
                <w:sz w:val="16"/>
              </w:rPr>
              <w:t>Critical events recorded and protected.</w:t>
            </w:r>
          </w:p>
        </w:tc>
      </w:tr>
    </w:tbl>
    <w:p/>
    <w:p>
      <w:pPr>
        <w:pStyle w:val="Heading1"/>
      </w:pPr>
      <w:r>
        <w:t>6. Trust Zones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Zone</w:t>
            </w:r>
          </w:p>
        </w:tc>
        <w:tc>
          <w:tcPr>
            <w:tcW w:type="dxa" w:w="3389"/>
            <w:vAlign w:val="center"/>
            <w:shd w:fill="D9EAF7"/>
          </w:tcPr>
          <w:p>
            <w:r/>
            <w:r>
              <w:rPr>
                <w:b/>
                <w:sz w:val="16"/>
              </w:rPr>
              <w:t>Examples</w:t>
            </w:r>
          </w:p>
        </w:tc>
        <w:tc>
          <w:tcPr>
            <w:tcW w:type="dxa" w:w="3389"/>
            <w:vAlign w:val="center"/>
            <w:shd w:fill="D9EAF7"/>
          </w:tcPr>
          <w:p>
            <w:r/>
            <w:r>
              <w:rPr>
                <w:b/>
                <w:sz w:val="16"/>
              </w:rPr>
              <w:t>Trust posture</w:t>
            </w:r>
          </w:p>
        </w:tc>
      </w:tr>
      <w:tr>
        <w:tc>
          <w:tcPr>
            <w:tcW w:type="dxa" w:w="3389"/>
            <w:vAlign w:val="center"/>
          </w:tcPr>
          <w:p>
            <w:r/>
            <w:r>
              <w:rPr>
                <w:b w:val="0"/>
                <w:sz w:val="16"/>
              </w:rPr>
              <w:t>Z0 — Security authority</w:t>
            </w:r>
          </w:p>
        </w:tc>
        <w:tc>
          <w:tcPr>
            <w:tcW w:type="dxa" w:w="3389"/>
            <w:vAlign w:val="center"/>
          </w:tcPr>
          <w:p>
            <w:r/>
            <w:r>
              <w:rPr>
                <w:b w:val="0"/>
                <w:sz w:val="16"/>
              </w:rPr>
              <w:t>Hard policy, sandbox configuration</w:t>
            </w:r>
          </w:p>
        </w:tc>
        <w:tc>
          <w:tcPr>
            <w:tcW w:type="dxa" w:w="3389"/>
            <w:vAlign w:val="center"/>
          </w:tcPr>
          <w:p>
            <w:r/>
            <w:r>
              <w:rPr>
                <w:b w:val="0"/>
                <w:sz w:val="16"/>
              </w:rPr>
              <w:t>Authoritative/protected</w:t>
            </w:r>
          </w:p>
        </w:tc>
      </w:tr>
      <w:tr>
        <w:tc>
          <w:tcPr>
            <w:tcW w:type="dxa" w:w="3389"/>
            <w:vAlign w:val="center"/>
          </w:tcPr>
          <w:p>
            <w:r/>
            <w:r>
              <w:rPr>
                <w:b w:val="0"/>
                <w:sz w:val="16"/>
              </w:rPr>
              <w:t>Z1 — Runtime control</w:t>
            </w:r>
          </w:p>
        </w:tc>
        <w:tc>
          <w:tcPr>
            <w:tcW w:type="dxa" w:w="3389"/>
            <w:vAlign w:val="center"/>
          </w:tcPr>
          <w:p>
            <w:r/>
            <w:r>
              <w:rPr>
                <w:b w:val="0"/>
                <w:sz w:val="16"/>
              </w:rPr>
              <w:t>Policy engine, Tool Gateway, executors</w:t>
            </w:r>
          </w:p>
        </w:tc>
        <w:tc>
          <w:tcPr>
            <w:tcW w:type="dxa" w:w="3389"/>
            <w:vAlign w:val="center"/>
          </w:tcPr>
          <w:p>
            <w:r/>
            <w:r>
              <w:rPr>
                <w:b w:val="0"/>
                <w:sz w:val="16"/>
              </w:rPr>
              <w:t>Trusted implementation boundary</w:t>
            </w:r>
          </w:p>
        </w:tc>
      </w:tr>
      <w:tr>
        <w:tc>
          <w:tcPr>
            <w:tcW w:type="dxa" w:w="3389"/>
            <w:vAlign w:val="center"/>
          </w:tcPr>
          <w:p>
            <w:r/>
            <w:r>
              <w:rPr>
                <w:b w:val="0"/>
                <w:sz w:val="16"/>
              </w:rPr>
              <w:t>Z2 — User-authorized workspace</w:t>
            </w:r>
          </w:p>
        </w:tc>
        <w:tc>
          <w:tcPr>
            <w:tcW w:type="dxa" w:w="3389"/>
            <w:vAlign w:val="center"/>
          </w:tcPr>
          <w:p>
            <w:r/>
            <w:r>
              <w:rPr>
                <w:b w:val="0"/>
                <w:sz w:val="16"/>
              </w:rPr>
              <w:t>Project source/config/tests</w:t>
            </w:r>
          </w:p>
        </w:tc>
        <w:tc>
          <w:tcPr>
            <w:tcW w:type="dxa" w:w="3389"/>
            <w:vAlign w:val="center"/>
          </w:tcPr>
          <w:p>
            <w:r/>
            <w:r>
              <w:rPr>
                <w:b w:val="0"/>
                <w:sz w:val="16"/>
              </w:rPr>
              <w:t>Trusted as data, not as policy</w:t>
            </w:r>
          </w:p>
        </w:tc>
      </w:tr>
      <w:tr>
        <w:tc>
          <w:tcPr>
            <w:tcW w:type="dxa" w:w="3389"/>
            <w:vAlign w:val="center"/>
          </w:tcPr>
          <w:p>
            <w:r/>
            <w:r>
              <w:rPr>
                <w:b w:val="0"/>
                <w:sz w:val="16"/>
              </w:rPr>
              <w:t>Z3 — Agent-generated content</w:t>
            </w:r>
          </w:p>
        </w:tc>
        <w:tc>
          <w:tcPr>
            <w:tcW w:type="dxa" w:w="3389"/>
            <w:vAlign w:val="center"/>
          </w:tcPr>
          <w:p>
            <w:r/>
            <w:r>
              <w:rPr>
                <w:b w:val="0"/>
                <w:sz w:val="16"/>
              </w:rPr>
              <w:t>Plans, patches, commands</w:t>
            </w:r>
          </w:p>
        </w:tc>
        <w:tc>
          <w:tcPr>
            <w:tcW w:type="dxa" w:w="3389"/>
            <w:vAlign w:val="center"/>
          </w:tcPr>
          <w:p>
            <w:r/>
            <w:r>
              <w:rPr>
                <w:b w:val="0"/>
                <w:sz w:val="16"/>
              </w:rPr>
              <w:t>Untrusted until validated/authorized</w:t>
            </w:r>
          </w:p>
        </w:tc>
      </w:tr>
      <w:tr>
        <w:tc>
          <w:tcPr>
            <w:tcW w:type="dxa" w:w="3389"/>
            <w:vAlign w:val="center"/>
          </w:tcPr>
          <w:p>
            <w:r/>
            <w:r>
              <w:rPr>
                <w:b w:val="0"/>
                <w:sz w:val="16"/>
              </w:rPr>
              <w:t>Z4 — External/MCP</w:t>
            </w:r>
          </w:p>
        </w:tc>
        <w:tc>
          <w:tcPr>
            <w:tcW w:type="dxa" w:w="3389"/>
            <w:vAlign w:val="center"/>
          </w:tcPr>
          <w:p>
            <w:r/>
            <w:r>
              <w:rPr>
                <w:b w:val="0"/>
                <w:sz w:val="16"/>
              </w:rPr>
              <w:t>Remote tool output/data</w:t>
            </w:r>
          </w:p>
        </w:tc>
        <w:tc>
          <w:tcPr>
            <w:tcW w:type="dxa" w:w="3389"/>
            <w:vAlign w:val="center"/>
          </w:tcPr>
          <w:p>
            <w:r/>
            <w:r>
              <w:rPr>
                <w:b w:val="0"/>
                <w:sz w:val="16"/>
              </w:rPr>
              <w:t>Untrusted</w:t>
            </w:r>
          </w:p>
        </w:tc>
      </w:tr>
      <w:tr>
        <w:tc>
          <w:tcPr>
            <w:tcW w:type="dxa" w:w="3389"/>
            <w:vAlign w:val="center"/>
          </w:tcPr>
          <w:p>
            <w:r/>
            <w:r>
              <w:rPr>
                <w:b w:val="0"/>
                <w:sz w:val="16"/>
              </w:rPr>
              <w:t>Z5 — Model output</w:t>
            </w:r>
          </w:p>
        </w:tc>
        <w:tc>
          <w:tcPr>
            <w:tcW w:type="dxa" w:w="3389"/>
            <w:vAlign w:val="center"/>
          </w:tcPr>
          <w:p>
            <w:r/>
            <w:r>
              <w:rPr>
                <w:b w:val="0"/>
                <w:sz w:val="16"/>
              </w:rPr>
              <w:t>Reasoning/tool proposals</w:t>
            </w:r>
          </w:p>
        </w:tc>
        <w:tc>
          <w:tcPr>
            <w:tcW w:type="dxa" w:w="3389"/>
            <w:vAlign w:val="center"/>
          </w:tcPr>
          <w:p>
            <w:r/>
            <w:r>
              <w:rPr>
                <w:b w:val="0"/>
                <w:sz w:val="16"/>
              </w:rPr>
              <w:t>Untrusted and non-authoritative</w:t>
            </w:r>
          </w:p>
        </w:tc>
      </w:tr>
    </w:tbl>
    <w:p/>
    <w:p>
      <w:pPr>
        <w:pStyle w:val="Heading1"/>
      </w:pPr>
      <w:r>
        <w:t>7. Workspace Sandbox</w:t>
      </w:r>
    </w:p>
    <w:p>
      <w:pPr>
        <w:pStyle w:val="ListBullet"/>
        <w:spacing w:after="26"/>
      </w:pPr>
      <w:r>
        <w:t>Each task receives an explicit authorized workspace root/scope.</w:t>
      </w:r>
    </w:p>
    <w:p>
      <w:pPr>
        <w:pStyle w:val="ListBullet"/>
        <w:spacing w:after="26"/>
      </w:pPr>
      <w:r>
        <w:t>Filesystem operations must canonicalize/normalize paths before authorization.</w:t>
      </w:r>
    </w:p>
    <w:p>
      <w:pPr>
        <w:pStyle w:val="ListBullet"/>
        <w:spacing w:after="26"/>
      </w:pPr>
      <w:r>
        <w:t>Relative paths are resolved against the authorized root.</w:t>
      </w:r>
    </w:p>
    <w:p>
      <w:pPr>
        <w:pStyle w:val="ListBullet"/>
        <w:spacing w:after="26"/>
      </w:pPr>
      <w:r>
        <w:t>Path traversal sequences must not escape the root.</w:t>
      </w:r>
    </w:p>
    <w:p>
      <w:pPr>
        <w:pStyle w:val="ListBullet"/>
        <w:spacing w:after="26"/>
      </w:pPr>
      <w:r>
        <w:t>Absolute paths outside the root are denied/restricted.</w:t>
      </w:r>
    </w:p>
    <w:p>
      <w:pPr>
        <w:pStyle w:val="ListBullet"/>
        <w:spacing w:after="26"/>
      </w:pPr>
      <w:r>
        <w:t>Symlinks, junctions and equivalent filesystem indirections must not bypass effective containment.</w:t>
      </w:r>
    </w:p>
    <w:p>
      <w:pPr>
        <w:pStyle w:val="ListBullet"/>
        <w:spacing w:after="26"/>
      </w:pPr>
      <w:r>
        <w:t>Protected paths require stricter policy.</w:t>
      </w:r>
    </w:p>
    <w:p>
      <w:pPr>
        <w:pStyle w:val="ListBullet"/>
        <w:spacing w:after="26"/>
      </w:pPr>
      <w:r>
        <w:t>Workspace scope must not silently expand because a file references another directory.</w:t>
      </w:r>
    </w:p>
    <w:p>
      <w:pPr>
        <w:pStyle w:val="ListBullet"/>
        <w:spacing w:after="26"/>
      </w:pPr>
      <w:r>
        <w:t>Temporary directories are separate resources and require explicit policy.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Path condition</w:t>
            </w:r>
          </w:p>
        </w:tc>
        <w:tc>
          <w:tcPr>
            <w:tcW w:type="dxa" w:w="5083"/>
            <w:vAlign w:val="center"/>
            <w:shd w:fill="D9EAF7"/>
          </w:tcPr>
          <w:p>
            <w:r/>
            <w:r>
              <w:rPr>
                <w:b/>
                <w:sz w:val="16"/>
              </w:rPr>
              <w:t>Expected behavior</w:t>
            </w:r>
          </w:p>
        </w:tc>
      </w:tr>
      <w:tr>
        <w:tc>
          <w:tcPr>
            <w:tcW w:type="dxa" w:w="5083"/>
            <w:vAlign w:val="center"/>
          </w:tcPr>
          <w:p>
            <w:r/>
            <w:r>
              <w:rPr>
                <w:b w:val="0"/>
                <w:sz w:val="16"/>
              </w:rPr>
              <w:t>Normal file inside workspace</w:t>
            </w:r>
          </w:p>
        </w:tc>
        <w:tc>
          <w:tcPr>
            <w:tcW w:type="dxa" w:w="5083"/>
            <w:vAlign w:val="center"/>
          </w:tcPr>
          <w:p>
            <w:r/>
            <w:r>
              <w:rPr>
                <w:b w:val="0"/>
                <w:sz w:val="16"/>
              </w:rPr>
              <w:t>Tool-specific policy evaluation.</w:t>
            </w:r>
          </w:p>
        </w:tc>
      </w:tr>
      <w:tr>
        <w:tc>
          <w:tcPr>
            <w:tcW w:type="dxa" w:w="5083"/>
            <w:vAlign w:val="center"/>
          </w:tcPr>
          <w:p>
            <w:r/>
            <w:r>
              <w:rPr>
                <w:b w:val="0"/>
                <w:sz w:val="16"/>
              </w:rPr>
              <w:t>Nested directory</w:t>
            </w:r>
          </w:p>
        </w:tc>
        <w:tc>
          <w:tcPr>
            <w:tcW w:type="dxa" w:w="5083"/>
            <w:vAlign w:val="center"/>
          </w:tcPr>
          <w:p>
            <w:r/>
            <w:r>
              <w:rPr>
                <w:b w:val="0"/>
                <w:sz w:val="16"/>
              </w:rPr>
              <w:t>Allowed within scope if policy permits.</w:t>
            </w:r>
          </w:p>
        </w:tc>
      </w:tr>
      <w:tr>
        <w:tc>
          <w:tcPr>
            <w:tcW w:type="dxa" w:w="5083"/>
            <w:vAlign w:val="center"/>
          </w:tcPr>
          <w:p>
            <w:r/>
            <w:r>
              <w:rPr>
                <w:b w:val="0"/>
                <w:sz w:val="16"/>
              </w:rPr>
              <w:t>Parent traversal</w:t>
            </w:r>
          </w:p>
        </w:tc>
        <w:tc>
          <w:tcPr>
            <w:tcW w:type="dxa" w:w="5083"/>
            <w:vAlign w:val="center"/>
          </w:tcPr>
          <w:p>
            <w:r/>
            <w:r>
              <w:rPr>
                <w:b w:val="0"/>
                <w:sz w:val="16"/>
              </w:rPr>
              <w:t>DENY.</w:t>
            </w:r>
          </w:p>
        </w:tc>
      </w:tr>
      <w:tr>
        <w:tc>
          <w:tcPr>
            <w:tcW w:type="dxa" w:w="5083"/>
            <w:vAlign w:val="center"/>
          </w:tcPr>
          <w:p>
            <w:r/>
            <w:r>
              <w:rPr>
                <w:b w:val="0"/>
                <w:sz w:val="16"/>
              </w:rPr>
              <w:t>Absolute outside workspace</w:t>
            </w:r>
          </w:p>
        </w:tc>
        <w:tc>
          <w:tcPr>
            <w:tcW w:type="dxa" w:w="5083"/>
            <w:vAlign w:val="center"/>
          </w:tcPr>
          <w:p>
            <w:r/>
            <w:r>
              <w:rPr>
                <w:b w:val="0"/>
                <w:sz w:val="16"/>
              </w:rPr>
              <w:t>DENY/RESTRICT.</w:t>
            </w:r>
          </w:p>
        </w:tc>
      </w:tr>
      <w:tr>
        <w:tc>
          <w:tcPr>
            <w:tcW w:type="dxa" w:w="5083"/>
            <w:vAlign w:val="center"/>
          </w:tcPr>
          <w:p>
            <w:r/>
            <w:r>
              <w:rPr>
                <w:b w:val="0"/>
                <w:sz w:val="16"/>
              </w:rPr>
              <w:t>Symlink to outside</w:t>
            </w:r>
          </w:p>
        </w:tc>
        <w:tc>
          <w:tcPr>
            <w:tcW w:type="dxa" w:w="5083"/>
            <w:vAlign w:val="center"/>
          </w:tcPr>
          <w:p>
            <w:r/>
            <w:r>
              <w:rPr>
                <w:b w:val="0"/>
                <w:sz w:val="16"/>
              </w:rPr>
              <w:t>DENY/RESTRICT after target resolution.</w:t>
            </w:r>
          </w:p>
        </w:tc>
      </w:tr>
      <w:tr>
        <w:tc>
          <w:tcPr>
            <w:tcW w:type="dxa" w:w="5083"/>
            <w:vAlign w:val="center"/>
          </w:tcPr>
          <w:p>
            <w:r/>
            <w:r>
              <w:rPr>
                <w:b w:val="0"/>
                <w:sz w:val="16"/>
              </w:rPr>
              <w:t>Protected config/secret</w:t>
            </w:r>
          </w:p>
        </w:tc>
        <w:tc>
          <w:tcPr>
            <w:tcW w:type="dxa" w:w="5083"/>
            <w:vAlign w:val="center"/>
          </w:tcPr>
          <w:p>
            <w:r/>
            <w:r>
              <w:rPr>
                <w:b w:val="0"/>
                <w:sz w:val="16"/>
              </w:rPr>
              <w:t>DENY/ASK/RESTRICT according to policy.</w:t>
            </w:r>
          </w:p>
        </w:tc>
      </w:tr>
      <w:tr>
        <w:tc>
          <w:tcPr>
            <w:tcW w:type="dxa" w:w="5083"/>
            <w:vAlign w:val="center"/>
          </w:tcPr>
          <w:p>
            <w:r/>
            <w:r>
              <w:rPr>
                <w:b w:val="0"/>
                <w:sz w:val="16"/>
              </w:rPr>
              <w:t>System directory</w:t>
            </w:r>
          </w:p>
        </w:tc>
        <w:tc>
          <w:tcPr>
            <w:tcW w:type="dxa" w:w="5083"/>
            <w:vAlign w:val="center"/>
          </w:tcPr>
          <w:p>
            <w:r/>
            <w:r>
              <w:rPr>
                <w:b w:val="0"/>
                <w:sz w:val="16"/>
              </w:rPr>
              <w:t>DENY by default.</w:t>
            </w:r>
          </w:p>
        </w:tc>
      </w:tr>
      <w:tr>
        <w:tc>
          <w:tcPr>
            <w:tcW w:type="dxa" w:w="5083"/>
            <w:vAlign w:val="center"/>
          </w:tcPr>
          <w:p>
            <w:r/>
            <w:r>
              <w:rPr>
                <w:b w:val="0"/>
                <w:sz w:val="16"/>
              </w:rPr>
              <w:t>User home/global config</w:t>
            </w:r>
          </w:p>
        </w:tc>
        <w:tc>
          <w:tcPr>
            <w:tcW w:type="dxa" w:w="5083"/>
            <w:vAlign w:val="center"/>
          </w:tcPr>
          <w:p>
            <w:r/>
            <w:r>
              <w:rPr>
                <w:b w:val="0"/>
                <w:sz w:val="16"/>
              </w:rPr>
              <w:t>DENY by default.</w:t>
            </w:r>
          </w:p>
        </w:tc>
      </w:tr>
      <w:tr>
        <w:tc>
          <w:tcPr>
            <w:tcW w:type="dxa" w:w="5083"/>
            <w:vAlign w:val="center"/>
          </w:tcPr>
          <w:p>
            <w:r/>
            <w:r>
              <w:rPr>
                <w:b w:val="0"/>
                <w:sz w:val="16"/>
              </w:rPr>
              <w:t>Ambiguous/unresolvable path</w:t>
            </w:r>
          </w:p>
        </w:tc>
        <w:tc>
          <w:tcPr>
            <w:tcW w:type="dxa" w:w="5083"/>
            <w:vAlign w:val="center"/>
          </w:tcPr>
          <w:p>
            <w:r/>
            <w:r>
              <w:rPr>
                <w:b w:val="0"/>
                <w:sz w:val="16"/>
              </w:rPr>
              <w:t>BLOCK/ASK; never guess.</w:t>
            </w:r>
          </w:p>
        </w:tc>
      </w:tr>
    </w:tbl>
    <w:p/>
    <w:p>
      <w:pPr>
        <w:pStyle w:val="Heading1"/>
      </w:pPr>
      <w:r>
        <w:t>8. Protected Resources</w:t>
      </w:r>
    </w:p>
    <w:p>
      <w:pPr>
        <w:pStyle w:val="ListBullet"/>
        <w:spacing w:after="26"/>
      </w:pPr>
      <w:r>
        <w:t>Security/policy configuration.</w:t>
      </w:r>
    </w:p>
    <w:p>
      <w:pPr>
        <w:pStyle w:val="ListBullet"/>
        <w:spacing w:after="26"/>
      </w:pPr>
      <w:r>
        <w:t>Credential stores and secret files.</w:t>
      </w:r>
    </w:p>
    <w:p>
      <w:pPr>
        <w:pStyle w:val="ListBullet"/>
        <w:spacing w:after="26"/>
      </w:pPr>
      <w:r>
        <w:t>Operating-system/system directories.</w:t>
      </w:r>
    </w:p>
    <w:p>
      <w:pPr>
        <w:pStyle w:val="ListBullet"/>
        <w:spacing w:after="26"/>
      </w:pPr>
      <w:r>
        <w:t>Global user configuration unrelated to the task.</w:t>
      </w:r>
    </w:p>
    <w:p>
      <w:pPr>
        <w:pStyle w:val="ListBullet"/>
        <w:spacing w:after="26"/>
      </w:pPr>
      <w:r>
        <w:t>VCS internals unless accessed through the authorized Git adapter.</w:t>
      </w:r>
    </w:p>
    <w:p>
      <w:pPr>
        <w:pStyle w:val="ListBullet"/>
        <w:spacing w:after="26"/>
      </w:pPr>
      <w:r>
        <w:t>Production/deployment resources when not explicitly in scope.</w:t>
      </w:r>
    </w:p>
    <w:p>
      <w:pPr>
        <w:pStyle w:val="ListBullet"/>
        <w:spacing w:after="26"/>
      </w:pPr>
      <w:r>
        <w:t>Sandbox configuration and enforcement binaries.</w:t>
      </w:r>
    </w:p>
    <w:p>
      <w:pPr>
        <w:pStyle w:val="ListBullet"/>
        <w:spacing w:after="26"/>
      </w:pPr>
      <w:r>
        <w:t>Audit/security evidence stores where modification would compromise traceability.</w:t>
      </w:r>
    </w:p>
    <w:p>
      <w:r>
        <w:t>Protected resource classification is policy-driven; implementation must support both built-in and configurable protected-resource rules.</w:t>
      </w:r>
    </w:p>
    <w:p>
      <w:pPr>
        <w:pStyle w:val="Heading1"/>
      </w:pPr>
      <w:r>
        <w:t>9. Process Execution Sandbox</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Control</w:t>
            </w:r>
          </w:p>
        </w:tc>
        <w:tc>
          <w:tcPr>
            <w:tcW w:type="dxa" w:w="5083"/>
            <w:vAlign w:val="center"/>
            <w:shd w:fill="D9EAF7"/>
          </w:tcPr>
          <w:p>
            <w:r/>
            <w:r>
              <w:rPr>
                <w:b/>
                <w:sz w:val="16"/>
              </w:rPr>
              <w:t>Requirement</w:t>
            </w:r>
          </w:p>
        </w:tc>
      </w:tr>
      <w:tr>
        <w:tc>
          <w:tcPr>
            <w:tcW w:type="dxa" w:w="5083"/>
            <w:vAlign w:val="center"/>
          </w:tcPr>
          <w:p>
            <w:r/>
            <w:r>
              <w:rPr>
                <w:b w:val="0"/>
                <w:sz w:val="16"/>
              </w:rPr>
              <w:t>Program</w:t>
            </w:r>
          </w:p>
        </w:tc>
        <w:tc>
          <w:tcPr>
            <w:tcW w:type="dxa" w:w="5083"/>
            <w:vAlign w:val="center"/>
          </w:tcPr>
          <w:p>
            <w:r/>
            <w:r>
              <w:rPr>
                <w:b w:val="0"/>
                <w:sz w:val="16"/>
              </w:rPr>
              <w:t>Must be recognized/authorized by execution policy.</w:t>
            </w:r>
          </w:p>
        </w:tc>
      </w:tr>
      <w:tr>
        <w:tc>
          <w:tcPr>
            <w:tcW w:type="dxa" w:w="5083"/>
            <w:vAlign w:val="center"/>
          </w:tcPr>
          <w:p>
            <w:r/>
            <w:r>
              <w:rPr>
                <w:b w:val="0"/>
                <w:sz w:val="16"/>
              </w:rPr>
              <w:t>Arguments</w:t>
            </w:r>
          </w:p>
        </w:tc>
        <w:tc>
          <w:tcPr>
            <w:tcW w:type="dxa" w:w="5083"/>
            <w:vAlign w:val="center"/>
          </w:tcPr>
          <w:p>
            <w:r/>
            <w:r>
              <w:rPr>
                <w:b w:val="0"/>
                <w:sz w:val="16"/>
              </w:rPr>
              <w:t>Schema/risk/scope checked; no blind string execution.</w:t>
            </w:r>
          </w:p>
        </w:tc>
      </w:tr>
      <w:tr>
        <w:tc>
          <w:tcPr>
            <w:tcW w:type="dxa" w:w="5083"/>
            <w:vAlign w:val="center"/>
          </w:tcPr>
          <w:p>
            <w:r/>
            <w:r>
              <w:rPr>
                <w:b w:val="0"/>
                <w:sz w:val="16"/>
              </w:rPr>
              <w:t>CWD</w:t>
            </w:r>
          </w:p>
        </w:tc>
        <w:tc>
          <w:tcPr>
            <w:tcW w:type="dxa" w:w="5083"/>
            <w:vAlign w:val="center"/>
          </w:tcPr>
          <w:p>
            <w:r/>
            <w:r>
              <w:rPr>
                <w:b w:val="0"/>
                <w:sz w:val="16"/>
              </w:rPr>
              <w:t>Must be within authorized scope unless explicitly permitted.</w:t>
            </w:r>
          </w:p>
        </w:tc>
      </w:tr>
      <w:tr>
        <w:tc>
          <w:tcPr>
            <w:tcW w:type="dxa" w:w="5083"/>
            <w:vAlign w:val="center"/>
          </w:tcPr>
          <w:p>
            <w:r/>
            <w:r>
              <w:rPr>
                <w:b w:val="0"/>
                <w:sz w:val="16"/>
              </w:rPr>
              <w:t>Environment</w:t>
            </w:r>
          </w:p>
        </w:tc>
        <w:tc>
          <w:tcPr>
            <w:tcW w:type="dxa" w:w="5083"/>
            <w:vAlign w:val="center"/>
          </w:tcPr>
          <w:p>
            <w:r/>
            <w:r>
              <w:rPr>
                <w:b w:val="0"/>
                <w:sz w:val="16"/>
              </w:rPr>
              <w:t>Allowlist/filter; secrets excluded by default.</w:t>
            </w:r>
          </w:p>
        </w:tc>
      </w:tr>
      <w:tr>
        <w:tc>
          <w:tcPr>
            <w:tcW w:type="dxa" w:w="5083"/>
            <w:vAlign w:val="center"/>
          </w:tcPr>
          <w:p>
            <w:r/>
            <w:r>
              <w:rPr>
                <w:b w:val="0"/>
                <w:sz w:val="16"/>
              </w:rPr>
              <w:t>Timeout</w:t>
            </w:r>
          </w:p>
        </w:tc>
        <w:tc>
          <w:tcPr>
            <w:tcW w:type="dxa" w:w="5083"/>
            <w:vAlign w:val="center"/>
          </w:tcPr>
          <w:p>
            <w:r/>
            <w:r>
              <w:rPr>
                <w:b w:val="0"/>
                <w:sz w:val="16"/>
              </w:rPr>
              <w:t>Mandatory bounded timeout.</w:t>
            </w:r>
          </w:p>
        </w:tc>
      </w:tr>
      <w:tr>
        <w:tc>
          <w:tcPr>
            <w:tcW w:type="dxa" w:w="5083"/>
            <w:vAlign w:val="center"/>
          </w:tcPr>
          <w:p>
            <w:r/>
            <w:r>
              <w:rPr>
                <w:b w:val="0"/>
                <w:sz w:val="16"/>
              </w:rPr>
              <w:t>Output</w:t>
            </w:r>
          </w:p>
        </w:tc>
        <w:tc>
          <w:tcPr>
            <w:tcW w:type="dxa" w:w="5083"/>
            <w:vAlign w:val="center"/>
          </w:tcPr>
          <w:p>
            <w:r/>
            <w:r>
              <w:rPr>
                <w:b w:val="0"/>
                <w:sz w:val="16"/>
              </w:rPr>
              <w:t>Bounded capture; large output becomes artifact.</w:t>
            </w:r>
          </w:p>
        </w:tc>
      </w:tr>
      <w:tr>
        <w:tc>
          <w:tcPr>
            <w:tcW w:type="dxa" w:w="5083"/>
            <w:vAlign w:val="center"/>
          </w:tcPr>
          <w:p>
            <w:r/>
            <w:r>
              <w:rPr>
                <w:b w:val="0"/>
                <w:sz w:val="16"/>
              </w:rPr>
              <w:t>Process tree</w:t>
            </w:r>
          </w:p>
        </w:tc>
        <w:tc>
          <w:tcPr>
            <w:tcW w:type="dxa" w:w="5083"/>
            <w:vAlign w:val="center"/>
          </w:tcPr>
          <w:p>
            <w:r/>
            <w:r>
              <w:rPr>
                <w:b w:val="0"/>
                <w:sz w:val="16"/>
              </w:rPr>
              <w:t>Termination should include relevant child processes where supported.</w:t>
            </w:r>
          </w:p>
        </w:tc>
      </w:tr>
      <w:tr>
        <w:tc>
          <w:tcPr>
            <w:tcW w:type="dxa" w:w="5083"/>
            <w:vAlign w:val="center"/>
          </w:tcPr>
          <w:p>
            <w:r/>
            <w:r>
              <w:rPr>
                <w:b w:val="0"/>
                <w:sz w:val="16"/>
              </w:rPr>
              <w:t>Privileges</w:t>
            </w:r>
          </w:p>
        </w:tc>
        <w:tc>
          <w:tcPr>
            <w:tcW w:type="dxa" w:w="5083"/>
            <w:vAlign w:val="center"/>
          </w:tcPr>
          <w:p>
            <w:r/>
            <w:r>
              <w:rPr>
                <w:b w:val="0"/>
                <w:sz w:val="16"/>
              </w:rPr>
              <w:t>No privilege escalation by default.</w:t>
            </w:r>
          </w:p>
        </w:tc>
      </w:tr>
      <w:tr>
        <w:tc>
          <w:tcPr>
            <w:tcW w:type="dxa" w:w="5083"/>
            <w:vAlign w:val="center"/>
          </w:tcPr>
          <w:p>
            <w:r/>
            <w:r>
              <w:rPr>
                <w:b w:val="0"/>
                <w:sz w:val="16"/>
              </w:rPr>
              <w:t>Concurrency</w:t>
            </w:r>
          </w:p>
        </w:tc>
        <w:tc>
          <w:tcPr>
            <w:tcW w:type="dxa" w:w="5083"/>
            <w:vAlign w:val="center"/>
          </w:tcPr>
          <w:p>
            <w:r/>
            <w:r>
              <w:rPr>
                <w:b w:val="0"/>
                <w:sz w:val="16"/>
              </w:rPr>
              <w:t>Bounded by task/runtime budget.</w:t>
            </w:r>
          </w:p>
        </w:tc>
      </w:tr>
      <w:tr>
        <w:tc>
          <w:tcPr>
            <w:tcW w:type="dxa" w:w="5083"/>
            <w:vAlign w:val="center"/>
          </w:tcPr>
          <w:p>
            <w:r/>
            <w:r>
              <w:rPr>
                <w:b w:val="0"/>
                <w:sz w:val="16"/>
              </w:rPr>
              <w:t>Network</w:t>
            </w:r>
          </w:p>
        </w:tc>
        <w:tc>
          <w:tcPr>
            <w:tcW w:type="dxa" w:w="5083"/>
            <w:vAlign w:val="center"/>
          </w:tcPr>
          <w:p>
            <w:r/>
            <w:r>
              <w:rPr>
                <w:b w:val="0"/>
                <w:sz w:val="16"/>
              </w:rPr>
              <w:t>Restricted unless explicitly authorized.</w:t>
            </w:r>
          </w:p>
        </w:tc>
      </w:tr>
      <w:tr>
        <w:tc>
          <w:tcPr>
            <w:tcW w:type="dxa" w:w="5083"/>
            <w:vAlign w:val="center"/>
          </w:tcPr>
          <w:p>
            <w:r/>
            <w:r>
              <w:rPr>
                <w:b w:val="0"/>
                <w:sz w:val="16"/>
              </w:rPr>
              <w:t>Cleanup</w:t>
            </w:r>
          </w:p>
        </w:tc>
        <w:tc>
          <w:tcPr>
            <w:tcW w:type="dxa" w:w="5083"/>
            <w:vAlign w:val="center"/>
          </w:tcPr>
          <w:p>
            <w:r/>
            <w:r>
              <w:rPr>
                <w:b w:val="0"/>
                <w:sz w:val="16"/>
              </w:rPr>
              <w:t>Temporary resources/processes cleaned up after execution.</w:t>
            </w:r>
          </w:p>
        </w:tc>
      </w:tr>
    </w:tbl>
    <w:p/>
    <w:p>
      <w:pPr>
        <w:pStyle w:val="Heading1"/>
      </w:pPr>
      <w:r>
        <w:t>10. Shell &amp; PowerShell Security</w:t>
      </w:r>
    </w:p>
    <w:p>
      <w:pPr>
        <w:pStyle w:val="ListBullet"/>
        <w:spacing w:after="26"/>
      </w:pPr>
      <w:r>
        <w:t>Shell choice does not bypass policy.</w:t>
      </w:r>
    </w:p>
    <w:p>
      <w:pPr>
        <w:pStyle w:val="ListBullet"/>
        <w:spacing w:after="26"/>
      </w:pPr>
      <w:r>
        <w:t>PowerShell is treated as a high-impact execution capability.</w:t>
      </w:r>
    </w:p>
    <w:p>
      <w:pPr>
        <w:pStyle w:val="ListBullet"/>
        <w:spacing w:after="26"/>
      </w:pPr>
      <w:r>
        <w:t>Command strings are analyzed/validated according to policy.</w:t>
      </w:r>
    </w:p>
    <w:p>
      <w:pPr>
        <w:pStyle w:val="ListBullet"/>
        <w:spacing w:after="26"/>
      </w:pPr>
      <w:r>
        <w:t>Command chaining, redirection and interpreter nesting are considered in risk evaluation.</w:t>
      </w:r>
    </w:p>
    <w:p>
      <w:pPr>
        <w:pStyle w:val="ListBullet"/>
        <w:spacing w:after="26"/>
      </w:pPr>
      <w:r>
        <w:t>Switching from a denied shell command to another interpreter is not a valid recovery path.</w:t>
      </w:r>
    </w:p>
    <w:p>
      <w:pPr>
        <w:pStyle w:val="ListBullet"/>
        <w:spacing w:after="26"/>
      </w:pPr>
      <w:r>
        <w:t>Environment and working directory remain constrained.</w:t>
      </w:r>
    </w:p>
    <w:p>
      <w:pPr>
        <w:pStyle w:val="ListBullet"/>
        <w:spacing w:after="26"/>
      </w:pPr>
      <w:r>
        <w:t>Execution timeout and output limits remain mandatory.</w:t>
      </w:r>
    </w:p>
    <w:p>
      <w:pPr>
        <w:pStyle w:val="ListBullet"/>
        <w:spacing w:after="26"/>
      </w:pPr>
      <w:r>
        <w:t>Administrative/system-level commands are denied by default.</w:t>
      </w:r>
    </w:p>
    <w:p>
      <w:r>
        <w:t>The exact command policy is implementation/configuration-specific; the invariant is that alternate syntax, shell or interpreter cannot evade the same authorization boundary.</w:t>
      </w:r>
    </w:p>
    <w:p>
      <w:pPr>
        <w:pStyle w:val="Heading1"/>
      </w:pPr>
      <w:r>
        <w:t>11. Network &amp; External Access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Access type</w:t>
            </w:r>
          </w:p>
        </w:tc>
        <w:tc>
          <w:tcPr>
            <w:tcW w:type="dxa" w:w="5083"/>
            <w:vAlign w:val="center"/>
            <w:shd w:fill="D9EAF7"/>
          </w:tcPr>
          <w:p>
            <w:r/>
            <w:r>
              <w:rPr>
                <w:b/>
                <w:sz w:val="16"/>
              </w:rPr>
              <w:t>Default posture</w:t>
            </w:r>
          </w:p>
        </w:tc>
      </w:tr>
      <w:tr>
        <w:tc>
          <w:tcPr>
            <w:tcW w:type="dxa" w:w="5083"/>
            <w:vAlign w:val="center"/>
          </w:tcPr>
          <w:p>
            <w:r/>
            <w:r>
              <w:rPr>
                <w:b w:val="0"/>
                <w:sz w:val="16"/>
              </w:rPr>
              <w:t>No-network operation</w:t>
            </w:r>
          </w:p>
        </w:tc>
        <w:tc>
          <w:tcPr>
            <w:tcW w:type="dxa" w:w="5083"/>
            <w:vAlign w:val="center"/>
          </w:tcPr>
          <w:p>
            <w:r/>
            <w:r>
              <w:rPr>
                <w:b w:val="0"/>
                <w:sz w:val="16"/>
              </w:rPr>
              <w:t>Preferred default.</w:t>
            </w:r>
          </w:p>
        </w:tc>
      </w:tr>
      <w:tr>
        <w:tc>
          <w:tcPr>
            <w:tcW w:type="dxa" w:w="5083"/>
            <w:vAlign w:val="center"/>
          </w:tcPr>
          <w:p>
            <w:r/>
            <w:r>
              <w:rPr>
                <w:b w:val="0"/>
                <w:sz w:val="16"/>
              </w:rPr>
              <w:t>Package/dependency download</w:t>
            </w:r>
          </w:p>
        </w:tc>
        <w:tc>
          <w:tcPr>
            <w:tcW w:type="dxa" w:w="5083"/>
            <w:vAlign w:val="center"/>
          </w:tcPr>
          <w:p>
            <w:r/>
            <w:r>
              <w:rPr>
                <w:b w:val="0"/>
                <w:sz w:val="16"/>
              </w:rPr>
              <w:t>RESTRICT/ASK according to policy.</w:t>
            </w:r>
          </w:p>
        </w:tc>
      </w:tr>
      <w:tr>
        <w:tc>
          <w:tcPr>
            <w:tcW w:type="dxa" w:w="5083"/>
            <w:vAlign w:val="center"/>
          </w:tcPr>
          <w:p>
            <w:r/>
            <w:r>
              <w:rPr>
                <w:b w:val="0"/>
                <w:sz w:val="16"/>
              </w:rPr>
              <w:t>Public HTTP/API</w:t>
            </w:r>
          </w:p>
        </w:tc>
        <w:tc>
          <w:tcPr>
            <w:tcW w:type="dxa" w:w="5083"/>
            <w:vAlign w:val="center"/>
          </w:tcPr>
          <w:p>
            <w:r/>
            <w:r>
              <w:rPr>
                <w:b w:val="0"/>
                <w:sz w:val="16"/>
              </w:rPr>
              <w:t>RESTRICT/ASK; explicit endpoint policy.</w:t>
            </w:r>
          </w:p>
        </w:tc>
      </w:tr>
      <w:tr>
        <w:tc>
          <w:tcPr>
            <w:tcW w:type="dxa" w:w="5083"/>
            <w:vAlign w:val="center"/>
          </w:tcPr>
          <w:p>
            <w:r/>
            <w:r>
              <w:rPr>
                <w:b w:val="0"/>
                <w:sz w:val="16"/>
              </w:rPr>
              <w:t>Private/internal network</w:t>
            </w:r>
          </w:p>
        </w:tc>
        <w:tc>
          <w:tcPr>
            <w:tcW w:type="dxa" w:w="5083"/>
            <w:vAlign w:val="center"/>
          </w:tcPr>
          <w:p>
            <w:r/>
            <w:r>
              <w:rPr>
                <w:b w:val="0"/>
                <w:sz w:val="16"/>
              </w:rPr>
              <w:t>DENY by default unless explicitly authorized.</w:t>
            </w:r>
          </w:p>
        </w:tc>
      </w:tr>
      <w:tr>
        <w:tc>
          <w:tcPr>
            <w:tcW w:type="dxa" w:w="5083"/>
            <w:vAlign w:val="center"/>
          </w:tcPr>
          <w:p>
            <w:r/>
            <w:r>
              <w:rPr>
                <w:b w:val="0"/>
                <w:sz w:val="16"/>
              </w:rPr>
              <w:t>Cloud/production API</w:t>
            </w:r>
          </w:p>
        </w:tc>
        <w:tc>
          <w:tcPr>
            <w:tcW w:type="dxa" w:w="5083"/>
            <w:vAlign w:val="center"/>
          </w:tcPr>
          <w:p>
            <w:r/>
            <w:r>
              <w:rPr>
                <w:b w:val="0"/>
                <w:sz w:val="16"/>
              </w:rPr>
              <w:t>DENY by default; separate high-impact authorization.</w:t>
            </w:r>
          </w:p>
        </w:tc>
      </w:tr>
      <w:tr>
        <w:tc>
          <w:tcPr>
            <w:tcW w:type="dxa" w:w="5083"/>
            <w:vAlign w:val="center"/>
          </w:tcPr>
          <w:p>
            <w:r/>
            <w:r>
              <w:rPr>
                <w:b w:val="0"/>
                <w:sz w:val="16"/>
              </w:rPr>
              <w:t>MCP remote service</w:t>
            </w:r>
          </w:p>
        </w:tc>
        <w:tc>
          <w:tcPr>
            <w:tcW w:type="dxa" w:w="5083"/>
            <w:vAlign w:val="center"/>
          </w:tcPr>
          <w:p>
            <w:r/>
            <w:r>
              <w:rPr>
                <w:b w:val="0"/>
                <w:sz w:val="16"/>
              </w:rPr>
              <w:t>Allowed only through MCP adapter + policy.</w:t>
            </w:r>
          </w:p>
        </w:tc>
      </w:tr>
      <w:tr>
        <w:tc>
          <w:tcPr>
            <w:tcW w:type="dxa" w:w="5083"/>
            <w:vAlign w:val="center"/>
          </w:tcPr>
          <w:p>
            <w:r/>
            <w:r>
              <w:rPr>
                <w:b w:val="0"/>
                <w:sz w:val="16"/>
              </w:rPr>
              <w:t>Arbitrary socket/raw network</w:t>
            </w:r>
          </w:p>
        </w:tc>
        <w:tc>
          <w:tcPr>
            <w:tcW w:type="dxa" w:w="5083"/>
            <w:vAlign w:val="center"/>
          </w:tcPr>
          <w:p>
            <w:r/>
            <w:r>
              <w:rPr>
                <w:b w:val="0"/>
                <w:sz w:val="16"/>
              </w:rPr>
              <w:t>DENY by default.</w:t>
            </w:r>
          </w:p>
        </w:tc>
      </w:tr>
    </w:tbl>
    <w:p/>
    <w:p>
      <w:pPr>
        <w:pStyle w:val="ListBullet"/>
        <w:spacing w:after="26"/>
      </w:pPr>
      <w:r>
        <w:t>Network authorization should be endpoint/capability aware where practical.</w:t>
      </w:r>
    </w:p>
    <w:p>
      <w:pPr>
        <w:pStyle w:val="ListBullet"/>
        <w:spacing w:after="26"/>
      </w:pPr>
      <w:r>
        <w:t>Network responses are untrusted data.</w:t>
      </w:r>
    </w:p>
    <w:p>
      <w:pPr>
        <w:pStyle w:val="ListBullet"/>
        <w:spacing w:after="26"/>
      </w:pPr>
      <w:r>
        <w:t>Credentials for network access must be handled outside ordinary model context.</w:t>
      </w:r>
    </w:p>
    <w:p>
      <w:pPr>
        <w:pStyle w:val="Heading1"/>
      </w:pPr>
      <w:r>
        <w:t>12. Secret &amp; Credential Protection</w:t>
      </w:r>
    </w:p>
    <w:p>
      <w:pPr>
        <w:pStyle w:val="ListBullet"/>
        <w:spacing w:after="26"/>
      </w:pPr>
      <w:r>
        <w:t>Do not intentionally expose API keys, passwords, tokens, private keys or equivalent credentials to the model.</w:t>
      </w:r>
    </w:p>
    <w:p>
      <w:pPr>
        <w:pStyle w:val="ListBullet"/>
        <w:spacing w:after="26"/>
      </w:pPr>
      <w:r>
        <w:t>Filter sensitive environment variables from process execution.</w:t>
      </w:r>
    </w:p>
    <w:p>
      <w:pPr>
        <w:pStyle w:val="ListBullet"/>
        <w:spacing w:after="26"/>
      </w:pPr>
      <w:r>
        <w:t>Redact secrets from command output before model-facing context.</w:t>
      </w:r>
    </w:p>
    <w:p>
      <w:pPr>
        <w:pStyle w:val="ListBullet"/>
        <w:spacing w:after="26"/>
      </w:pPr>
      <w:r>
        <w:t>Do not persist secrets in normal memory.</w:t>
      </w:r>
    </w:p>
    <w:p>
      <w:pPr>
        <w:pStyle w:val="ListBullet"/>
        <w:spacing w:after="26"/>
      </w:pPr>
      <w:r>
        <w:t>Do not include secrets in ordinary audit records.</w:t>
      </w:r>
    </w:p>
    <w:p>
      <w:pPr>
        <w:pStyle w:val="ListBullet"/>
        <w:spacing w:after="26"/>
      </w:pPr>
      <w:r>
        <w:t>Secret detection should cover common credential formats and configured project-specific patterns.</w:t>
      </w:r>
    </w:p>
    <w:p>
      <w:pPr>
        <w:pStyle w:val="ListBullet"/>
        <w:spacing w:after="26"/>
      </w:pPr>
      <w:r>
        <w:t>If a secret is encountered, minimize propagation and route handling through the appropriate secure mechanism.</w:t>
      </w:r>
    </w:p>
    <w:p>
      <w:pPr>
        <w:pStyle w:val="ListBullet"/>
        <w:spacing w:after="26"/>
      </w:pPr>
      <w:r>
        <w:t>Security tooling must never print recovered secrets merely to diagnose an issue.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Secret location</w:t>
            </w:r>
          </w:p>
        </w:tc>
        <w:tc>
          <w:tcPr>
            <w:tcW w:type="dxa" w:w="5083"/>
            <w:vAlign w:val="center"/>
            <w:shd w:fill="D9EAF7"/>
          </w:tcPr>
          <w:p>
            <w:r/>
            <w:r>
              <w:rPr>
                <w:b/>
                <w:sz w:val="16"/>
              </w:rPr>
              <w:t>Default behavior</w:t>
            </w:r>
          </w:p>
        </w:tc>
      </w:tr>
      <w:tr>
        <w:tc>
          <w:tcPr>
            <w:tcW w:type="dxa" w:w="5083"/>
            <w:vAlign w:val="center"/>
          </w:tcPr>
          <w:p>
            <w:r/>
            <w:r>
              <w:rPr>
                <w:b w:val="0"/>
                <w:sz w:val="16"/>
              </w:rPr>
              <w:t>Environment variable</w:t>
            </w:r>
          </w:p>
        </w:tc>
        <w:tc>
          <w:tcPr>
            <w:tcW w:type="dxa" w:w="5083"/>
            <w:vAlign w:val="center"/>
          </w:tcPr>
          <w:p>
            <w:r/>
            <w:r>
              <w:rPr>
                <w:b w:val="0"/>
                <w:sz w:val="16"/>
              </w:rPr>
              <w:t>Filter from model-facing execution.</w:t>
            </w:r>
          </w:p>
        </w:tc>
      </w:tr>
      <w:tr>
        <w:tc>
          <w:tcPr>
            <w:tcW w:type="dxa" w:w="5083"/>
            <w:vAlign w:val="center"/>
          </w:tcPr>
          <w:p>
            <w:r/>
            <w:r>
              <w:rPr>
                <w:b w:val="0"/>
                <w:sz w:val="16"/>
              </w:rPr>
              <w:t>Secret file</w:t>
            </w:r>
          </w:p>
        </w:tc>
        <w:tc>
          <w:tcPr>
            <w:tcW w:type="dxa" w:w="5083"/>
            <w:vAlign w:val="center"/>
          </w:tcPr>
          <w:p>
            <w:r/>
            <w:r>
              <w:rPr>
                <w:b w:val="0"/>
                <w:sz w:val="16"/>
              </w:rPr>
              <w:t>Protected/deny by default.</w:t>
            </w:r>
          </w:p>
        </w:tc>
      </w:tr>
      <w:tr>
        <w:tc>
          <w:tcPr>
            <w:tcW w:type="dxa" w:w="5083"/>
            <w:vAlign w:val="center"/>
          </w:tcPr>
          <w:p>
            <w:r/>
            <w:r>
              <w:rPr>
                <w:b w:val="0"/>
                <w:sz w:val="16"/>
              </w:rPr>
              <w:t>Command output</w:t>
            </w:r>
          </w:p>
        </w:tc>
        <w:tc>
          <w:tcPr>
            <w:tcW w:type="dxa" w:w="5083"/>
            <w:vAlign w:val="center"/>
          </w:tcPr>
          <w:p>
            <w:r/>
            <w:r>
              <w:rPr>
                <w:b w:val="0"/>
                <w:sz w:val="16"/>
              </w:rPr>
              <w:t>Redact before context/logging.</w:t>
            </w:r>
          </w:p>
        </w:tc>
      </w:tr>
      <w:tr>
        <w:tc>
          <w:tcPr>
            <w:tcW w:type="dxa" w:w="5083"/>
            <w:vAlign w:val="center"/>
          </w:tcPr>
          <w:p>
            <w:r/>
            <w:r>
              <w:rPr>
                <w:b w:val="0"/>
                <w:sz w:val="16"/>
              </w:rPr>
              <w:t>Git diff</w:t>
            </w:r>
          </w:p>
        </w:tc>
        <w:tc>
          <w:tcPr>
            <w:tcW w:type="dxa" w:w="5083"/>
            <w:vAlign w:val="center"/>
          </w:tcPr>
          <w:p>
            <w:r/>
            <w:r>
              <w:rPr>
                <w:b w:val="0"/>
                <w:sz w:val="16"/>
              </w:rPr>
              <w:t>Detect/redact where applicable.</w:t>
            </w:r>
          </w:p>
        </w:tc>
      </w:tr>
      <w:tr>
        <w:tc>
          <w:tcPr>
            <w:tcW w:type="dxa" w:w="5083"/>
            <w:vAlign w:val="center"/>
          </w:tcPr>
          <w:p>
            <w:r/>
            <w:r>
              <w:rPr>
                <w:b w:val="0"/>
                <w:sz w:val="16"/>
              </w:rPr>
              <w:t>Memory record</w:t>
            </w:r>
          </w:p>
        </w:tc>
        <w:tc>
          <w:tcPr>
            <w:tcW w:type="dxa" w:w="5083"/>
            <w:vAlign w:val="center"/>
          </w:tcPr>
          <w:p>
            <w:r/>
            <w:r>
              <w:rPr>
                <w:b w:val="0"/>
                <w:sz w:val="16"/>
              </w:rPr>
              <w:t>Do not store as normal memory.</w:t>
            </w:r>
          </w:p>
        </w:tc>
      </w:tr>
      <w:tr>
        <w:tc>
          <w:tcPr>
            <w:tcW w:type="dxa" w:w="5083"/>
            <w:vAlign w:val="center"/>
          </w:tcPr>
          <w:p>
            <w:r/>
            <w:r>
              <w:rPr>
                <w:b w:val="0"/>
                <w:sz w:val="16"/>
              </w:rPr>
              <w:t>MCP response</w:t>
            </w:r>
          </w:p>
        </w:tc>
        <w:tc>
          <w:tcPr>
            <w:tcW w:type="dxa" w:w="5083"/>
            <w:vAlign w:val="center"/>
          </w:tcPr>
          <w:p>
            <w:r/>
            <w:r>
              <w:rPr>
                <w:b w:val="0"/>
                <w:sz w:val="16"/>
              </w:rPr>
              <w:t>Treat as untrusted; redact/filter.</w:t>
            </w:r>
          </w:p>
        </w:tc>
      </w:tr>
      <w:tr>
        <w:tc>
          <w:tcPr>
            <w:tcW w:type="dxa" w:w="5083"/>
            <w:vAlign w:val="center"/>
          </w:tcPr>
          <w:p>
            <w:r/>
            <w:r>
              <w:rPr>
                <w:b w:val="0"/>
                <w:sz w:val="16"/>
              </w:rPr>
              <w:t>Error message</w:t>
            </w:r>
          </w:p>
        </w:tc>
        <w:tc>
          <w:tcPr>
            <w:tcW w:type="dxa" w:w="5083"/>
            <w:vAlign w:val="center"/>
          </w:tcPr>
          <w:p>
            <w:r/>
            <w:r>
              <w:rPr>
                <w:b w:val="0"/>
                <w:sz w:val="16"/>
              </w:rPr>
              <w:t>Safe summary without secret value.</w:t>
            </w:r>
          </w:p>
        </w:tc>
      </w:tr>
    </w:tbl>
    <w:p/>
    <w:p>
      <w:pPr>
        <w:pStyle w:val="Heading1"/>
      </w:pPr>
      <w:r>
        <w:t>13. Prompt Injection &amp; Untrusted Content</w:t>
      </w:r>
    </w:p>
    <w:p>
      <w:pPr>
        <w:pStyle w:val="ListBullet"/>
        <w:spacing w:after="26"/>
      </w:pPr>
      <w:r>
        <w:t>Repository files are data, not security instructions.</w:t>
      </w:r>
    </w:p>
    <w:p>
      <w:pPr>
        <w:pStyle w:val="ListBullet"/>
        <w:spacing w:after="26"/>
      </w:pPr>
      <w:r>
        <w:t>README, comments, issue text, test fixtures and generated files may contain malicious instructions.</w:t>
      </w:r>
    </w:p>
    <w:p>
      <w:pPr>
        <w:pStyle w:val="ListBullet"/>
        <w:spacing w:after="26"/>
      </w:pPr>
      <w:r>
        <w:t>MCP/tool output may contain malicious instructions.</w:t>
      </w:r>
    </w:p>
    <w:p>
      <w:pPr>
        <w:pStyle w:val="ListBullet"/>
        <w:spacing w:after="26"/>
      </w:pPr>
      <w:r>
        <w:t>Memory may contain historical instructions but is advisory and provenance-aware.</w:t>
      </w:r>
    </w:p>
    <w:p>
      <w:pPr>
        <w:pStyle w:val="ListBullet"/>
        <w:spacing w:after="26"/>
      </w:pPr>
      <w:r>
        <w:t>Instruction-like text must not gain authority merely because it appears in a file or tool result.</w:t>
      </w:r>
    </w:p>
    <w:p>
      <w:pPr>
        <w:pStyle w:val="ListBullet"/>
        <w:spacing w:after="26"/>
      </w:pPr>
      <w:r>
        <w:t>Policy and system-level security rules remain authoritative.</w:t>
      </w:r>
    </w:p>
    <w:p>
      <w:pPr>
        <w:pStyle w:val="ListBullet"/>
        <w:spacing w:after="26"/>
      </w:pPr>
      <w:r>
        <w:t>Suspicious content may be flagged for the model, but detection is not the sole defense.</w:t>
      </w:r>
    </w:p>
    <w:p>
      <w:pPr>
        <w:pStyle w:val="ListBullet"/>
        <w:spacing w:after="26"/>
      </w:pPr>
      <w:r>
        <w:t>An injected instruction cannot authorize a new tool, expand scope or weaken security.</w:t>
      </w:r>
    </w:p>
    <w:p>
      <w:pPr>
        <w:pStyle w:val="Heading1"/>
      </w:pPr>
      <w:r>
        <w:t>14. MCP Security Boundary</w:t>
      </w:r>
    </w:p>
    <w:p>
      <w:pPr>
        <w:pStyle w:val="ListBullet"/>
        <w:spacing w:after="26"/>
      </w:pPr>
      <w:r>
        <w:t>MCP servers are external/untrusted capabilities.</w:t>
      </w:r>
    </w:p>
    <w:p>
      <w:pPr>
        <w:pStyle w:val="ListBullet"/>
        <w:spacing w:after="26"/>
      </w:pPr>
      <w:r>
        <w:t>Each MCP tool is represented by an internal ToolDefinition.</w:t>
      </w:r>
    </w:p>
    <w:p>
      <w:pPr>
        <w:pStyle w:val="ListBullet"/>
        <w:spacing w:after="26"/>
      </w:pPr>
      <w:r>
        <w:t>MCP calls create normal ToolRequests.</w:t>
      </w:r>
    </w:p>
    <w:p>
      <w:pPr>
        <w:pStyle w:val="ListBullet"/>
        <w:spacing w:after="26"/>
      </w:pPr>
      <w:r>
        <w:t>All MCP requests pass schema validation, scope checks and Policy Engine evaluation.</w:t>
      </w:r>
    </w:p>
    <w:p>
      <w:pPr>
        <w:pStyle w:val="ListBullet"/>
        <w:spacing w:after="26"/>
      </w:pPr>
      <w:r>
        <w:t>MCP responses are untrusted data.</w:t>
      </w:r>
    </w:p>
    <w:p>
      <w:pPr>
        <w:pStyle w:val="ListBullet"/>
        <w:spacing w:after="26"/>
      </w:pPr>
      <w:r>
        <w:t>MCP cannot directly access internal executors outside the authorized adapter boundary.</w:t>
      </w:r>
    </w:p>
    <w:p>
      <w:pPr>
        <w:pStyle w:val="ListBullet"/>
        <w:spacing w:after="26"/>
      </w:pPr>
      <w:r>
        <w:t>MCP capability metadata cannot override internal security policy.</w:t>
      </w:r>
    </w:p>
    <w:p>
      <w:pPr>
        <w:pStyle w:val="ListBullet"/>
        <w:spacing w:after="26"/>
      </w:pPr>
      <w:r>
        <w:t>MCP identity, tool identity and correlation must be audited.</w:t>
      </w:r>
    </w:p>
    <w:p>
      <w:pPr>
        <w:spacing w:after="0"/>
      </w:pPr>
      <w:r>
        <w:rPr>
          <w:rFonts w:ascii="Consolas" w:hAnsi="Consolas"/>
          <w:sz w:val="15"/>
        </w:rPr>
        <w:t>Agent → MCP ToolRequest → Tool Gateway → Policy Engine</w:t>
      </w:r>
    </w:p>
    <w:p>
      <w:pPr>
        <w:spacing w:after="0"/>
      </w:pPr>
      <w:r>
        <w:rPr>
          <w:rFonts w:ascii="Consolas" w:hAnsi="Consolas"/>
          <w:sz w:val="15"/>
        </w:rPr>
        <w:t xml:space="preserve">                                  ↓</w:t>
      </w:r>
    </w:p>
    <w:p>
      <w:pPr>
        <w:spacing w:after="0"/>
      </w:pPr>
      <w:r>
        <w:rPr>
          <w:rFonts w:ascii="Consolas" w:hAnsi="Consolas"/>
          <w:sz w:val="15"/>
        </w:rPr>
        <w:t xml:space="preserve">                           Authorized MCP Adapter</w:t>
      </w:r>
    </w:p>
    <w:p>
      <w:pPr>
        <w:spacing w:after="0"/>
      </w:pPr>
      <w:r>
        <w:rPr>
          <w:rFonts w:ascii="Consolas" w:hAnsi="Consolas"/>
          <w:sz w:val="15"/>
        </w:rPr>
        <w:t xml:space="preserve">                                  ↓</w:t>
      </w:r>
    </w:p>
    <w:p>
      <w:pPr>
        <w:spacing w:after="0"/>
      </w:pPr>
      <w:r>
        <w:rPr>
          <w:rFonts w:ascii="Consolas" w:hAnsi="Consolas"/>
          <w:sz w:val="15"/>
        </w:rPr>
        <w:t xml:space="preserve">                              External MCP</w:t>
      </w:r>
    </w:p>
    <w:p>
      <w:pPr>
        <w:spacing w:after="0"/>
      </w:pPr>
      <w:r>
        <w:rPr>
          <w:rFonts w:ascii="Consolas" w:hAnsi="Consolas"/>
          <w:sz w:val="15"/>
        </w:rPr>
        <w:t xml:space="preserve">                                  ↓</w:t>
      </w:r>
    </w:p>
    <w:p>
      <w:pPr>
        <w:spacing w:after="0"/>
      </w:pPr>
      <w:r>
        <w:rPr>
          <w:rFonts w:ascii="Consolas" w:hAnsi="Consolas"/>
          <w:sz w:val="15"/>
        </w:rPr>
        <w:t xml:space="preserve">                          Untrusted ToolResult</w:t>
      </w:r>
    </w:p>
    <w:p>
      <w:pPr>
        <w:pStyle w:val="Heading1"/>
      </w:pPr>
      <w:r>
        <w:t>15. Security Policy Authority</w:t>
      </w:r>
    </w:p>
    <w:p>
      <w:pPr>
        <w:pStyle w:val="ListBullet"/>
        <w:spacing w:after="26"/>
      </w:pPr>
      <w:r>
        <w:t>Hard security rules outrank autonomy mode.</w:t>
      </w:r>
    </w:p>
    <w:p>
      <w:pPr>
        <w:pStyle w:val="ListBullet"/>
        <w:spacing w:after="26"/>
      </w:pPr>
      <w:r>
        <w:t>Hard security rules outrank project configuration.</w:t>
      </w:r>
    </w:p>
    <w:p>
      <w:pPr>
        <w:pStyle w:val="ListBullet"/>
        <w:spacing w:after="26"/>
      </w:pPr>
      <w:r>
        <w:t>Hard security rules outrank memory/context.</w:t>
      </w:r>
    </w:p>
    <w:p>
      <w:pPr>
        <w:pStyle w:val="ListBullet"/>
        <w:spacing w:after="26"/>
      </w:pPr>
      <w:r>
        <w:t>Hard security rules outrank model instructions.</w:t>
      </w:r>
    </w:p>
    <w:p>
      <w:pPr>
        <w:pStyle w:val="ListBullet"/>
        <w:spacing w:after="26"/>
      </w:pPr>
      <w:r>
        <w:t>Repository content cannot edit effective policy through ordinary tools.</w:t>
      </w:r>
    </w:p>
    <w:p>
      <w:pPr>
        <w:pStyle w:val="ListBullet"/>
        <w:spacing w:after="26"/>
      </w:pPr>
      <w:r>
        <w:t>Recovery cannot alter policy to make a failed/denied action succeed.</w:t>
      </w:r>
    </w:p>
    <w:p>
      <w:pPr>
        <w:pStyle w:val="ListBullet"/>
        <w:spacing w:after="26"/>
      </w:pPr>
      <w:r>
        <w:t>Policy configuration changes use a separate administrative/change-control path.</w:t>
      </w:r>
    </w:p>
    <w:p>
      <w:pPr>
        <w:spacing w:after="0"/>
      </w:pPr>
      <w:r>
        <w:rPr>
          <w:rFonts w:ascii="Consolas" w:hAnsi="Consolas"/>
          <w:sz w:val="15"/>
        </w:rPr>
        <w:t>Security Authority</w:t>
      </w:r>
    </w:p>
    <w:p>
      <w:pPr>
        <w:spacing w:after="0"/>
      </w:pPr>
      <w:r>
        <w:rPr>
          <w:rFonts w:ascii="Consolas" w:hAnsi="Consolas"/>
          <w:sz w:val="15"/>
        </w:rPr>
        <w:t xml:space="preserve">      &gt; Protected Resource Rules</w:t>
      </w:r>
    </w:p>
    <w:p>
      <w:pPr>
        <w:spacing w:after="0"/>
      </w:pPr>
      <w:r>
        <w:rPr>
          <w:rFonts w:ascii="Consolas" w:hAnsi="Consolas"/>
          <w:sz w:val="15"/>
        </w:rPr>
        <w:t xml:space="preserve">      &gt; Tool/Argument Risk</w:t>
      </w:r>
    </w:p>
    <w:p>
      <w:pPr>
        <w:spacing w:after="0"/>
      </w:pPr>
      <w:r>
        <w:rPr>
          <w:rFonts w:ascii="Consolas" w:hAnsi="Consolas"/>
          <w:sz w:val="15"/>
        </w:rPr>
        <w:t xml:space="preserve">      &gt; Workspace Scope</w:t>
      </w:r>
    </w:p>
    <w:p>
      <w:pPr>
        <w:spacing w:after="0"/>
      </w:pPr>
      <w:r>
        <w:rPr>
          <w:rFonts w:ascii="Consolas" w:hAnsi="Consolas"/>
          <w:sz w:val="15"/>
        </w:rPr>
        <w:t xml:space="preserve">      &gt; Autonomy Mode</w:t>
      </w:r>
    </w:p>
    <w:p>
      <w:pPr>
        <w:spacing w:after="0"/>
      </w:pPr>
      <w:r>
        <w:rPr>
          <w:rFonts w:ascii="Consolas" w:hAnsi="Consolas"/>
          <w:sz w:val="15"/>
        </w:rPr>
        <w:t xml:space="preserve">      &gt; Project Configuration</w:t>
      </w:r>
    </w:p>
    <w:p>
      <w:pPr>
        <w:spacing w:after="0"/>
      </w:pPr>
      <w:r>
        <w:rPr>
          <w:rFonts w:ascii="Consolas" w:hAnsi="Consolas"/>
          <w:sz w:val="15"/>
        </w:rPr>
        <w:t xml:space="preserve">      &gt; Agent Request</w:t>
      </w:r>
    </w:p>
    <w:p>
      <w:pPr>
        <w:pStyle w:val="Heading1"/>
      </w:pPr>
      <w:r>
        <w:t>16. High-Risk Approval Rules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Action</w:t>
            </w:r>
          </w:p>
        </w:tc>
        <w:tc>
          <w:tcPr>
            <w:tcW w:type="dxa" w:w="5083"/>
            <w:vAlign w:val="center"/>
            <w:shd w:fill="D9EAF7"/>
          </w:tcPr>
          <w:p>
            <w:r/>
            <w:r>
              <w:rPr>
                <w:b/>
                <w:sz w:val="16"/>
              </w:rPr>
              <w:t>Default</w:t>
            </w:r>
          </w:p>
        </w:tc>
      </w:tr>
      <w:tr>
        <w:tc>
          <w:tcPr>
            <w:tcW w:type="dxa" w:w="5083"/>
            <w:vAlign w:val="center"/>
          </w:tcPr>
          <w:p>
            <w:r/>
            <w:r>
              <w:rPr>
                <w:b w:val="0"/>
                <w:sz w:val="16"/>
              </w:rPr>
              <w:t>Destructive delete</w:t>
            </w:r>
          </w:p>
        </w:tc>
        <w:tc>
          <w:tcPr>
            <w:tcW w:type="dxa" w:w="5083"/>
            <w:vAlign w:val="center"/>
          </w:tcPr>
          <w:p>
            <w:r/>
            <w:r>
              <w:rPr>
                <w:b w:val="0"/>
                <w:sz w:val="16"/>
              </w:rPr>
              <w:t>DENY/ASK per protected-resource policy</w:t>
            </w:r>
          </w:p>
        </w:tc>
      </w:tr>
      <w:tr>
        <w:tc>
          <w:tcPr>
            <w:tcW w:type="dxa" w:w="5083"/>
            <w:vAlign w:val="center"/>
          </w:tcPr>
          <w:p>
            <w:r/>
            <w:r>
              <w:rPr>
                <w:b w:val="0"/>
                <w:sz w:val="16"/>
              </w:rPr>
              <w:t>Git rollback/reset</w:t>
            </w:r>
          </w:p>
        </w:tc>
        <w:tc>
          <w:tcPr>
            <w:tcW w:type="dxa" w:w="5083"/>
            <w:vAlign w:val="center"/>
          </w:tcPr>
          <w:p>
            <w:r/>
            <w:r>
              <w:rPr>
                <w:b w:val="0"/>
                <w:sz w:val="16"/>
              </w:rPr>
              <w:t>ASK/RESTRICT</w:t>
            </w:r>
          </w:p>
        </w:tc>
      </w:tr>
      <w:tr>
        <w:tc>
          <w:tcPr>
            <w:tcW w:type="dxa" w:w="5083"/>
            <w:vAlign w:val="center"/>
          </w:tcPr>
          <w:p>
            <w:r/>
            <w:r>
              <w:rPr>
                <w:b w:val="0"/>
                <w:sz w:val="16"/>
              </w:rPr>
              <w:t>Git commit</w:t>
            </w:r>
          </w:p>
        </w:tc>
        <w:tc>
          <w:tcPr>
            <w:tcW w:type="dxa" w:w="5083"/>
            <w:vAlign w:val="center"/>
          </w:tcPr>
          <w:p>
            <w:r/>
            <w:r>
              <w:rPr>
                <w:b w:val="0"/>
                <w:sz w:val="16"/>
              </w:rPr>
              <w:t>ASK/configured approval</w:t>
            </w:r>
          </w:p>
        </w:tc>
      </w:tr>
      <w:tr>
        <w:tc>
          <w:tcPr>
            <w:tcW w:type="dxa" w:w="5083"/>
            <w:vAlign w:val="center"/>
          </w:tcPr>
          <w:p>
            <w:r/>
            <w:r>
              <w:rPr>
                <w:b w:val="0"/>
                <w:sz w:val="16"/>
              </w:rPr>
              <w:t>Package installation</w:t>
            </w:r>
          </w:p>
        </w:tc>
        <w:tc>
          <w:tcPr>
            <w:tcW w:type="dxa" w:w="5083"/>
            <w:vAlign w:val="center"/>
          </w:tcPr>
          <w:p>
            <w:r/>
            <w:r>
              <w:rPr>
                <w:b w:val="0"/>
                <w:sz w:val="16"/>
              </w:rPr>
              <w:t>ASK/RESTRICT</w:t>
            </w:r>
          </w:p>
        </w:tc>
      </w:tr>
      <w:tr>
        <w:tc>
          <w:tcPr>
            <w:tcW w:type="dxa" w:w="5083"/>
            <w:vAlign w:val="center"/>
          </w:tcPr>
          <w:p>
            <w:r/>
            <w:r>
              <w:rPr>
                <w:b w:val="0"/>
                <w:sz w:val="16"/>
              </w:rPr>
              <w:t>External network access</w:t>
            </w:r>
          </w:p>
        </w:tc>
        <w:tc>
          <w:tcPr>
            <w:tcW w:type="dxa" w:w="5083"/>
            <w:vAlign w:val="center"/>
          </w:tcPr>
          <w:p>
            <w:r/>
            <w:r>
              <w:rPr>
                <w:b w:val="0"/>
                <w:sz w:val="16"/>
              </w:rPr>
              <w:t>ASK/RESTRICT</w:t>
            </w:r>
          </w:p>
        </w:tc>
      </w:tr>
      <w:tr>
        <w:tc>
          <w:tcPr>
            <w:tcW w:type="dxa" w:w="5083"/>
            <w:vAlign w:val="center"/>
          </w:tcPr>
          <w:p>
            <w:r/>
            <w:r>
              <w:rPr>
                <w:b w:val="0"/>
                <w:sz w:val="16"/>
              </w:rPr>
              <w:t>Production/live action</w:t>
            </w:r>
          </w:p>
        </w:tc>
        <w:tc>
          <w:tcPr>
            <w:tcW w:type="dxa" w:w="5083"/>
            <w:vAlign w:val="center"/>
          </w:tcPr>
          <w:p>
            <w:r/>
            <w:r>
              <w:rPr>
                <w:b w:val="0"/>
                <w:sz w:val="16"/>
              </w:rPr>
              <w:t>DENY by default</w:t>
            </w:r>
          </w:p>
        </w:tc>
      </w:tr>
      <w:tr>
        <w:tc>
          <w:tcPr>
            <w:tcW w:type="dxa" w:w="5083"/>
            <w:vAlign w:val="center"/>
          </w:tcPr>
          <w:p>
            <w:r/>
            <w:r>
              <w:rPr>
                <w:b w:val="0"/>
                <w:sz w:val="16"/>
              </w:rPr>
              <w:t>Privilege escalation</w:t>
            </w:r>
          </w:p>
        </w:tc>
        <w:tc>
          <w:tcPr>
            <w:tcW w:type="dxa" w:w="5083"/>
            <w:vAlign w:val="center"/>
          </w:tcPr>
          <w:p>
            <w:r/>
            <w:r>
              <w:rPr>
                <w:b w:val="0"/>
                <w:sz w:val="16"/>
              </w:rPr>
              <w:t>DENY</w:t>
            </w:r>
          </w:p>
        </w:tc>
      </w:tr>
      <w:tr>
        <w:tc>
          <w:tcPr>
            <w:tcW w:type="dxa" w:w="5083"/>
            <w:vAlign w:val="center"/>
          </w:tcPr>
          <w:p>
            <w:r/>
            <w:r>
              <w:rPr>
                <w:b w:val="0"/>
                <w:sz w:val="16"/>
              </w:rPr>
              <w:t>Security policy modification</w:t>
            </w:r>
          </w:p>
        </w:tc>
        <w:tc>
          <w:tcPr>
            <w:tcW w:type="dxa" w:w="5083"/>
            <w:vAlign w:val="center"/>
          </w:tcPr>
          <w:p>
            <w:r/>
            <w:r>
              <w:rPr>
                <w:b w:val="0"/>
                <w:sz w:val="16"/>
              </w:rPr>
              <w:t>Separate administrative control; not ordinary agent action</w:t>
            </w:r>
          </w:p>
        </w:tc>
      </w:tr>
      <w:tr>
        <w:tc>
          <w:tcPr>
            <w:tcW w:type="dxa" w:w="5083"/>
            <w:vAlign w:val="center"/>
          </w:tcPr>
          <w:p>
            <w:r/>
            <w:r>
              <w:rPr>
                <w:b w:val="0"/>
                <w:sz w:val="16"/>
              </w:rPr>
              <w:t>Credential access</w:t>
            </w:r>
          </w:p>
        </w:tc>
        <w:tc>
          <w:tcPr>
            <w:tcW w:type="dxa" w:w="5083"/>
            <w:vAlign w:val="center"/>
          </w:tcPr>
          <w:p>
            <w:r/>
            <w:r>
              <w:rPr>
                <w:b w:val="0"/>
                <w:sz w:val="16"/>
              </w:rPr>
              <w:t>DENY by default</w:t>
            </w:r>
          </w:p>
        </w:tc>
      </w:tr>
      <w:tr>
        <w:tc>
          <w:tcPr>
            <w:tcW w:type="dxa" w:w="5083"/>
            <w:vAlign w:val="center"/>
          </w:tcPr>
          <w:p>
            <w:r/>
            <w:r>
              <w:rPr>
                <w:b w:val="0"/>
                <w:sz w:val="16"/>
              </w:rPr>
              <w:t>Workspace scope expansion</w:t>
            </w:r>
          </w:p>
        </w:tc>
        <w:tc>
          <w:tcPr>
            <w:tcW w:type="dxa" w:w="5083"/>
            <w:vAlign w:val="center"/>
          </w:tcPr>
          <w:p>
            <w:r/>
            <w:r>
              <w:rPr>
                <w:b w:val="0"/>
                <w:sz w:val="16"/>
              </w:rPr>
              <w:t>ASK/RESTRICT</w:t>
            </w:r>
          </w:p>
        </w:tc>
      </w:tr>
    </w:tbl>
    <w:p/>
    <w:p>
      <w:r>
        <w:t>Approval never converts a hard DENY into an ALLOW.</w:t>
      </w:r>
    </w:p>
    <w:p>
      <w:pPr>
        <w:pStyle w:val="Heading1"/>
      </w:pPr>
      <w:r>
        <w:t>17. Security Audit &amp; Evidence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Event</w:t>
            </w:r>
          </w:p>
        </w:tc>
        <w:tc>
          <w:tcPr>
            <w:tcW w:type="dxa" w:w="5083"/>
            <w:vAlign w:val="center"/>
            <w:shd w:fill="D9EAF7"/>
          </w:tcPr>
          <w:p>
            <w:r/>
            <w:r>
              <w:rPr>
                <w:b/>
                <w:sz w:val="16"/>
              </w:rPr>
              <w:t>Minimum fields</w:t>
            </w:r>
          </w:p>
        </w:tc>
      </w:tr>
      <w:tr>
        <w:tc>
          <w:tcPr>
            <w:tcW w:type="dxa" w:w="5083"/>
            <w:vAlign w:val="center"/>
          </w:tcPr>
          <w:p>
            <w:r/>
            <w:r>
              <w:rPr>
                <w:b w:val="0"/>
                <w:sz w:val="16"/>
              </w:rPr>
              <w:t>security.policy_decision</w:t>
            </w:r>
          </w:p>
        </w:tc>
        <w:tc>
          <w:tcPr>
            <w:tcW w:type="dxa" w:w="5083"/>
            <w:vAlign w:val="center"/>
          </w:tcPr>
          <w:p>
            <w:r/>
            <w:r>
              <w:rPr>
                <w:b w:val="0"/>
                <w:sz w:val="16"/>
              </w:rPr>
              <w:t>request, decision, rule, reason, scope</w:t>
            </w:r>
          </w:p>
        </w:tc>
      </w:tr>
      <w:tr>
        <w:tc>
          <w:tcPr>
            <w:tcW w:type="dxa" w:w="5083"/>
            <w:vAlign w:val="center"/>
          </w:tcPr>
          <w:p>
            <w:r/>
            <w:r>
              <w:rPr>
                <w:b w:val="0"/>
                <w:sz w:val="16"/>
              </w:rPr>
              <w:t>security.scope_block</w:t>
            </w:r>
          </w:p>
        </w:tc>
        <w:tc>
          <w:tcPr>
            <w:tcW w:type="dxa" w:w="5083"/>
            <w:vAlign w:val="center"/>
          </w:tcPr>
          <w:p>
            <w:r/>
            <w:r>
              <w:rPr>
                <w:b w:val="0"/>
                <w:sz w:val="16"/>
              </w:rPr>
              <w:t>requested/effective scope + reason</w:t>
            </w:r>
          </w:p>
        </w:tc>
      </w:tr>
      <w:tr>
        <w:tc>
          <w:tcPr>
            <w:tcW w:type="dxa" w:w="5083"/>
            <w:vAlign w:val="center"/>
          </w:tcPr>
          <w:p>
            <w:r/>
            <w:r>
              <w:rPr>
                <w:b w:val="0"/>
                <w:sz w:val="16"/>
              </w:rPr>
              <w:t>security.secret_redaction</w:t>
            </w:r>
          </w:p>
        </w:tc>
        <w:tc>
          <w:tcPr>
            <w:tcW w:type="dxa" w:w="5083"/>
            <w:vAlign w:val="center"/>
          </w:tcPr>
          <w:p>
            <w:r/>
            <w:r>
              <w:rPr>
                <w:b w:val="0"/>
                <w:sz w:val="16"/>
              </w:rPr>
              <w:t>event type/class, not secret value</w:t>
            </w:r>
          </w:p>
        </w:tc>
      </w:tr>
      <w:tr>
        <w:tc>
          <w:tcPr>
            <w:tcW w:type="dxa" w:w="5083"/>
            <w:vAlign w:val="center"/>
          </w:tcPr>
          <w:p>
            <w:r/>
            <w:r>
              <w:rPr>
                <w:b w:val="0"/>
                <w:sz w:val="16"/>
              </w:rPr>
              <w:t>security.approval</w:t>
            </w:r>
          </w:p>
        </w:tc>
        <w:tc>
          <w:tcPr>
            <w:tcW w:type="dxa" w:w="5083"/>
            <w:vAlign w:val="center"/>
          </w:tcPr>
          <w:p>
            <w:r/>
            <w:r>
              <w:rPr>
                <w:b w:val="0"/>
                <w:sz w:val="16"/>
              </w:rPr>
              <w:t>approval ID, action, decision</w:t>
            </w:r>
          </w:p>
        </w:tc>
      </w:tr>
      <w:tr>
        <w:tc>
          <w:tcPr>
            <w:tcW w:type="dxa" w:w="5083"/>
            <w:vAlign w:val="center"/>
          </w:tcPr>
          <w:p>
            <w:r/>
            <w:r>
              <w:rPr>
                <w:b w:val="0"/>
                <w:sz w:val="16"/>
              </w:rPr>
              <w:t>security.tool_execution</w:t>
            </w:r>
          </w:p>
        </w:tc>
        <w:tc>
          <w:tcPr>
            <w:tcW w:type="dxa" w:w="5083"/>
            <w:vAlign w:val="center"/>
          </w:tcPr>
          <w:p>
            <w:r/>
            <w:r>
              <w:rPr>
                <w:b w:val="0"/>
                <w:sz w:val="16"/>
              </w:rPr>
              <w:t>tool, executor, status</w:t>
            </w:r>
          </w:p>
        </w:tc>
      </w:tr>
      <w:tr>
        <w:tc>
          <w:tcPr>
            <w:tcW w:type="dxa" w:w="5083"/>
            <w:vAlign w:val="center"/>
          </w:tcPr>
          <w:p>
            <w:r/>
            <w:r>
              <w:rPr>
                <w:b w:val="0"/>
                <w:sz w:val="16"/>
              </w:rPr>
              <w:t>security.mcp</w:t>
            </w:r>
          </w:p>
        </w:tc>
        <w:tc>
          <w:tcPr>
            <w:tcW w:type="dxa" w:w="5083"/>
            <w:vAlign w:val="center"/>
          </w:tcPr>
          <w:p>
            <w:r/>
            <w:r>
              <w:rPr>
                <w:b w:val="0"/>
                <w:sz w:val="16"/>
              </w:rPr>
              <w:t>server/tool/correlation</w:t>
            </w:r>
          </w:p>
        </w:tc>
      </w:tr>
      <w:tr>
        <w:tc>
          <w:tcPr>
            <w:tcW w:type="dxa" w:w="5083"/>
            <w:vAlign w:val="center"/>
          </w:tcPr>
          <w:p>
            <w:r/>
            <w:r>
              <w:rPr>
                <w:b w:val="0"/>
                <w:sz w:val="16"/>
              </w:rPr>
              <w:t>security.sandbox_violation</w:t>
            </w:r>
          </w:p>
        </w:tc>
        <w:tc>
          <w:tcPr>
            <w:tcW w:type="dxa" w:w="5083"/>
            <w:vAlign w:val="center"/>
          </w:tcPr>
          <w:p>
            <w:r/>
            <w:r>
              <w:rPr>
                <w:b w:val="0"/>
                <w:sz w:val="16"/>
              </w:rPr>
              <w:t>type, task, resource</w:t>
            </w:r>
          </w:p>
        </w:tc>
      </w:tr>
      <w:tr>
        <w:tc>
          <w:tcPr>
            <w:tcW w:type="dxa" w:w="5083"/>
            <w:vAlign w:val="center"/>
          </w:tcPr>
          <w:p>
            <w:r/>
            <w:r>
              <w:rPr>
                <w:b w:val="0"/>
                <w:sz w:val="16"/>
              </w:rPr>
              <w:t>security.injection_flag</w:t>
            </w:r>
          </w:p>
        </w:tc>
        <w:tc>
          <w:tcPr>
            <w:tcW w:type="dxa" w:w="5083"/>
            <w:vAlign w:val="center"/>
          </w:tcPr>
          <w:p>
            <w:r/>
            <w:r>
              <w:rPr>
                <w:b w:val="0"/>
                <w:sz w:val="16"/>
              </w:rPr>
              <w:t>source type/reference, classification</w:t>
            </w:r>
          </w:p>
        </w:tc>
      </w:tr>
      <w:tr>
        <w:tc>
          <w:tcPr>
            <w:tcW w:type="dxa" w:w="5083"/>
            <w:vAlign w:val="center"/>
          </w:tcPr>
          <w:p>
            <w:r/>
            <w:r>
              <w:rPr>
                <w:b w:val="0"/>
                <w:sz w:val="16"/>
              </w:rPr>
              <w:t>security.emergency_stop</w:t>
            </w:r>
          </w:p>
        </w:tc>
        <w:tc>
          <w:tcPr>
            <w:tcW w:type="dxa" w:w="5083"/>
            <w:vAlign w:val="center"/>
          </w:tcPr>
          <w:p>
            <w:r/>
            <w:r>
              <w:rPr>
                <w:b w:val="0"/>
                <w:sz w:val="16"/>
              </w:rPr>
              <w:t>task/request + trigger</w:t>
            </w:r>
          </w:p>
        </w:tc>
      </w:tr>
      <w:tr>
        <w:tc>
          <w:tcPr>
            <w:tcW w:type="dxa" w:w="5083"/>
            <w:vAlign w:val="center"/>
          </w:tcPr>
          <w:p>
            <w:r/>
            <w:r>
              <w:rPr>
                <w:b w:val="0"/>
                <w:sz w:val="16"/>
              </w:rPr>
              <w:t>security.config_change</w:t>
            </w:r>
          </w:p>
        </w:tc>
        <w:tc>
          <w:tcPr>
            <w:tcW w:type="dxa" w:w="5083"/>
            <w:vAlign w:val="center"/>
          </w:tcPr>
          <w:p>
            <w:r/>
            <w:r>
              <w:rPr>
                <w:b w:val="0"/>
                <w:sz w:val="16"/>
              </w:rPr>
              <w:t>admin/change reference</w:t>
            </w:r>
          </w:p>
        </w:tc>
      </w:tr>
    </w:tbl>
    <w:p/>
    <w:p>
      <w:pPr>
        <w:pStyle w:val="ListBullet"/>
        <w:spacing w:after="26"/>
      </w:pPr>
      <w:r>
        <w:t>Audit must support reconstruction of material security events.</w:t>
      </w:r>
    </w:p>
    <w:p>
      <w:pPr>
        <w:pStyle w:val="ListBullet"/>
        <w:spacing w:after="26"/>
      </w:pPr>
      <w:r>
        <w:t>Audit records must avoid unnecessary secret content.</w:t>
      </w:r>
    </w:p>
    <w:p>
      <w:pPr>
        <w:pStyle w:val="ListBullet"/>
        <w:spacing w:after="26"/>
      </w:pPr>
      <w:r>
        <w:t>Security-critical audit storage should not be writable through normal task tools.</w:t>
      </w:r>
    </w:p>
    <w:p>
      <w:pPr>
        <w:pStyle w:val="Heading1"/>
      </w:pPr>
      <w:r>
        <w:t>18. Defense-in-Depth Enforcement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Layer</w:t>
            </w:r>
          </w:p>
        </w:tc>
        <w:tc>
          <w:tcPr>
            <w:tcW w:type="dxa" w:w="5083"/>
            <w:vAlign w:val="center"/>
            <w:shd w:fill="D9EAF7"/>
          </w:tcPr>
          <w:p>
            <w:r/>
            <w:r>
              <w:rPr>
                <w:b/>
                <w:sz w:val="16"/>
              </w:rPr>
              <w:t>Security responsibility</w:t>
            </w:r>
          </w:p>
        </w:tc>
      </w:tr>
      <w:tr>
        <w:tc>
          <w:tcPr>
            <w:tcW w:type="dxa" w:w="5083"/>
            <w:vAlign w:val="center"/>
          </w:tcPr>
          <w:p>
            <w:r/>
            <w:r>
              <w:rPr>
                <w:b w:val="0"/>
                <w:sz w:val="16"/>
              </w:rPr>
              <w:t>Input/schema</w:t>
            </w:r>
          </w:p>
        </w:tc>
        <w:tc>
          <w:tcPr>
            <w:tcW w:type="dxa" w:w="5083"/>
            <w:vAlign w:val="center"/>
          </w:tcPr>
          <w:p>
            <w:r/>
            <w:r>
              <w:rPr>
                <w:b w:val="0"/>
                <w:sz w:val="16"/>
              </w:rPr>
              <w:t>Reject malformed requests.</w:t>
            </w:r>
          </w:p>
        </w:tc>
      </w:tr>
      <w:tr>
        <w:tc>
          <w:tcPr>
            <w:tcW w:type="dxa" w:w="5083"/>
            <w:vAlign w:val="center"/>
          </w:tcPr>
          <w:p>
            <w:r/>
            <w:r>
              <w:rPr>
                <w:b w:val="0"/>
                <w:sz w:val="16"/>
              </w:rPr>
              <w:t>Scope resolver</w:t>
            </w:r>
          </w:p>
        </w:tc>
        <w:tc>
          <w:tcPr>
            <w:tcW w:type="dxa" w:w="5083"/>
            <w:vAlign w:val="center"/>
          </w:tcPr>
          <w:p>
            <w:r/>
            <w:r>
              <w:rPr>
                <w:b w:val="0"/>
                <w:sz w:val="16"/>
              </w:rPr>
              <w:t>Enforce canonical resource boundaries.</w:t>
            </w:r>
          </w:p>
        </w:tc>
      </w:tr>
      <w:tr>
        <w:tc>
          <w:tcPr>
            <w:tcW w:type="dxa" w:w="5083"/>
            <w:vAlign w:val="center"/>
          </w:tcPr>
          <w:p>
            <w:r/>
            <w:r>
              <w:rPr>
                <w:b w:val="0"/>
                <w:sz w:val="16"/>
              </w:rPr>
              <w:t>Policy Engine</w:t>
            </w:r>
          </w:p>
        </w:tc>
        <w:tc>
          <w:tcPr>
            <w:tcW w:type="dxa" w:w="5083"/>
            <w:vAlign w:val="center"/>
          </w:tcPr>
          <w:p>
            <w:r/>
            <w:r>
              <w:rPr>
                <w:b w:val="0"/>
                <w:sz w:val="16"/>
              </w:rPr>
              <w:t>Authorize capability/risk/scope.</w:t>
            </w:r>
          </w:p>
        </w:tc>
      </w:tr>
      <w:tr>
        <w:tc>
          <w:tcPr>
            <w:tcW w:type="dxa" w:w="5083"/>
            <w:vAlign w:val="center"/>
          </w:tcPr>
          <w:p>
            <w:r/>
            <w:r>
              <w:rPr>
                <w:b w:val="0"/>
                <w:sz w:val="16"/>
              </w:rPr>
              <w:t>Tool Gateway</w:t>
            </w:r>
          </w:p>
        </w:tc>
        <w:tc>
          <w:tcPr>
            <w:tcW w:type="dxa" w:w="5083"/>
            <w:vAlign w:val="center"/>
          </w:tcPr>
          <w:p>
            <w:r/>
            <w:r>
              <w:rPr>
                <w:b w:val="0"/>
                <w:sz w:val="16"/>
              </w:rPr>
              <w:t>Single routing boundary.</w:t>
            </w:r>
          </w:p>
        </w:tc>
      </w:tr>
      <w:tr>
        <w:tc>
          <w:tcPr>
            <w:tcW w:type="dxa" w:w="5083"/>
            <w:vAlign w:val="center"/>
          </w:tcPr>
          <w:p>
            <w:r/>
            <w:r>
              <w:rPr>
                <w:b w:val="0"/>
                <w:sz w:val="16"/>
              </w:rPr>
              <w:t>Executor</w:t>
            </w:r>
          </w:p>
        </w:tc>
        <w:tc>
          <w:tcPr>
            <w:tcW w:type="dxa" w:w="5083"/>
            <w:vAlign w:val="center"/>
          </w:tcPr>
          <w:p>
            <w:r/>
            <w:r>
              <w:rPr>
                <w:b w:val="0"/>
                <w:sz w:val="16"/>
              </w:rPr>
              <w:t>Enforce operation-specific restrictions.</w:t>
            </w:r>
          </w:p>
        </w:tc>
      </w:tr>
      <w:tr>
        <w:tc>
          <w:tcPr>
            <w:tcW w:type="dxa" w:w="5083"/>
            <w:vAlign w:val="center"/>
          </w:tcPr>
          <w:p>
            <w:r/>
            <w:r>
              <w:rPr>
                <w:b w:val="0"/>
                <w:sz w:val="16"/>
              </w:rPr>
              <w:t>Sandbox</w:t>
            </w:r>
          </w:p>
        </w:tc>
        <w:tc>
          <w:tcPr>
            <w:tcW w:type="dxa" w:w="5083"/>
            <w:vAlign w:val="center"/>
          </w:tcPr>
          <w:p>
            <w:r/>
            <w:r>
              <w:rPr>
                <w:b w:val="0"/>
                <w:sz w:val="16"/>
              </w:rPr>
              <w:t>Limit OS/resource effects.</w:t>
            </w:r>
          </w:p>
        </w:tc>
      </w:tr>
      <w:tr>
        <w:tc>
          <w:tcPr>
            <w:tcW w:type="dxa" w:w="5083"/>
            <w:vAlign w:val="center"/>
          </w:tcPr>
          <w:p>
            <w:r/>
            <w:r>
              <w:rPr>
                <w:b w:val="0"/>
                <w:sz w:val="16"/>
              </w:rPr>
              <w:t>Output filter</w:t>
            </w:r>
          </w:p>
        </w:tc>
        <w:tc>
          <w:tcPr>
            <w:tcW w:type="dxa" w:w="5083"/>
            <w:vAlign w:val="center"/>
          </w:tcPr>
          <w:p>
            <w:r/>
            <w:r>
              <w:rPr>
                <w:b w:val="0"/>
                <w:sz w:val="16"/>
              </w:rPr>
              <w:t>Prevent secret/untrusted leakage.</w:t>
            </w:r>
          </w:p>
        </w:tc>
      </w:tr>
      <w:tr>
        <w:tc>
          <w:tcPr>
            <w:tcW w:type="dxa" w:w="5083"/>
            <w:vAlign w:val="center"/>
          </w:tcPr>
          <w:p>
            <w:r/>
            <w:r>
              <w:rPr>
                <w:b w:val="0"/>
                <w:sz w:val="16"/>
              </w:rPr>
              <w:t>Audit</w:t>
            </w:r>
          </w:p>
        </w:tc>
        <w:tc>
          <w:tcPr>
            <w:tcW w:type="dxa" w:w="5083"/>
            <w:vAlign w:val="center"/>
          </w:tcPr>
          <w:p>
            <w:r/>
            <w:r>
              <w:rPr>
                <w:b w:val="0"/>
                <w:sz w:val="16"/>
              </w:rPr>
              <w:t>Record critical security events.</w:t>
            </w:r>
          </w:p>
        </w:tc>
      </w:tr>
      <w:tr>
        <w:tc>
          <w:tcPr>
            <w:tcW w:type="dxa" w:w="5083"/>
            <w:vAlign w:val="center"/>
          </w:tcPr>
          <w:p>
            <w:r/>
            <w:r>
              <w:rPr>
                <w:b w:val="0"/>
                <w:sz w:val="16"/>
              </w:rPr>
              <w:t>Validation</w:t>
            </w:r>
          </w:p>
        </w:tc>
        <w:tc>
          <w:tcPr>
            <w:tcW w:type="dxa" w:w="5083"/>
            <w:vAlign w:val="center"/>
          </w:tcPr>
          <w:p>
            <w:r/>
            <w:r>
              <w:rPr>
                <w:b w:val="0"/>
                <w:sz w:val="16"/>
              </w:rPr>
              <w:t>Detect unsafe/incorrect outcomes.</w:t>
            </w:r>
          </w:p>
        </w:tc>
      </w:tr>
    </w:tbl>
    <w:p/>
    <w:p>
      <w:r>
        <w:t>A security property should not depend on a single model-generated instruction being followed correctly.</w:t>
      </w:r>
    </w:p>
    <w:p>
      <w:pPr>
        <w:pStyle w:val="Heading1"/>
      </w:pPr>
      <w:r>
        <w:t>19. VS Code / CLI / Client Security</w:t>
      </w:r>
    </w:p>
    <w:p>
      <w:pPr>
        <w:pStyle w:val="ListBullet"/>
        <w:spacing w:after="26"/>
      </w:pPr>
      <w:r>
        <w:t>Client UI is not a trusted authorization boundary by itself.</w:t>
      </w:r>
    </w:p>
    <w:p>
      <w:pPr>
        <w:pStyle w:val="ListBullet"/>
        <w:spacing w:after="26"/>
      </w:pPr>
      <w:r>
        <w:t>Server/runtime must revalidate tool requests.</w:t>
      </w:r>
    </w:p>
    <w:p>
      <w:pPr>
        <w:pStyle w:val="ListBullet"/>
        <w:spacing w:after="26"/>
      </w:pPr>
      <w:r>
        <w:t>Direct executor endpoints must not be exposed as unrestricted client APIs.</w:t>
      </w:r>
    </w:p>
    <w:p>
      <w:pPr>
        <w:pStyle w:val="ListBullet"/>
        <w:spacing w:after="26"/>
      </w:pPr>
      <w:r>
        <w:t>Client-provided paths and commands are untrusted inputs.</w:t>
      </w:r>
    </w:p>
    <w:p>
      <w:pPr>
        <w:pStyle w:val="ListBullet"/>
        <w:spacing w:after="26"/>
      </w:pPr>
      <w:r>
        <w:t>Client cancellation must propagate to the runtime.</w:t>
      </w:r>
    </w:p>
    <w:p>
      <w:pPr>
        <w:pStyle w:val="ListBullet"/>
        <w:spacing w:after="26"/>
      </w:pPr>
      <w:r>
        <w:t>Authentication/session identity, where applicable, must be validated independently of model text.</w:t>
      </w:r>
    </w:p>
    <w:p>
      <w:pPr>
        <w:pStyle w:val="Heading1"/>
      </w:pPr>
      <w:r>
        <w:t>20. Task &amp; Project Isolation</w:t>
      </w:r>
    </w:p>
    <w:p>
      <w:pPr>
        <w:pStyle w:val="ListBullet"/>
        <w:spacing w:after="26"/>
      </w:pPr>
      <w:r>
        <w:t>Task context must not automatically grant access to another project.</w:t>
      </w:r>
    </w:p>
    <w:p>
      <w:pPr>
        <w:pStyle w:val="ListBullet"/>
        <w:spacing w:after="26"/>
      </w:pPr>
      <w:r>
        <w:t>Project memory is isolated by project identity/scope.</w:t>
      </w:r>
    </w:p>
    <w:p>
      <w:pPr>
        <w:pStyle w:val="ListBullet"/>
        <w:spacing w:after="26"/>
      </w:pPr>
      <w:r>
        <w:t>Artifacts are associated with task/project scope.</w:t>
      </w:r>
    </w:p>
    <w:p>
      <w:pPr>
        <w:pStyle w:val="ListBullet"/>
        <w:spacing w:after="26"/>
      </w:pPr>
      <w:r>
        <w:t>Workspace roots are task-authorized resources.</w:t>
      </w:r>
    </w:p>
    <w:p>
      <w:pPr>
        <w:pStyle w:val="ListBullet"/>
        <w:spacing w:after="26"/>
      </w:pPr>
      <w:r>
        <w:t>Cross-task file access requires explicit scope.</w:t>
      </w:r>
    </w:p>
    <w:p>
      <w:pPr>
        <w:pStyle w:val="ListBullet"/>
        <w:spacing w:after="26"/>
      </w:pPr>
      <w:r>
        <w:t>Cross-project MCP/external access requires separate policy.</w:t>
      </w:r>
    </w:p>
    <w:p>
      <w:pPr>
        <w:pStyle w:val="ListBullet"/>
        <w:spacing w:after="26"/>
      </w:pPr>
      <w:r>
        <w:t>Persistent stores must prevent accidental cross-project retrieval.</w:t>
      </w:r>
    </w:p>
    <w:p>
      <w:pPr>
        <w:pStyle w:val="Heading1"/>
      </w:pPr>
      <w:r>
        <w:t>21. Git &amp; Change Safety</w:t>
      </w:r>
    </w:p>
    <w:p>
      <w:pPr>
        <w:pStyle w:val="ListBullet"/>
        <w:spacing w:after="26"/>
      </w:pPr>
      <w:r>
        <w:t>Pre-existing user changes are protected.</w:t>
      </w:r>
    </w:p>
    <w:p>
      <w:pPr>
        <w:pStyle w:val="ListBullet"/>
        <w:spacing w:after="26"/>
      </w:pPr>
      <w:r>
        <w:t>Agent changes should be distinguishable through task state/checkpoints where possible.</w:t>
      </w:r>
    </w:p>
    <w:p>
      <w:pPr>
        <w:pStyle w:val="ListBullet"/>
        <w:spacing w:after="26"/>
      </w:pPr>
      <w:r>
        <w:t>Git operations follow Tool &amp; Permission policy.</w:t>
      </w:r>
    </w:p>
    <w:p>
      <w:pPr>
        <w:pStyle w:val="ListBullet"/>
        <w:spacing w:after="26"/>
      </w:pPr>
      <w:r>
        <w:t>Reset/clean/checkout-like destructive actions are restricted.</w:t>
      </w:r>
    </w:p>
    <w:p>
      <w:pPr>
        <w:pStyle w:val="ListBullet"/>
        <w:spacing w:after="26"/>
      </w:pPr>
      <w:r>
        <w:t>Rollback must target task-owned changes.</w:t>
      </w:r>
    </w:p>
    <w:p>
      <w:pPr>
        <w:pStyle w:val="ListBullet"/>
        <w:spacing w:after="26"/>
      </w:pPr>
      <w:r>
        <w:t>Security checks must inspect actual resulting diff, not only the intended patch.</w:t>
      </w:r>
    </w:p>
    <w:p>
      <w:pPr>
        <w:pStyle w:val="Heading1"/>
      </w:pPr>
      <w:r>
        <w:t>22. Cancellation &amp; Emergency Stop</w:t>
      </w:r>
    </w:p>
    <w:p>
      <w:pPr>
        <w:pStyle w:val="ListBullet"/>
        <w:spacing w:after="26"/>
      </w:pPr>
      <w:r>
        <w:t>Emergency stop has highest runtime priority over normal task continuation.</w:t>
      </w:r>
    </w:p>
    <w:p>
      <w:pPr>
        <w:pStyle w:val="ListBullet"/>
        <w:spacing w:after="26"/>
      </w:pPr>
      <w:r>
        <w:t>Cancellation prevents new privileged actions.</w:t>
      </w:r>
    </w:p>
    <w:p>
      <w:pPr>
        <w:pStyle w:val="ListBullet"/>
        <w:spacing w:after="26"/>
      </w:pPr>
      <w:r>
        <w:t>Active processes should be terminated where supported.</w:t>
      </w:r>
    </w:p>
    <w:p>
      <w:pPr>
        <w:pStyle w:val="ListBullet"/>
        <w:spacing w:after="26"/>
      </w:pPr>
      <w:r>
        <w:t>Pending approvals become invalid for the cancelled task.</w:t>
      </w:r>
    </w:p>
    <w:p>
      <w:pPr>
        <w:pStyle w:val="ListBullet"/>
        <w:spacing w:after="26"/>
      </w:pPr>
      <w:r>
        <w:t>Recovery loops terminate.</w:t>
      </w:r>
    </w:p>
    <w:p>
      <w:pPr>
        <w:pStyle w:val="ListBullet"/>
        <w:spacing w:after="26"/>
      </w:pPr>
      <w:r>
        <w:t>Security/audit evidence already generated is preserved.</w:t>
      </w:r>
    </w:p>
    <w:p>
      <w:pPr>
        <w:pStyle w:val="ListBullet"/>
        <w:spacing w:after="26"/>
      </w:pPr>
      <w:r>
        <w:t>Cancellation does not trigger automatic rollback unless explicitly configured and safely authorized.</w:t>
      </w:r>
    </w:p>
    <w:p>
      <w:pPr>
        <w:pStyle w:val="Heading1"/>
      </w:pPr>
      <w:r>
        <w:t>23. Resource &amp; Abuse Controls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Resource</w:t>
            </w:r>
          </w:p>
        </w:tc>
        <w:tc>
          <w:tcPr>
            <w:tcW w:type="dxa" w:w="5083"/>
            <w:vAlign w:val="center"/>
            <w:shd w:fill="D9EAF7"/>
          </w:tcPr>
          <w:p>
            <w:r/>
            <w:r>
              <w:rPr>
                <w:b/>
                <w:sz w:val="16"/>
              </w:rPr>
              <w:t>Control</w:t>
            </w:r>
          </w:p>
        </w:tc>
      </w:tr>
      <w:tr>
        <w:tc>
          <w:tcPr>
            <w:tcW w:type="dxa" w:w="5083"/>
            <w:vAlign w:val="center"/>
          </w:tcPr>
          <w:p>
            <w:r/>
            <w:r>
              <w:rPr>
                <w:b w:val="0"/>
                <w:sz w:val="16"/>
              </w:rPr>
              <w:t>CPU/time</w:t>
            </w:r>
          </w:p>
        </w:tc>
        <w:tc>
          <w:tcPr>
            <w:tcW w:type="dxa" w:w="5083"/>
            <w:vAlign w:val="center"/>
          </w:tcPr>
          <w:p>
            <w:r/>
            <w:r>
              <w:rPr>
                <w:b w:val="0"/>
                <w:sz w:val="16"/>
              </w:rPr>
              <w:t>Execution timeouts and task budgets</w:t>
            </w:r>
          </w:p>
        </w:tc>
      </w:tr>
      <w:tr>
        <w:tc>
          <w:tcPr>
            <w:tcW w:type="dxa" w:w="5083"/>
            <w:vAlign w:val="center"/>
          </w:tcPr>
          <w:p>
            <w:r/>
            <w:r>
              <w:rPr>
                <w:b w:val="0"/>
                <w:sz w:val="16"/>
              </w:rPr>
              <w:t>Memory</w:t>
            </w:r>
          </w:p>
        </w:tc>
        <w:tc>
          <w:tcPr>
            <w:tcW w:type="dxa" w:w="5083"/>
            <w:vAlign w:val="center"/>
          </w:tcPr>
          <w:p>
            <w:r/>
            <w:r>
              <w:rPr>
                <w:b w:val="0"/>
                <w:sz w:val="16"/>
              </w:rPr>
              <w:t>Process/runtime resource limits where supported</w:t>
            </w:r>
          </w:p>
        </w:tc>
      </w:tr>
      <w:tr>
        <w:tc>
          <w:tcPr>
            <w:tcW w:type="dxa" w:w="5083"/>
            <w:vAlign w:val="center"/>
          </w:tcPr>
          <w:p>
            <w:r/>
            <w:r>
              <w:rPr>
                <w:b w:val="0"/>
                <w:sz w:val="16"/>
              </w:rPr>
              <w:t>Disk</w:t>
            </w:r>
          </w:p>
        </w:tc>
        <w:tc>
          <w:tcPr>
            <w:tcW w:type="dxa" w:w="5083"/>
            <w:vAlign w:val="center"/>
          </w:tcPr>
          <w:p>
            <w:r/>
            <w:r>
              <w:rPr>
                <w:b w:val="0"/>
                <w:sz w:val="16"/>
              </w:rPr>
              <w:t>Output/temp/artifact limits</w:t>
            </w:r>
          </w:p>
        </w:tc>
      </w:tr>
      <w:tr>
        <w:tc>
          <w:tcPr>
            <w:tcW w:type="dxa" w:w="5083"/>
            <w:vAlign w:val="center"/>
          </w:tcPr>
          <w:p>
            <w:r/>
            <w:r>
              <w:rPr>
                <w:b w:val="0"/>
                <w:sz w:val="16"/>
              </w:rPr>
              <w:t>Processes</w:t>
            </w:r>
          </w:p>
        </w:tc>
        <w:tc>
          <w:tcPr>
            <w:tcW w:type="dxa" w:w="5083"/>
            <w:vAlign w:val="center"/>
          </w:tcPr>
          <w:p>
            <w:r/>
            <w:r>
              <w:rPr>
                <w:b w:val="0"/>
                <w:sz w:val="16"/>
              </w:rPr>
              <w:t>Concurrency/process-count bounds</w:t>
            </w:r>
          </w:p>
        </w:tc>
      </w:tr>
      <w:tr>
        <w:tc>
          <w:tcPr>
            <w:tcW w:type="dxa" w:w="5083"/>
            <w:vAlign w:val="center"/>
          </w:tcPr>
          <w:p>
            <w:r/>
            <w:r>
              <w:rPr>
                <w:b w:val="0"/>
                <w:sz w:val="16"/>
              </w:rPr>
              <w:t>Files</w:t>
            </w:r>
          </w:p>
        </w:tc>
        <w:tc>
          <w:tcPr>
            <w:tcW w:type="dxa" w:w="5083"/>
            <w:vAlign w:val="center"/>
          </w:tcPr>
          <w:p>
            <w:r/>
            <w:r>
              <w:rPr>
                <w:b w:val="0"/>
                <w:sz w:val="16"/>
              </w:rPr>
              <w:t>Scope + file-count/size limits where applicable</w:t>
            </w:r>
          </w:p>
        </w:tc>
      </w:tr>
      <w:tr>
        <w:tc>
          <w:tcPr>
            <w:tcW w:type="dxa" w:w="5083"/>
            <w:vAlign w:val="center"/>
          </w:tcPr>
          <w:p>
            <w:r/>
            <w:r>
              <w:rPr>
                <w:b w:val="0"/>
                <w:sz w:val="16"/>
              </w:rPr>
              <w:t>Output</w:t>
            </w:r>
          </w:p>
        </w:tc>
        <w:tc>
          <w:tcPr>
            <w:tcW w:type="dxa" w:w="5083"/>
            <w:vAlign w:val="center"/>
          </w:tcPr>
          <w:p>
            <w:r/>
            <w:r>
              <w:rPr>
                <w:b w:val="0"/>
                <w:sz w:val="16"/>
              </w:rPr>
              <w:t>Bounded capture</w:t>
            </w:r>
          </w:p>
        </w:tc>
      </w:tr>
      <w:tr>
        <w:tc>
          <w:tcPr>
            <w:tcW w:type="dxa" w:w="5083"/>
            <w:vAlign w:val="center"/>
          </w:tcPr>
          <w:p>
            <w:r/>
            <w:r>
              <w:rPr>
                <w:b w:val="0"/>
                <w:sz w:val="16"/>
              </w:rPr>
              <w:t>Network</w:t>
            </w:r>
          </w:p>
        </w:tc>
        <w:tc>
          <w:tcPr>
            <w:tcW w:type="dxa" w:w="5083"/>
            <w:vAlign w:val="center"/>
          </w:tcPr>
          <w:p>
            <w:r/>
            <w:r>
              <w:rPr>
                <w:b w:val="0"/>
                <w:sz w:val="16"/>
              </w:rPr>
              <w:t>Endpoint/capability restrictions</w:t>
            </w:r>
          </w:p>
        </w:tc>
      </w:tr>
      <w:tr>
        <w:tc>
          <w:tcPr>
            <w:tcW w:type="dxa" w:w="5083"/>
            <w:vAlign w:val="center"/>
          </w:tcPr>
          <w:p>
            <w:r/>
            <w:r>
              <w:rPr>
                <w:b w:val="0"/>
                <w:sz w:val="16"/>
              </w:rPr>
              <w:t>LLM calls</w:t>
            </w:r>
          </w:p>
        </w:tc>
        <w:tc>
          <w:tcPr>
            <w:tcW w:type="dxa" w:w="5083"/>
            <w:vAlign w:val="center"/>
          </w:tcPr>
          <w:p>
            <w:r/>
            <w:r>
              <w:rPr>
                <w:b w:val="0"/>
                <w:sz w:val="16"/>
              </w:rPr>
              <w:t>Task/model budgets</w:t>
            </w:r>
          </w:p>
        </w:tc>
      </w:tr>
      <w:tr>
        <w:tc>
          <w:tcPr>
            <w:tcW w:type="dxa" w:w="5083"/>
            <w:vAlign w:val="center"/>
          </w:tcPr>
          <w:p>
            <w:r/>
            <w:r>
              <w:rPr>
                <w:b w:val="0"/>
                <w:sz w:val="16"/>
              </w:rPr>
              <w:t>Tool calls</w:t>
            </w:r>
          </w:p>
        </w:tc>
        <w:tc>
          <w:tcPr>
            <w:tcW w:type="dxa" w:w="5083"/>
            <w:vAlign w:val="center"/>
          </w:tcPr>
          <w:p>
            <w:r/>
            <w:r>
              <w:rPr>
                <w:b w:val="0"/>
                <w:sz w:val="16"/>
              </w:rPr>
              <w:t>Permission/execution budgets</w:t>
            </w:r>
          </w:p>
        </w:tc>
      </w:tr>
      <w:tr>
        <w:tc>
          <w:tcPr>
            <w:tcW w:type="dxa" w:w="5083"/>
            <w:vAlign w:val="center"/>
          </w:tcPr>
          <w:p>
            <w:r/>
            <w:r>
              <w:rPr>
                <w:b w:val="0"/>
                <w:sz w:val="16"/>
              </w:rPr>
              <w:t>Recovery</w:t>
            </w:r>
          </w:p>
        </w:tc>
        <w:tc>
          <w:tcPr>
            <w:tcW w:type="dxa" w:w="5083"/>
            <w:vAlign w:val="center"/>
          </w:tcPr>
          <w:p>
            <w:r/>
            <w:r>
              <w:rPr>
                <w:b w:val="0"/>
                <w:sz w:val="16"/>
              </w:rPr>
              <w:t>Attempt/time/scope budgets</w:t>
            </w:r>
          </w:p>
        </w:tc>
      </w:tr>
    </w:tbl>
    <w:p/>
    <w:p>
      <w:pPr>
        <w:pStyle w:val="Heading1"/>
      </w:pPr>
      <w:r>
        <w:t>24. Security Configuration</w:t>
      </w:r>
    </w:p>
    <w:p>
      <w:pPr>
        <w:pStyle w:val="ListBullet"/>
        <w:spacing w:after="26"/>
      </w:pPr>
      <w:r>
        <w:t>Security configuration has a protected schema.</w:t>
      </w:r>
    </w:p>
    <w:p>
      <w:pPr>
        <w:pStyle w:val="ListBullet"/>
        <w:spacing w:after="26"/>
      </w:pPr>
      <w:r>
        <w:t>Invalid configuration fails closed for security-critical settings.</w:t>
      </w:r>
    </w:p>
    <w:p>
      <w:pPr>
        <w:pStyle w:val="ListBullet"/>
        <w:spacing w:after="26"/>
      </w:pPr>
      <w:r>
        <w:t>Policy changes are versioned/audited.</w:t>
      </w:r>
    </w:p>
    <w:p>
      <w:pPr>
        <w:pStyle w:val="ListBullet"/>
        <w:spacing w:after="26"/>
      </w:pPr>
      <w:r>
        <w:t>Normal repository write tools cannot silently alter effective security policy.</w:t>
      </w:r>
    </w:p>
    <w:p>
      <w:pPr>
        <w:pStyle w:val="ListBullet"/>
        <w:spacing w:after="26"/>
      </w:pPr>
      <w:r>
        <w:t>Configuration precedence must preserve hard security invariants.</w:t>
      </w:r>
    </w:p>
    <w:p>
      <w:pPr>
        <w:pStyle w:val="ListBullet"/>
        <w:spacing w:after="26"/>
      </w:pPr>
      <w:r>
        <w:t>Default configuration must be safe for first run.</w:t>
      </w:r>
    </w:p>
    <w:p>
      <w:pPr>
        <w:pStyle w:val="ListBullet"/>
        <w:spacing w:after="26"/>
      </w:pPr>
      <w:r>
        <w:t>Sensitive configuration values are protected from model context.</w:t>
      </w:r>
    </w:p>
    <w:p>
      <w:pPr>
        <w:pStyle w:val="Heading1"/>
      </w:pPr>
      <w:r>
        <w:t>25. Secure Startup &amp; Shutdown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Phase</w:t>
            </w:r>
          </w:p>
        </w:tc>
        <w:tc>
          <w:tcPr>
            <w:tcW w:type="dxa" w:w="5083"/>
            <w:vAlign w:val="center"/>
            <w:shd w:fill="D9EAF7"/>
          </w:tcPr>
          <w:p>
            <w:r/>
            <w:r>
              <w:rPr>
                <w:b/>
                <w:sz w:val="16"/>
              </w:rPr>
              <w:t>Required behavior</w:t>
            </w:r>
          </w:p>
        </w:tc>
      </w:tr>
      <w:tr>
        <w:tc>
          <w:tcPr>
            <w:tcW w:type="dxa" w:w="5083"/>
            <w:vAlign w:val="center"/>
          </w:tcPr>
          <w:p>
            <w:r/>
            <w:r>
              <w:rPr>
                <w:b w:val="0"/>
                <w:sz w:val="16"/>
              </w:rPr>
              <w:t>Startup</w:t>
            </w:r>
          </w:p>
        </w:tc>
        <w:tc>
          <w:tcPr>
            <w:tcW w:type="dxa" w:w="5083"/>
            <w:vAlign w:val="center"/>
          </w:tcPr>
          <w:p>
            <w:r/>
            <w:r>
              <w:rPr>
                <w:b w:val="0"/>
                <w:sz w:val="16"/>
              </w:rPr>
              <w:t>Validate security configuration, tool registry and sandbox availability.</w:t>
            </w:r>
          </w:p>
        </w:tc>
      </w:tr>
      <w:tr>
        <w:tc>
          <w:tcPr>
            <w:tcW w:type="dxa" w:w="5083"/>
            <w:vAlign w:val="center"/>
          </w:tcPr>
          <w:p>
            <w:r/>
            <w:r>
              <w:rPr>
                <w:b w:val="0"/>
                <w:sz w:val="16"/>
              </w:rPr>
              <w:t>Workspace bind</w:t>
            </w:r>
          </w:p>
        </w:tc>
        <w:tc>
          <w:tcPr>
            <w:tcW w:type="dxa" w:w="5083"/>
            <w:vAlign w:val="center"/>
          </w:tcPr>
          <w:p>
            <w:r/>
            <w:r>
              <w:rPr>
                <w:b w:val="0"/>
                <w:sz w:val="16"/>
              </w:rPr>
              <w:t>Establish canonical authorized workspace scope.</w:t>
            </w:r>
          </w:p>
        </w:tc>
      </w:tr>
      <w:tr>
        <w:tc>
          <w:tcPr>
            <w:tcW w:type="dxa" w:w="5083"/>
            <w:vAlign w:val="center"/>
          </w:tcPr>
          <w:p>
            <w:r/>
            <w:r>
              <w:rPr>
                <w:b w:val="0"/>
                <w:sz w:val="16"/>
              </w:rPr>
              <w:t>Tool registration</w:t>
            </w:r>
          </w:p>
        </w:tc>
        <w:tc>
          <w:tcPr>
            <w:tcW w:type="dxa" w:w="5083"/>
            <w:vAlign w:val="center"/>
          </w:tcPr>
          <w:p>
            <w:r/>
            <w:r>
              <w:rPr>
                <w:b w:val="0"/>
                <w:sz w:val="16"/>
              </w:rPr>
              <w:t>Validate schemas/capabilities.</w:t>
            </w:r>
          </w:p>
        </w:tc>
      </w:tr>
      <w:tr>
        <w:tc>
          <w:tcPr>
            <w:tcW w:type="dxa" w:w="5083"/>
            <w:vAlign w:val="center"/>
          </w:tcPr>
          <w:p>
            <w:r/>
            <w:r>
              <w:rPr>
                <w:b w:val="0"/>
                <w:sz w:val="16"/>
              </w:rPr>
              <w:t>Policy load</w:t>
            </w:r>
          </w:p>
        </w:tc>
        <w:tc>
          <w:tcPr>
            <w:tcW w:type="dxa" w:w="5083"/>
            <w:vAlign w:val="center"/>
          </w:tcPr>
          <w:p>
            <w:r/>
            <w:r>
              <w:rPr>
                <w:b w:val="0"/>
                <w:sz w:val="16"/>
              </w:rPr>
              <w:t>Load and validate rules.</w:t>
            </w:r>
          </w:p>
        </w:tc>
      </w:tr>
      <w:tr>
        <w:tc>
          <w:tcPr>
            <w:tcW w:type="dxa" w:w="5083"/>
            <w:vAlign w:val="center"/>
          </w:tcPr>
          <w:p>
            <w:r/>
            <w:r>
              <w:rPr>
                <w:b w:val="0"/>
                <w:sz w:val="16"/>
              </w:rPr>
              <w:t>Runtime</w:t>
            </w:r>
          </w:p>
        </w:tc>
        <w:tc>
          <w:tcPr>
            <w:tcW w:type="dxa" w:w="5083"/>
            <w:vAlign w:val="center"/>
          </w:tcPr>
          <w:p>
            <w:r/>
            <w:r>
              <w:rPr>
                <w:b w:val="0"/>
                <w:sz w:val="16"/>
              </w:rPr>
              <w:t>Enforce policy and sandbox for every relevant operation.</w:t>
            </w:r>
          </w:p>
        </w:tc>
      </w:tr>
      <w:tr>
        <w:tc>
          <w:tcPr>
            <w:tcW w:type="dxa" w:w="5083"/>
            <w:vAlign w:val="center"/>
          </w:tcPr>
          <w:p>
            <w:r/>
            <w:r>
              <w:rPr>
                <w:b w:val="0"/>
                <w:sz w:val="16"/>
              </w:rPr>
              <w:t>Shutdown</w:t>
            </w:r>
          </w:p>
        </w:tc>
        <w:tc>
          <w:tcPr>
            <w:tcW w:type="dxa" w:w="5083"/>
            <w:vAlign w:val="center"/>
          </w:tcPr>
          <w:p>
            <w:r/>
            <w:r>
              <w:rPr>
                <w:b w:val="0"/>
                <w:sz w:val="16"/>
              </w:rPr>
              <w:t>Terminate/clean active task processes and preserve audit state.</w:t>
            </w:r>
          </w:p>
        </w:tc>
      </w:tr>
      <w:tr>
        <w:tc>
          <w:tcPr>
            <w:tcW w:type="dxa" w:w="5083"/>
            <w:vAlign w:val="center"/>
          </w:tcPr>
          <w:p>
            <w:r/>
            <w:r>
              <w:rPr>
                <w:b w:val="0"/>
                <w:sz w:val="16"/>
              </w:rPr>
              <w:t>Crash recovery</w:t>
            </w:r>
          </w:p>
        </w:tc>
        <w:tc>
          <w:tcPr>
            <w:tcW w:type="dxa" w:w="5083"/>
            <w:vAlign w:val="center"/>
          </w:tcPr>
          <w:p>
            <w:r/>
            <w:r>
              <w:rPr>
                <w:b w:val="0"/>
                <w:sz w:val="16"/>
              </w:rPr>
              <w:t>Resume only from safe persisted state; do not auto-run privileged actions without reauthorization.</w:t>
            </w:r>
          </w:p>
        </w:tc>
      </w:tr>
    </w:tbl>
    <w:p/>
    <w:p>
      <w:pPr>
        <w:pStyle w:val="Heading1"/>
      </w:pPr>
      <w:r>
        <w:t>26. Security Failure Behaviour</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Failure</w:t>
            </w:r>
          </w:p>
        </w:tc>
        <w:tc>
          <w:tcPr>
            <w:tcW w:type="dxa" w:w="5083"/>
            <w:vAlign w:val="center"/>
            <w:shd w:fill="D9EAF7"/>
          </w:tcPr>
          <w:p>
            <w:r/>
            <w:r>
              <w:rPr>
                <w:b/>
                <w:sz w:val="16"/>
              </w:rPr>
              <w:t>Required response</w:t>
            </w:r>
          </w:p>
        </w:tc>
      </w:tr>
      <w:tr>
        <w:tc>
          <w:tcPr>
            <w:tcW w:type="dxa" w:w="5083"/>
            <w:vAlign w:val="center"/>
          </w:tcPr>
          <w:p>
            <w:r/>
            <w:r>
              <w:rPr>
                <w:b w:val="0"/>
                <w:sz w:val="16"/>
              </w:rPr>
              <w:t>Policy engine unavailable</w:t>
            </w:r>
          </w:p>
        </w:tc>
        <w:tc>
          <w:tcPr>
            <w:tcW w:type="dxa" w:w="5083"/>
            <w:vAlign w:val="center"/>
          </w:tcPr>
          <w:p>
            <w:r/>
            <w:r>
              <w:rPr>
                <w:b w:val="0"/>
                <w:sz w:val="16"/>
              </w:rPr>
              <w:t>Fail closed for protected/high-impact actions.</w:t>
            </w:r>
          </w:p>
        </w:tc>
      </w:tr>
      <w:tr>
        <w:tc>
          <w:tcPr>
            <w:tcW w:type="dxa" w:w="5083"/>
            <w:vAlign w:val="center"/>
          </w:tcPr>
          <w:p>
            <w:r/>
            <w:r>
              <w:rPr>
                <w:b w:val="0"/>
                <w:sz w:val="16"/>
              </w:rPr>
              <w:t>Sandbox unavailable</w:t>
            </w:r>
          </w:p>
        </w:tc>
        <w:tc>
          <w:tcPr>
            <w:tcW w:type="dxa" w:w="5083"/>
            <w:vAlign w:val="center"/>
          </w:tcPr>
          <w:p>
            <w:r/>
            <w:r>
              <w:rPr>
                <w:b w:val="0"/>
                <w:sz w:val="16"/>
              </w:rPr>
              <w:t>Do not execute actions requiring sandbox guarantee.</w:t>
            </w:r>
          </w:p>
        </w:tc>
      </w:tr>
      <w:tr>
        <w:tc>
          <w:tcPr>
            <w:tcW w:type="dxa" w:w="5083"/>
            <w:vAlign w:val="center"/>
          </w:tcPr>
          <w:p>
            <w:r/>
            <w:r>
              <w:rPr>
                <w:b w:val="0"/>
                <w:sz w:val="16"/>
              </w:rPr>
              <w:t>Scope resolver failure</w:t>
            </w:r>
          </w:p>
        </w:tc>
        <w:tc>
          <w:tcPr>
            <w:tcW w:type="dxa" w:w="5083"/>
            <w:vAlign w:val="center"/>
          </w:tcPr>
          <w:p>
            <w:r/>
            <w:r>
              <w:rPr>
                <w:b w:val="0"/>
                <w:sz w:val="16"/>
              </w:rPr>
              <w:t>Block affected filesystem/resource operation.</w:t>
            </w:r>
          </w:p>
        </w:tc>
      </w:tr>
      <w:tr>
        <w:tc>
          <w:tcPr>
            <w:tcW w:type="dxa" w:w="5083"/>
            <w:vAlign w:val="center"/>
          </w:tcPr>
          <w:p>
            <w:r/>
            <w:r>
              <w:rPr>
                <w:b w:val="0"/>
                <w:sz w:val="16"/>
              </w:rPr>
              <w:t>Secret filter failure</w:t>
            </w:r>
          </w:p>
        </w:tc>
        <w:tc>
          <w:tcPr>
            <w:tcW w:type="dxa" w:w="5083"/>
            <w:vAlign w:val="center"/>
          </w:tcPr>
          <w:p>
            <w:r/>
            <w:r>
              <w:rPr>
                <w:b w:val="0"/>
                <w:sz w:val="16"/>
              </w:rPr>
              <w:t>Block model-facing output where secret exposure is possible.</w:t>
            </w:r>
          </w:p>
        </w:tc>
      </w:tr>
      <w:tr>
        <w:tc>
          <w:tcPr>
            <w:tcW w:type="dxa" w:w="5083"/>
            <w:vAlign w:val="center"/>
          </w:tcPr>
          <w:p>
            <w:r/>
            <w:r>
              <w:rPr>
                <w:b w:val="0"/>
                <w:sz w:val="16"/>
              </w:rPr>
              <w:t>Audit failure</w:t>
            </w:r>
          </w:p>
        </w:tc>
        <w:tc>
          <w:tcPr>
            <w:tcW w:type="dxa" w:w="5083"/>
            <w:vAlign w:val="center"/>
          </w:tcPr>
          <w:p>
            <w:r/>
            <w:r>
              <w:rPr>
                <w:b w:val="0"/>
                <w:sz w:val="16"/>
              </w:rPr>
              <w:t>Security-critical actions may be blocked according to policy.</w:t>
            </w:r>
          </w:p>
        </w:tc>
      </w:tr>
      <w:tr>
        <w:tc>
          <w:tcPr>
            <w:tcW w:type="dxa" w:w="5083"/>
            <w:vAlign w:val="center"/>
          </w:tcPr>
          <w:p>
            <w:r/>
            <w:r>
              <w:rPr>
                <w:b w:val="0"/>
                <w:sz w:val="16"/>
              </w:rPr>
              <w:t>MCP adapter failure</w:t>
            </w:r>
          </w:p>
        </w:tc>
        <w:tc>
          <w:tcPr>
            <w:tcW w:type="dxa" w:w="5083"/>
            <w:vAlign w:val="center"/>
          </w:tcPr>
          <w:p>
            <w:r/>
            <w:r>
              <w:rPr>
                <w:b w:val="0"/>
                <w:sz w:val="16"/>
              </w:rPr>
              <w:t>Block/fail external action; no direct fallback bypass.</w:t>
            </w:r>
          </w:p>
        </w:tc>
      </w:tr>
      <w:tr>
        <w:tc>
          <w:tcPr>
            <w:tcW w:type="dxa" w:w="5083"/>
            <w:vAlign w:val="center"/>
          </w:tcPr>
          <w:p>
            <w:r/>
            <w:r>
              <w:rPr>
                <w:b w:val="0"/>
                <w:sz w:val="16"/>
              </w:rPr>
              <w:t>Security config invalid</w:t>
            </w:r>
          </w:p>
        </w:tc>
        <w:tc>
          <w:tcPr>
            <w:tcW w:type="dxa" w:w="5083"/>
            <w:vAlign w:val="center"/>
          </w:tcPr>
          <w:p>
            <w:r/>
            <w:r>
              <w:rPr>
                <w:b w:val="0"/>
                <w:sz w:val="16"/>
              </w:rPr>
              <w:t>Fail closed for security-sensitive capability.</w:t>
            </w:r>
          </w:p>
        </w:tc>
      </w:tr>
      <w:tr>
        <w:tc>
          <w:tcPr>
            <w:tcW w:type="dxa" w:w="5083"/>
            <w:vAlign w:val="center"/>
          </w:tcPr>
          <w:p>
            <w:r/>
            <w:r>
              <w:rPr>
                <w:b w:val="0"/>
                <w:sz w:val="16"/>
              </w:rPr>
              <w:t>Injection detected</w:t>
            </w:r>
          </w:p>
        </w:tc>
        <w:tc>
          <w:tcPr>
            <w:tcW w:type="dxa" w:w="5083"/>
            <w:vAlign w:val="center"/>
          </w:tcPr>
          <w:p>
            <w:r/>
            <w:r>
              <w:rPr>
                <w:b w:val="0"/>
                <w:sz w:val="16"/>
              </w:rPr>
              <w:t>Treat content as untrusted; do not grant authority.</w:t>
            </w:r>
          </w:p>
        </w:tc>
      </w:tr>
      <w:tr>
        <w:tc>
          <w:tcPr>
            <w:tcW w:type="dxa" w:w="5083"/>
            <w:vAlign w:val="center"/>
          </w:tcPr>
          <w:p>
            <w:r/>
            <w:r>
              <w:rPr>
                <w:b w:val="0"/>
                <w:sz w:val="16"/>
              </w:rPr>
              <w:t>Unauthorized client request</w:t>
            </w:r>
          </w:p>
        </w:tc>
        <w:tc>
          <w:tcPr>
            <w:tcW w:type="dxa" w:w="5083"/>
            <w:vAlign w:val="center"/>
          </w:tcPr>
          <w:p>
            <w:r/>
            <w:r>
              <w:rPr>
                <w:b w:val="0"/>
                <w:sz w:val="16"/>
              </w:rPr>
              <w:t>Reject at runtime boundary.</w:t>
            </w:r>
          </w:p>
        </w:tc>
      </w:tr>
      <w:tr>
        <w:tc>
          <w:tcPr>
            <w:tcW w:type="dxa" w:w="5083"/>
            <w:vAlign w:val="center"/>
          </w:tcPr>
          <w:p>
            <w:r/>
            <w:r>
              <w:rPr>
                <w:b w:val="0"/>
                <w:sz w:val="16"/>
              </w:rPr>
              <w:t>Privilege escalation attempt</w:t>
            </w:r>
          </w:p>
        </w:tc>
        <w:tc>
          <w:tcPr>
            <w:tcW w:type="dxa" w:w="5083"/>
            <w:vAlign w:val="center"/>
          </w:tcPr>
          <w:p>
            <w:r/>
            <w:r>
              <w:rPr>
                <w:b w:val="0"/>
                <w:sz w:val="16"/>
              </w:rPr>
              <w:t>DENY and audit.</w:t>
            </w:r>
          </w:p>
        </w:tc>
      </w:tr>
    </w:tbl>
    <w:p/>
    <w:p>
      <w:pPr>
        <w:pStyle w:val="Heading1"/>
      </w:pPr>
      <w:r>
        <w:t>27. Mandatory Security Test Suite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5"/>
              </w:rPr>
              <w:t>ID</w:t>
            </w:r>
          </w:p>
        </w:tc>
        <w:tc>
          <w:tcPr>
            <w:tcW w:type="dxa" w:w="3389"/>
            <w:vAlign w:val="center"/>
            <w:shd w:fill="D9EAF7"/>
          </w:tcPr>
          <w:p>
            <w:r/>
            <w:r>
              <w:rPr>
                <w:b/>
                <w:sz w:val="15"/>
              </w:rPr>
              <w:t>Scenario</w:t>
            </w:r>
          </w:p>
        </w:tc>
        <w:tc>
          <w:tcPr>
            <w:tcW w:type="dxa" w:w="3389"/>
            <w:vAlign w:val="center"/>
            <w:shd w:fill="D9EAF7"/>
          </w:tcPr>
          <w:p>
            <w:r/>
            <w:r>
              <w:rPr>
                <w:b/>
                <w:sz w:val="15"/>
              </w:rPr>
              <w:t>Expected result</w:t>
            </w:r>
          </w:p>
        </w:tc>
      </w:tr>
      <w:tr>
        <w:tc>
          <w:tcPr>
            <w:tcW w:type="dxa" w:w="3389"/>
            <w:vAlign w:val="center"/>
          </w:tcPr>
          <w:p>
            <w:r/>
            <w:r>
              <w:rPr>
                <w:b w:val="0"/>
                <w:sz w:val="15"/>
              </w:rPr>
              <w:t>ST-SBX-001</w:t>
            </w:r>
          </w:p>
        </w:tc>
        <w:tc>
          <w:tcPr>
            <w:tcW w:type="dxa" w:w="3389"/>
            <w:vAlign w:val="center"/>
          </w:tcPr>
          <w:p>
            <w:r/>
            <w:r>
              <w:rPr>
                <w:b w:val="0"/>
                <w:sz w:val="15"/>
              </w:rPr>
              <w:t>Path traversal</w:t>
            </w:r>
          </w:p>
        </w:tc>
        <w:tc>
          <w:tcPr>
            <w:tcW w:type="dxa" w:w="3389"/>
            <w:vAlign w:val="center"/>
          </w:tcPr>
          <w:p>
            <w:r/>
            <w:r>
              <w:rPr>
                <w:b w:val="0"/>
                <w:sz w:val="15"/>
              </w:rPr>
              <w:t>Outside-workspace access is blocked.</w:t>
            </w:r>
          </w:p>
        </w:tc>
      </w:tr>
      <w:tr>
        <w:tc>
          <w:tcPr>
            <w:tcW w:type="dxa" w:w="3389"/>
            <w:vAlign w:val="center"/>
          </w:tcPr>
          <w:p>
            <w:r/>
            <w:r>
              <w:rPr>
                <w:b w:val="0"/>
                <w:sz w:val="15"/>
              </w:rPr>
              <w:t>ST-SBX-002</w:t>
            </w:r>
          </w:p>
        </w:tc>
        <w:tc>
          <w:tcPr>
            <w:tcW w:type="dxa" w:w="3389"/>
            <w:vAlign w:val="center"/>
          </w:tcPr>
          <w:p>
            <w:r/>
            <w:r>
              <w:rPr>
                <w:b w:val="0"/>
                <w:sz w:val="15"/>
              </w:rPr>
              <w:t>Symlink escape</w:t>
            </w:r>
          </w:p>
        </w:tc>
        <w:tc>
          <w:tcPr>
            <w:tcW w:type="dxa" w:w="3389"/>
            <w:vAlign w:val="center"/>
          </w:tcPr>
          <w:p>
            <w:r/>
            <w:r>
              <w:rPr>
                <w:b w:val="0"/>
                <w:sz w:val="15"/>
              </w:rPr>
              <w:t>Effective target outside workspace is blocked.</w:t>
            </w:r>
          </w:p>
        </w:tc>
      </w:tr>
      <w:tr>
        <w:tc>
          <w:tcPr>
            <w:tcW w:type="dxa" w:w="3389"/>
            <w:vAlign w:val="center"/>
          </w:tcPr>
          <w:p>
            <w:r/>
            <w:r>
              <w:rPr>
                <w:b w:val="0"/>
                <w:sz w:val="15"/>
              </w:rPr>
              <w:t>ST-SBX-003</w:t>
            </w:r>
          </w:p>
        </w:tc>
        <w:tc>
          <w:tcPr>
            <w:tcW w:type="dxa" w:w="3389"/>
            <w:vAlign w:val="center"/>
          </w:tcPr>
          <w:p>
            <w:r/>
            <w:r>
              <w:rPr>
                <w:b w:val="0"/>
                <w:sz w:val="15"/>
              </w:rPr>
              <w:t>Protected path</w:t>
            </w:r>
          </w:p>
        </w:tc>
        <w:tc>
          <w:tcPr>
            <w:tcW w:type="dxa" w:w="3389"/>
            <w:vAlign w:val="center"/>
          </w:tcPr>
          <w:p>
            <w:r/>
            <w:r>
              <w:rPr>
                <w:b w:val="0"/>
                <w:sz w:val="15"/>
              </w:rPr>
              <w:t>Protected resource cannot be modified through ordinary tool.</w:t>
            </w:r>
          </w:p>
        </w:tc>
      </w:tr>
      <w:tr>
        <w:tc>
          <w:tcPr>
            <w:tcW w:type="dxa" w:w="3389"/>
            <w:vAlign w:val="center"/>
          </w:tcPr>
          <w:p>
            <w:r/>
            <w:r>
              <w:rPr>
                <w:b w:val="0"/>
                <w:sz w:val="15"/>
              </w:rPr>
              <w:t>ST-EXE-001</w:t>
            </w:r>
          </w:p>
        </w:tc>
        <w:tc>
          <w:tcPr>
            <w:tcW w:type="dxa" w:w="3389"/>
            <w:vAlign w:val="center"/>
          </w:tcPr>
          <w:p>
            <w:r/>
            <w:r>
              <w:rPr>
                <w:b w:val="0"/>
                <w:sz w:val="15"/>
              </w:rPr>
              <w:t>Shell chaining</w:t>
            </w:r>
          </w:p>
        </w:tc>
        <w:tc>
          <w:tcPr>
            <w:tcW w:type="dxa" w:w="3389"/>
            <w:vAlign w:val="center"/>
          </w:tcPr>
          <w:p>
            <w:r/>
            <w:r>
              <w:rPr>
                <w:b w:val="0"/>
                <w:sz w:val="15"/>
              </w:rPr>
              <w:t>Denied command cannot be bypassed with chaining.</w:t>
            </w:r>
          </w:p>
        </w:tc>
      </w:tr>
      <w:tr>
        <w:tc>
          <w:tcPr>
            <w:tcW w:type="dxa" w:w="3389"/>
            <w:vAlign w:val="center"/>
          </w:tcPr>
          <w:p>
            <w:r/>
            <w:r>
              <w:rPr>
                <w:b w:val="0"/>
                <w:sz w:val="15"/>
              </w:rPr>
              <w:t>ST-EXE-002</w:t>
            </w:r>
          </w:p>
        </w:tc>
        <w:tc>
          <w:tcPr>
            <w:tcW w:type="dxa" w:w="3389"/>
            <w:vAlign w:val="center"/>
          </w:tcPr>
          <w:p>
            <w:r/>
            <w:r>
              <w:rPr>
                <w:b w:val="0"/>
                <w:sz w:val="15"/>
              </w:rPr>
              <w:t>Interpreter switch</w:t>
            </w:r>
          </w:p>
        </w:tc>
        <w:tc>
          <w:tcPr>
            <w:tcW w:type="dxa" w:w="3389"/>
            <w:vAlign w:val="center"/>
          </w:tcPr>
          <w:p>
            <w:r/>
            <w:r>
              <w:rPr>
                <w:b w:val="0"/>
                <w:sz w:val="15"/>
              </w:rPr>
              <w:t>Alternate shell cannot bypass policy.</w:t>
            </w:r>
          </w:p>
        </w:tc>
      </w:tr>
      <w:tr>
        <w:tc>
          <w:tcPr>
            <w:tcW w:type="dxa" w:w="3389"/>
            <w:vAlign w:val="center"/>
          </w:tcPr>
          <w:p>
            <w:r/>
            <w:r>
              <w:rPr>
                <w:b w:val="0"/>
                <w:sz w:val="15"/>
              </w:rPr>
              <w:t>ST-EXE-003</w:t>
            </w:r>
          </w:p>
        </w:tc>
        <w:tc>
          <w:tcPr>
            <w:tcW w:type="dxa" w:w="3389"/>
            <w:vAlign w:val="center"/>
          </w:tcPr>
          <w:p>
            <w:r/>
            <w:r>
              <w:rPr>
                <w:b w:val="0"/>
                <w:sz w:val="15"/>
              </w:rPr>
              <w:t>Environment leak</w:t>
            </w:r>
          </w:p>
        </w:tc>
        <w:tc>
          <w:tcPr>
            <w:tcW w:type="dxa" w:w="3389"/>
            <w:vAlign w:val="center"/>
          </w:tcPr>
          <w:p>
            <w:r/>
            <w:r>
              <w:rPr>
                <w:b w:val="0"/>
                <w:sz w:val="15"/>
              </w:rPr>
              <w:t>Secrets are filtered from model context.</w:t>
            </w:r>
          </w:p>
        </w:tc>
      </w:tr>
      <w:tr>
        <w:tc>
          <w:tcPr>
            <w:tcW w:type="dxa" w:w="3389"/>
            <w:vAlign w:val="center"/>
          </w:tcPr>
          <w:p>
            <w:r/>
            <w:r>
              <w:rPr>
                <w:b w:val="0"/>
                <w:sz w:val="15"/>
              </w:rPr>
              <w:t>ST-NET-001</w:t>
            </w:r>
          </w:p>
        </w:tc>
        <w:tc>
          <w:tcPr>
            <w:tcW w:type="dxa" w:w="3389"/>
            <w:vAlign w:val="center"/>
          </w:tcPr>
          <w:p>
            <w:r/>
            <w:r>
              <w:rPr>
                <w:b w:val="0"/>
                <w:sz w:val="15"/>
              </w:rPr>
              <w:t>Unauthorized network</w:t>
            </w:r>
          </w:p>
        </w:tc>
        <w:tc>
          <w:tcPr>
            <w:tcW w:type="dxa" w:w="3389"/>
            <w:vAlign w:val="center"/>
          </w:tcPr>
          <w:p>
            <w:r/>
            <w:r>
              <w:rPr>
                <w:b w:val="0"/>
                <w:sz w:val="15"/>
              </w:rPr>
              <w:t>External access is blocked/restricted.</w:t>
            </w:r>
          </w:p>
        </w:tc>
      </w:tr>
      <w:tr>
        <w:tc>
          <w:tcPr>
            <w:tcW w:type="dxa" w:w="3389"/>
            <w:vAlign w:val="center"/>
          </w:tcPr>
          <w:p>
            <w:r/>
            <w:r>
              <w:rPr>
                <w:b w:val="0"/>
                <w:sz w:val="15"/>
              </w:rPr>
              <w:t>ST-MCP-001</w:t>
            </w:r>
          </w:p>
        </w:tc>
        <w:tc>
          <w:tcPr>
            <w:tcW w:type="dxa" w:w="3389"/>
            <w:vAlign w:val="center"/>
          </w:tcPr>
          <w:p>
            <w:r/>
            <w:r>
              <w:rPr>
                <w:b w:val="0"/>
                <w:sz w:val="15"/>
              </w:rPr>
              <w:t>MCP bypass</w:t>
            </w:r>
          </w:p>
        </w:tc>
        <w:tc>
          <w:tcPr>
            <w:tcW w:type="dxa" w:w="3389"/>
            <w:vAlign w:val="center"/>
          </w:tcPr>
          <w:p>
            <w:r/>
            <w:r>
              <w:rPr>
                <w:b w:val="0"/>
                <w:sz w:val="15"/>
              </w:rPr>
              <w:t>MCP cannot bypass internal policy.</w:t>
            </w:r>
          </w:p>
        </w:tc>
      </w:tr>
      <w:tr>
        <w:tc>
          <w:tcPr>
            <w:tcW w:type="dxa" w:w="3389"/>
            <w:vAlign w:val="center"/>
          </w:tcPr>
          <w:p>
            <w:r/>
            <w:r>
              <w:rPr>
                <w:b w:val="0"/>
                <w:sz w:val="15"/>
              </w:rPr>
              <w:t>ST-MEM-001</w:t>
            </w:r>
          </w:p>
        </w:tc>
        <w:tc>
          <w:tcPr>
            <w:tcW w:type="dxa" w:w="3389"/>
            <w:vAlign w:val="center"/>
          </w:tcPr>
          <w:p>
            <w:r/>
            <w:r>
              <w:rPr>
                <w:b w:val="0"/>
                <w:sz w:val="15"/>
              </w:rPr>
              <w:t>Memory authorization</w:t>
            </w:r>
          </w:p>
        </w:tc>
        <w:tc>
          <w:tcPr>
            <w:tcW w:type="dxa" w:w="3389"/>
            <w:vAlign w:val="center"/>
          </w:tcPr>
          <w:p>
            <w:r/>
            <w:r>
              <w:rPr>
                <w:b w:val="0"/>
                <w:sz w:val="15"/>
              </w:rPr>
              <w:t>Memory cannot authorize denied tool.</w:t>
            </w:r>
          </w:p>
        </w:tc>
      </w:tr>
      <w:tr>
        <w:tc>
          <w:tcPr>
            <w:tcW w:type="dxa" w:w="3389"/>
            <w:vAlign w:val="center"/>
          </w:tcPr>
          <w:p>
            <w:r/>
            <w:r>
              <w:rPr>
                <w:b w:val="0"/>
                <w:sz w:val="15"/>
              </w:rPr>
              <w:t>ST-INJ-001</w:t>
            </w:r>
          </w:p>
        </w:tc>
        <w:tc>
          <w:tcPr>
            <w:tcW w:type="dxa" w:w="3389"/>
            <w:vAlign w:val="center"/>
          </w:tcPr>
          <w:p>
            <w:r/>
            <w:r>
              <w:rPr>
                <w:b w:val="0"/>
                <w:sz w:val="15"/>
              </w:rPr>
              <w:t>Repository injection</w:t>
            </w:r>
          </w:p>
        </w:tc>
        <w:tc>
          <w:tcPr>
            <w:tcW w:type="dxa" w:w="3389"/>
            <w:vAlign w:val="center"/>
          </w:tcPr>
          <w:p>
            <w:r/>
            <w:r>
              <w:rPr>
                <w:b w:val="0"/>
                <w:sz w:val="15"/>
              </w:rPr>
              <w:t>Malicious instructions do not become authority.</w:t>
            </w:r>
          </w:p>
        </w:tc>
      </w:tr>
      <w:tr>
        <w:tc>
          <w:tcPr>
            <w:tcW w:type="dxa" w:w="3389"/>
            <w:vAlign w:val="center"/>
          </w:tcPr>
          <w:p>
            <w:r/>
            <w:r>
              <w:rPr>
                <w:b w:val="0"/>
                <w:sz w:val="15"/>
              </w:rPr>
              <w:t>ST-INJ-002</w:t>
            </w:r>
          </w:p>
        </w:tc>
        <w:tc>
          <w:tcPr>
            <w:tcW w:type="dxa" w:w="3389"/>
            <w:vAlign w:val="center"/>
          </w:tcPr>
          <w:p>
            <w:r/>
            <w:r>
              <w:rPr>
                <w:b w:val="0"/>
                <w:sz w:val="15"/>
              </w:rPr>
              <w:t>MCP injection</w:t>
            </w:r>
          </w:p>
        </w:tc>
        <w:tc>
          <w:tcPr>
            <w:tcW w:type="dxa" w:w="3389"/>
            <w:vAlign w:val="center"/>
          </w:tcPr>
          <w:p>
            <w:r/>
            <w:r>
              <w:rPr>
                <w:b w:val="0"/>
                <w:sz w:val="15"/>
              </w:rPr>
              <w:t>Malicious tool output does not authorize actions.</w:t>
            </w:r>
          </w:p>
        </w:tc>
      </w:tr>
      <w:tr>
        <w:tc>
          <w:tcPr>
            <w:tcW w:type="dxa" w:w="3389"/>
            <w:vAlign w:val="center"/>
          </w:tcPr>
          <w:p>
            <w:r/>
            <w:r>
              <w:rPr>
                <w:b w:val="0"/>
                <w:sz w:val="15"/>
              </w:rPr>
              <w:t>ST-CLI-001</w:t>
            </w:r>
          </w:p>
        </w:tc>
        <w:tc>
          <w:tcPr>
            <w:tcW w:type="dxa" w:w="3389"/>
            <w:vAlign w:val="center"/>
          </w:tcPr>
          <w:p>
            <w:r/>
            <w:r>
              <w:rPr>
                <w:b w:val="0"/>
                <w:sz w:val="15"/>
              </w:rPr>
              <w:t>Client bypass</w:t>
            </w:r>
          </w:p>
        </w:tc>
        <w:tc>
          <w:tcPr>
            <w:tcW w:type="dxa" w:w="3389"/>
            <w:vAlign w:val="center"/>
          </w:tcPr>
          <w:p>
            <w:r/>
            <w:r>
              <w:rPr>
                <w:b w:val="0"/>
                <w:sz w:val="15"/>
              </w:rPr>
              <w:t>Direct client request cannot skip policy.</w:t>
            </w:r>
          </w:p>
        </w:tc>
      </w:tr>
      <w:tr>
        <w:tc>
          <w:tcPr>
            <w:tcW w:type="dxa" w:w="3389"/>
            <w:vAlign w:val="center"/>
          </w:tcPr>
          <w:p>
            <w:r/>
            <w:r>
              <w:rPr>
                <w:b w:val="0"/>
                <w:sz w:val="15"/>
              </w:rPr>
              <w:t>ST-POL-001</w:t>
            </w:r>
          </w:p>
        </w:tc>
        <w:tc>
          <w:tcPr>
            <w:tcW w:type="dxa" w:w="3389"/>
            <w:vAlign w:val="center"/>
          </w:tcPr>
          <w:p>
            <w:r/>
            <w:r>
              <w:rPr>
                <w:b w:val="0"/>
                <w:sz w:val="15"/>
              </w:rPr>
              <w:t>Policy tamper</w:t>
            </w:r>
          </w:p>
        </w:tc>
        <w:tc>
          <w:tcPr>
            <w:tcW w:type="dxa" w:w="3389"/>
            <w:vAlign w:val="center"/>
          </w:tcPr>
          <w:p>
            <w:r/>
            <w:r>
              <w:rPr>
                <w:b w:val="0"/>
                <w:sz w:val="15"/>
              </w:rPr>
              <w:t>Agent cannot weaken hard security rules.</w:t>
            </w:r>
          </w:p>
        </w:tc>
      </w:tr>
      <w:tr>
        <w:tc>
          <w:tcPr>
            <w:tcW w:type="dxa" w:w="3389"/>
            <w:vAlign w:val="center"/>
          </w:tcPr>
          <w:p>
            <w:r/>
            <w:r>
              <w:rPr>
                <w:b w:val="0"/>
                <w:sz w:val="15"/>
              </w:rPr>
              <w:t>ST-GIT-001</w:t>
            </w:r>
          </w:p>
        </w:tc>
        <w:tc>
          <w:tcPr>
            <w:tcW w:type="dxa" w:w="3389"/>
            <w:vAlign w:val="center"/>
          </w:tcPr>
          <w:p>
            <w:r/>
            <w:r>
              <w:rPr>
                <w:b w:val="0"/>
                <w:sz w:val="15"/>
              </w:rPr>
              <w:t>User changes</w:t>
            </w:r>
          </w:p>
        </w:tc>
        <w:tc>
          <w:tcPr>
            <w:tcW w:type="dxa" w:w="3389"/>
            <w:vAlign w:val="center"/>
          </w:tcPr>
          <w:p>
            <w:r/>
            <w:r>
              <w:rPr>
                <w:b w:val="0"/>
                <w:sz w:val="15"/>
              </w:rPr>
              <w:t>Destructive Git operation cannot overwrite unrelated changes.</w:t>
            </w:r>
          </w:p>
        </w:tc>
      </w:tr>
      <w:tr>
        <w:tc>
          <w:tcPr>
            <w:tcW w:type="dxa" w:w="3389"/>
            <w:vAlign w:val="center"/>
          </w:tcPr>
          <w:p>
            <w:r/>
            <w:r>
              <w:rPr>
                <w:b w:val="0"/>
                <w:sz w:val="15"/>
              </w:rPr>
              <w:t>ST-CAN-001</w:t>
            </w:r>
          </w:p>
        </w:tc>
        <w:tc>
          <w:tcPr>
            <w:tcW w:type="dxa" w:w="3389"/>
            <w:vAlign w:val="center"/>
          </w:tcPr>
          <w:p>
            <w:r/>
            <w:r>
              <w:rPr>
                <w:b w:val="0"/>
                <w:sz w:val="15"/>
              </w:rPr>
              <w:t>Emergency stop</w:t>
            </w:r>
          </w:p>
        </w:tc>
        <w:tc>
          <w:tcPr>
            <w:tcW w:type="dxa" w:w="3389"/>
            <w:vAlign w:val="center"/>
          </w:tcPr>
          <w:p>
            <w:r/>
            <w:r>
              <w:rPr>
                <w:b w:val="0"/>
                <w:sz w:val="15"/>
              </w:rPr>
              <w:t>No new privileged action after stop.</w:t>
            </w:r>
          </w:p>
        </w:tc>
      </w:tr>
    </w:tbl>
    <w:p/>
    <w:p>
      <w:pPr>
        <w:pStyle w:val="Heading1"/>
      </w:pPr>
      <w:r>
        <w:t>28. Security Incident Handling</w:t>
      </w:r>
    </w:p>
    <w:p>
      <w:pPr>
        <w:pStyle w:val="ListBullet"/>
        <w:spacing w:after="26"/>
      </w:pPr>
      <w:r>
        <w:t>Classify security failures separately from ordinary engineering failures.</w:t>
      </w:r>
    </w:p>
    <w:p>
      <w:pPr>
        <w:pStyle w:val="ListBullet"/>
        <w:spacing w:after="26"/>
      </w:pPr>
      <w:r>
        <w:t>Stop affected privileged execution.</w:t>
      </w:r>
    </w:p>
    <w:p>
      <w:pPr>
        <w:pStyle w:val="ListBullet"/>
        <w:spacing w:after="26"/>
      </w:pPr>
      <w:r>
        <w:t>Preserve relevant audit/evidence.</w:t>
      </w:r>
    </w:p>
    <w:p>
      <w:pPr>
        <w:pStyle w:val="ListBullet"/>
        <w:spacing w:after="26"/>
      </w:pPr>
      <w:r>
        <w:t>Do not automatically repair around the security control.</w:t>
      </w:r>
    </w:p>
    <w:p>
      <w:pPr>
        <w:pStyle w:val="ListBullet"/>
        <w:spacing w:after="26"/>
      </w:pPr>
      <w:r>
        <w:t>Surface the security condition clearly.</w:t>
      </w:r>
    </w:p>
    <w:p>
      <w:pPr>
        <w:pStyle w:val="ListBullet"/>
        <w:spacing w:after="26"/>
      </w:pPr>
      <w:r>
        <w:t>Require authorized human/security intervention where appropriate.</w:t>
      </w:r>
    </w:p>
    <w:p>
      <w:pPr>
        <w:pStyle w:val="ListBullet"/>
        <w:spacing w:after="26"/>
      </w:pPr>
      <w:r>
        <w:t>Record remediation/change-control outcome.</w:t>
      </w:r>
    </w:p>
    <w:p>
      <w:pPr>
        <w:pStyle w:val="ListBullet"/>
        <w:spacing w:after="26"/>
      </w:pPr>
      <w:r>
        <w:t>Add a regression/security fixture for confirmed bypasses when practical.</w:t>
      </w:r>
    </w:p>
    <w:p>
      <w:pPr>
        <w:pStyle w:val="Heading1"/>
      </w:pPr>
      <w:r>
        <w:t>29. Security &amp; Sandbox Invariants</w:t>
      </w:r>
    </w:p>
    <w:p>
      <w:pPr>
        <w:pStyle w:val="ListBullet"/>
        <w:spacing w:after="26"/>
      </w:pPr>
      <w:r>
        <w:t>SEC1: No model output is authorization.</w:t>
      </w:r>
    </w:p>
    <w:p>
      <w:pPr>
        <w:pStyle w:val="ListBullet"/>
        <w:spacing w:after="26"/>
      </w:pPr>
      <w:r>
        <w:t>SEC2: No unknown capability executes.</w:t>
      </w:r>
    </w:p>
    <w:p>
      <w:pPr>
        <w:pStyle w:val="ListBullet"/>
        <w:spacing w:after="26"/>
      </w:pPr>
      <w:r>
        <w:t>SEC3: Every executable action passes the central authorization path.</w:t>
      </w:r>
    </w:p>
    <w:p>
      <w:pPr>
        <w:pStyle w:val="ListBullet"/>
        <w:spacing w:after="26"/>
      </w:pPr>
      <w:r>
        <w:t>SEC4: Hard security rules cannot be overridden by autonomy settings.</w:t>
      </w:r>
    </w:p>
    <w:p>
      <w:pPr>
        <w:pStyle w:val="ListBullet"/>
        <w:spacing w:after="26"/>
      </w:pPr>
      <w:r>
        <w:t>SEC5: Repository content cannot override security policy.</w:t>
      </w:r>
    </w:p>
    <w:p>
      <w:pPr>
        <w:pStyle w:val="ListBullet"/>
        <w:spacing w:after="26"/>
      </w:pPr>
      <w:r>
        <w:t>SEC6: Memory/context cannot authorize tools.</w:t>
      </w:r>
    </w:p>
    <w:p>
      <w:pPr>
        <w:pStyle w:val="ListBullet"/>
        <w:spacing w:after="26"/>
      </w:pPr>
      <w:r>
        <w:t>SEC7: Recovery cannot bypass security controls.</w:t>
      </w:r>
    </w:p>
    <w:p>
      <w:pPr>
        <w:pStyle w:val="ListBullet"/>
        <w:spacing w:after="26"/>
      </w:pPr>
      <w:r>
        <w:t>SEC8: MCP cannot bypass security controls.</w:t>
      </w:r>
    </w:p>
    <w:p>
      <w:pPr>
        <w:pStyle w:val="ListBullet"/>
        <w:spacing w:after="26"/>
      </w:pPr>
      <w:r>
        <w:t>SEC9: Workspace containment is enforced after path normalization/resolution.</w:t>
      </w:r>
    </w:p>
    <w:p>
      <w:pPr>
        <w:pStyle w:val="ListBullet"/>
        <w:spacing w:after="26"/>
      </w:pPr>
      <w:r>
        <w:t>SEC10: Protected resources are never silently broadened into scope.</w:t>
      </w:r>
    </w:p>
    <w:p>
      <w:pPr>
        <w:pStyle w:val="ListBullet"/>
        <w:spacing w:after="26"/>
      </w:pPr>
      <w:r>
        <w:t>SEC11: Secrets are not intentionally exposed to normal model context.</w:t>
      </w:r>
    </w:p>
    <w:p>
      <w:pPr>
        <w:pStyle w:val="ListBullet"/>
        <w:spacing w:after="26"/>
      </w:pPr>
      <w:r>
        <w:t>SEC12: Client interfaces cannot bypass server/runtime authorization.</w:t>
      </w:r>
    </w:p>
    <w:p>
      <w:pPr>
        <w:pStyle w:val="ListBullet"/>
        <w:spacing w:after="26"/>
      </w:pPr>
      <w:r>
        <w:t>SEC13: Security-critical failures fail closed or block the affected operation.</w:t>
      </w:r>
    </w:p>
    <w:p>
      <w:pPr>
        <w:pStyle w:val="ListBullet"/>
        <w:spacing w:after="26"/>
      </w:pPr>
      <w:r>
        <w:t>SEC14: Emergency stop prevents new privileged actions.</w:t>
      </w:r>
    </w:p>
    <w:p>
      <w:pPr>
        <w:pStyle w:val="ListBullet"/>
        <w:spacing w:after="26"/>
      </w:pPr>
      <w:r>
        <w:t>SEC15: Material security decisions are auditable.</w:t>
      </w:r>
    </w:p>
    <w:p>
      <w:pPr>
        <w:pStyle w:val="Heading1"/>
      </w:pPr>
      <w:r>
        <w:t>30. Security &amp; Sandbox Acceptance Criteria</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5"/>
              </w:rPr>
              <w:t>ID</w:t>
            </w:r>
          </w:p>
        </w:tc>
        <w:tc>
          <w:tcPr>
            <w:tcW w:type="dxa" w:w="3389"/>
            <w:vAlign w:val="center"/>
            <w:shd w:fill="D9EAF7"/>
          </w:tcPr>
          <w:p>
            <w:r/>
            <w:r>
              <w:rPr>
                <w:b/>
                <w:sz w:val="15"/>
              </w:rPr>
              <w:t>Area</w:t>
            </w:r>
          </w:p>
        </w:tc>
        <w:tc>
          <w:tcPr>
            <w:tcW w:type="dxa" w:w="3389"/>
            <w:vAlign w:val="center"/>
            <w:shd w:fill="D9EAF7"/>
          </w:tcPr>
          <w:p>
            <w:r/>
            <w:r>
              <w:rPr>
                <w:b/>
                <w:sz w:val="15"/>
              </w:rPr>
              <w:t>Acceptance condition</w:t>
            </w:r>
          </w:p>
        </w:tc>
      </w:tr>
      <w:tr>
        <w:tc>
          <w:tcPr>
            <w:tcW w:type="dxa" w:w="3389"/>
            <w:vAlign w:val="center"/>
          </w:tcPr>
          <w:p>
            <w:r/>
            <w:r>
              <w:rPr>
                <w:b w:val="0"/>
                <w:sz w:val="15"/>
              </w:rPr>
              <w:t>SSS-A01</w:t>
            </w:r>
          </w:p>
        </w:tc>
        <w:tc>
          <w:tcPr>
            <w:tcW w:type="dxa" w:w="3389"/>
            <w:vAlign w:val="center"/>
          </w:tcPr>
          <w:p>
            <w:r/>
            <w:r>
              <w:rPr>
                <w:b w:val="0"/>
                <w:sz w:val="15"/>
              </w:rPr>
              <w:t>Authorization</w:t>
            </w:r>
          </w:p>
        </w:tc>
        <w:tc>
          <w:tcPr>
            <w:tcW w:type="dxa" w:w="3389"/>
            <w:vAlign w:val="center"/>
          </w:tcPr>
          <w:p>
            <w:r/>
            <w:r>
              <w:rPr>
                <w:b w:val="0"/>
                <w:sz w:val="15"/>
              </w:rPr>
              <w:t>All executable actions use central policy authorization.</w:t>
            </w:r>
          </w:p>
        </w:tc>
      </w:tr>
      <w:tr>
        <w:tc>
          <w:tcPr>
            <w:tcW w:type="dxa" w:w="3389"/>
            <w:vAlign w:val="center"/>
          </w:tcPr>
          <w:p>
            <w:r/>
            <w:r>
              <w:rPr>
                <w:b w:val="0"/>
                <w:sz w:val="15"/>
              </w:rPr>
              <w:t>SSS-A02</w:t>
            </w:r>
          </w:p>
        </w:tc>
        <w:tc>
          <w:tcPr>
            <w:tcW w:type="dxa" w:w="3389"/>
            <w:vAlign w:val="center"/>
          </w:tcPr>
          <w:p>
            <w:r/>
            <w:r>
              <w:rPr>
                <w:b w:val="0"/>
                <w:sz w:val="15"/>
              </w:rPr>
              <w:t>Workspace</w:t>
            </w:r>
          </w:p>
        </w:tc>
        <w:tc>
          <w:tcPr>
            <w:tcW w:type="dxa" w:w="3389"/>
            <w:vAlign w:val="center"/>
          </w:tcPr>
          <w:p>
            <w:r/>
            <w:r>
              <w:rPr>
                <w:b w:val="0"/>
                <w:sz w:val="15"/>
              </w:rPr>
              <w:t>Filesystem containment and protected paths are enforced.</w:t>
            </w:r>
          </w:p>
        </w:tc>
      </w:tr>
      <w:tr>
        <w:tc>
          <w:tcPr>
            <w:tcW w:type="dxa" w:w="3389"/>
            <w:vAlign w:val="center"/>
          </w:tcPr>
          <w:p>
            <w:r/>
            <w:r>
              <w:rPr>
                <w:b w:val="0"/>
                <w:sz w:val="15"/>
              </w:rPr>
              <w:t>SSS-A03</w:t>
            </w:r>
          </w:p>
        </w:tc>
        <w:tc>
          <w:tcPr>
            <w:tcW w:type="dxa" w:w="3389"/>
            <w:vAlign w:val="center"/>
          </w:tcPr>
          <w:p>
            <w:r/>
            <w:r>
              <w:rPr>
                <w:b w:val="0"/>
                <w:sz w:val="15"/>
              </w:rPr>
              <w:t>Process</w:t>
            </w:r>
          </w:p>
        </w:tc>
        <w:tc>
          <w:tcPr>
            <w:tcW w:type="dxa" w:w="3389"/>
            <w:vAlign w:val="center"/>
          </w:tcPr>
          <w:p>
            <w:r/>
            <w:r>
              <w:rPr>
                <w:b w:val="0"/>
                <w:sz w:val="15"/>
              </w:rPr>
              <w:t>Program/args/cwd/env/time controls are enforced.</w:t>
            </w:r>
          </w:p>
        </w:tc>
      </w:tr>
      <w:tr>
        <w:tc>
          <w:tcPr>
            <w:tcW w:type="dxa" w:w="3389"/>
            <w:vAlign w:val="center"/>
          </w:tcPr>
          <w:p>
            <w:r/>
            <w:r>
              <w:rPr>
                <w:b w:val="0"/>
                <w:sz w:val="15"/>
              </w:rPr>
              <w:t>SSS-A04</w:t>
            </w:r>
          </w:p>
        </w:tc>
        <w:tc>
          <w:tcPr>
            <w:tcW w:type="dxa" w:w="3389"/>
            <w:vAlign w:val="center"/>
          </w:tcPr>
          <w:p>
            <w:r/>
            <w:r>
              <w:rPr>
                <w:b w:val="0"/>
                <w:sz w:val="15"/>
              </w:rPr>
              <w:t>Network</w:t>
            </w:r>
          </w:p>
        </w:tc>
        <w:tc>
          <w:tcPr>
            <w:tcW w:type="dxa" w:w="3389"/>
            <w:vAlign w:val="center"/>
          </w:tcPr>
          <w:p>
            <w:r/>
            <w:r>
              <w:rPr>
                <w:b w:val="0"/>
                <w:sz w:val="15"/>
              </w:rPr>
              <w:t>External access is restricted by policy.</w:t>
            </w:r>
          </w:p>
        </w:tc>
      </w:tr>
      <w:tr>
        <w:tc>
          <w:tcPr>
            <w:tcW w:type="dxa" w:w="3389"/>
            <w:vAlign w:val="center"/>
          </w:tcPr>
          <w:p>
            <w:r/>
            <w:r>
              <w:rPr>
                <w:b w:val="0"/>
                <w:sz w:val="15"/>
              </w:rPr>
              <w:t>SSS-A05</w:t>
            </w:r>
          </w:p>
        </w:tc>
        <w:tc>
          <w:tcPr>
            <w:tcW w:type="dxa" w:w="3389"/>
            <w:vAlign w:val="center"/>
          </w:tcPr>
          <w:p>
            <w:r/>
            <w:r>
              <w:rPr>
                <w:b w:val="0"/>
                <w:sz w:val="15"/>
              </w:rPr>
              <w:t>Secrets</w:t>
            </w:r>
          </w:p>
        </w:tc>
        <w:tc>
          <w:tcPr>
            <w:tcW w:type="dxa" w:w="3389"/>
            <w:vAlign w:val="center"/>
          </w:tcPr>
          <w:p>
            <w:r/>
            <w:r>
              <w:rPr>
                <w:b w:val="0"/>
                <w:sz w:val="15"/>
              </w:rPr>
              <w:t>Secret filtering/redaction prevents normal model exposure.</w:t>
            </w:r>
          </w:p>
        </w:tc>
      </w:tr>
      <w:tr>
        <w:tc>
          <w:tcPr>
            <w:tcW w:type="dxa" w:w="3389"/>
            <w:vAlign w:val="center"/>
          </w:tcPr>
          <w:p>
            <w:r/>
            <w:r>
              <w:rPr>
                <w:b w:val="0"/>
                <w:sz w:val="15"/>
              </w:rPr>
              <w:t>SSS-A06</w:t>
            </w:r>
          </w:p>
        </w:tc>
        <w:tc>
          <w:tcPr>
            <w:tcW w:type="dxa" w:w="3389"/>
            <w:vAlign w:val="center"/>
          </w:tcPr>
          <w:p>
            <w:r/>
            <w:r>
              <w:rPr>
                <w:b w:val="0"/>
                <w:sz w:val="15"/>
              </w:rPr>
              <w:t>Injection</w:t>
            </w:r>
          </w:p>
        </w:tc>
        <w:tc>
          <w:tcPr>
            <w:tcW w:type="dxa" w:w="3389"/>
            <w:vAlign w:val="center"/>
          </w:tcPr>
          <w:p>
            <w:r/>
            <w:r>
              <w:rPr>
                <w:b w:val="0"/>
                <w:sz w:val="15"/>
              </w:rPr>
              <w:t>Repository/MCP/tool injection cannot gain authority.</w:t>
            </w:r>
          </w:p>
        </w:tc>
      </w:tr>
      <w:tr>
        <w:tc>
          <w:tcPr>
            <w:tcW w:type="dxa" w:w="3389"/>
            <w:vAlign w:val="center"/>
          </w:tcPr>
          <w:p>
            <w:r/>
            <w:r>
              <w:rPr>
                <w:b w:val="0"/>
                <w:sz w:val="15"/>
              </w:rPr>
              <w:t>SSS-A07</w:t>
            </w:r>
          </w:p>
        </w:tc>
        <w:tc>
          <w:tcPr>
            <w:tcW w:type="dxa" w:w="3389"/>
            <w:vAlign w:val="center"/>
          </w:tcPr>
          <w:p>
            <w:r/>
            <w:r>
              <w:rPr>
                <w:b w:val="0"/>
                <w:sz w:val="15"/>
              </w:rPr>
              <w:t>MCP</w:t>
            </w:r>
          </w:p>
        </w:tc>
        <w:tc>
          <w:tcPr>
            <w:tcW w:type="dxa" w:w="3389"/>
            <w:vAlign w:val="center"/>
          </w:tcPr>
          <w:p>
            <w:r/>
            <w:r>
              <w:rPr>
                <w:b w:val="0"/>
                <w:sz w:val="15"/>
              </w:rPr>
              <w:t>MCP uses the same security boundary.</w:t>
            </w:r>
          </w:p>
        </w:tc>
      </w:tr>
      <w:tr>
        <w:tc>
          <w:tcPr>
            <w:tcW w:type="dxa" w:w="3389"/>
            <w:vAlign w:val="center"/>
          </w:tcPr>
          <w:p>
            <w:r/>
            <w:r>
              <w:rPr>
                <w:b w:val="0"/>
                <w:sz w:val="15"/>
              </w:rPr>
              <w:t>SSS-A08</w:t>
            </w:r>
          </w:p>
        </w:tc>
        <w:tc>
          <w:tcPr>
            <w:tcW w:type="dxa" w:w="3389"/>
            <w:vAlign w:val="center"/>
          </w:tcPr>
          <w:p>
            <w:r/>
            <w:r>
              <w:rPr>
                <w:b w:val="0"/>
                <w:sz w:val="15"/>
              </w:rPr>
              <w:t>Client</w:t>
            </w:r>
          </w:p>
        </w:tc>
        <w:tc>
          <w:tcPr>
            <w:tcW w:type="dxa" w:w="3389"/>
            <w:vAlign w:val="center"/>
          </w:tcPr>
          <w:p>
            <w:r/>
            <w:r>
              <w:rPr>
                <w:b w:val="0"/>
                <w:sz w:val="15"/>
              </w:rPr>
              <w:t>VS Code/CLI cannot bypass server-side policy.</w:t>
            </w:r>
          </w:p>
        </w:tc>
      </w:tr>
      <w:tr>
        <w:tc>
          <w:tcPr>
            <w:tcW w:type="dxa" w:w="3389"/>
            <w:vAlign w:val="center"/>
          </w:tcPr>
          <w:p>
            <w:r/>
            <w:r>
              <w:rPr>
                <w:b w:val="0"/>
                <w:sz w:val="15"/>
              </w:rPr>
              <w:t>SSS-A09</w:t>
            </w:r>
          </w:p>
        </w:tc>
        <w:tc>
          <w:tcPr>
            <w:tcW w:type="dxa" w:w="3389"/>
            <w:vAlign w:val="center"/>
          </w:tcPr>
          <w:p>
            <w:r/>
            <w:r>
              <w:rPr>
                <w:b w:val="0"/>
                <w:sz w:val="15"/>
              </w:rPr>
              <w:t>Recovery</w:t>
            </w:r>
          </w:p>
        </w:tc>
        <w:tc>
          <w:tcPr>
            <w:tcW w:type="dxa" w:w="3389"/>
            <w:vAlign w:val="center"/>
          </w:tcPr>
          <w:p>
            <w:r/>
            <w:r>
              <w:rPr>
                <w:b w:val="0"/>
                <w:sz w:val="15"/>
              </w:rPr>
              <w:t>Recovery cannot bypass DENY/security.</w:t>
            </w:r>
          </w:p>
        </w:tc>
      </w:tr>
      <w:tr>
        <w:tc>
          <w:tcPr>
            <w:tcW w:type="dxa" w:w="3389"/>
            <w:vAlign w:val="center"/>
          </w:tcPr>
          <w:p>
            <w:r/>
            <w:r>
              <w:rPr>
                <w:b w:val="0"/>
                <w:sz w:val="15"/>
              </w:rPr>
              <w:t>SSS-A10</w:t>
            </w:r>
          </w:p>
        </w:tc>
        <w:tc>
          <w:tcPr>
            <w:tcW w:type="dxa" w:w="3389"/>
            <w:vAlign w:val="center"/>
          </w:tcPr>
          <w:p>
            <w:r/>
            <w:r>
              <w:rPr>
                <w:b w:val="0"/>
                <w:sz w:val="15"/>
              </w:rPr>
              <w:t>Isolation</w:t>
            </w:r>
          </w:p>
        </w:tc>
        <w:tc>
          <w:tcPr>
            <w:tcW w:type="dxa" w:w="3389"/>
            <w:vAlign w:val="center"/>
          </w:tcPr>
          <w:p>
            <w:r/>
            <w:r>
              <w:rPr>
                <w:b w:val="0"/>
                <w:sz w:val="15"/>
              </w:rPr>
              <w:t>Task/project resources are isolated.</w:t>
            </w:r>
          </w:p>
        </w:tc>
      </w:tr>
      <w:tr>
        <w:tc>
          <w:tcPr>
            <w:tcW w:type="dxa" w:w="3389"/>
            <w:vAlign w:val="center"/>
          </w:tcPr>
          <w:p>
            <w:r/>
            <w:r>
              <w:rPr>
                <w:b w:val="0"/>
                <w:sz w:val="15"/>
              </w:rPr>
              <w:t>SSS-A11</w:t>
            </w:r>
          </w:p>
        </w:tc>
        <w:tc>
          <w:tcPr>
            <w:tcW w:type="dxa" w:w="3389"/>
            <w:vAlign w:val="center"/>
          </w:tcPr>
          <w:p>
            <w:r/>
            <w:r>
              <w:rPr>
                <w:b w:val="0"/>
                <w:sz w:val="15"/>
              </w:rPr>
              <w:t>Git</w:t>
            </w:r>
          </w:p>
        </w:tc>
        <w:tc>
          <w:tcPr>
            <w:tcW w:type="dxa" w:w="3389"/>
            <w:vAlign w:val="center"/>
          </w:tcPr>
          <w:p>
            <w:r/>
            <w:r>
              <w:rPr>
                <w:b w:val="0"/>
                <w:sz w:val="15"/>
              </w:rPr>
              <w:t>User changes are protected.</w:t>
            </w:r>
          </w:p>
        </w:tc>
      </w:tr>
      <w:tr>
        <w:tc>
          <w:tcPr>
            <w:tcW w:type="dxa" w:w="3389"/>
            <w:vAlign w:val="center"/>
          </w:tcPr>
          <w:p>
            <w:r/>
            <w:r>
              <w:rPr>
                <w:b w:val="0"/>
                <w:sz w:val="15"/>
              </w:rPr>
              <w:t>SSS-A12</w:t>
            </w:r>
          </w:p>
        </w:tc>
        <w:tc>
          <w:tcPr>
            <w:tcW w:type="dxa" w:w="3389"/>
            <w:vAlign w:val="center"/>
          </w:tcPr>
          <w:p>
            <w:r/>
            <w:r>
              <w:rPr>
                <w:b w:val="0"/>
                <w:sz w:val="15"/>
              </w:rPr>
              <w:t>Stop</w:t>
            </w:r>
          </w:p>
        </w:tc>
        <w:tc>
          <w:tcPr>
            <w:tcW w:type="dxa" w:w="3389"/>
            <w:vAlign w:val="center"/>
          </w:tcPr>
          <w:p>
            <w:r/>
            <w:r>
              <w:rPr>
                <w:b w:val="0"/>
                <w:sz w:val="15"/>
              </w:rPr>
              <w:t>Cancellation/emergency stop prevents new privileged actions.</w:t>
            </w:r>
          </w:p>
        </w:tc>
      </w:tr>
      <w:tr>
        <w:tc>
          <w:tcPr>
            <w:tcW w:type="dxa" w:w="3389"/>
            <w:vAlign w:val="center"/>
          </w:tcPr>
          <w:p>
            <w:r/>
            <w:r>
              <w:rPr>
                <w:b w:val="0"/>
                <w:sz w:val="15"/>
              </w:rPr>
              <w:t>SSS-A13</w:t>
            </w:r>
          </w:p>
        </w:tc>
        <w:tc>
          <w:tcPr>
            <w:tcW w:type="dxa" w:w="3389"/>
            <w:vAlign w:val="center"/>
          </w:tcPr>
          <w:p>
            <w:r/>
            <w:r>
              <w:rPr>
                <w:b w:val="0"/>
                <w:sz w:val="15"/>
              </w:rPr>
              <w:t>Audit</w:t>
            </w:r>
          </w:p>
        </w:tc>
        <w:tc>
          <w:tcPr>
            <w:tcW w:type="dxa" w:w="3389"/>
            <w:vAlign w:val="center"/>
          </w:tcPr>
          <w:p>
            <w:r/>
            <w:r>
              <w:rPr>
                <w:b w:val="0"/>
                <w:sz w:val="15"/>
              </w:rPr>
              <w:t>Critical security events are traceable.</w:t>
            </w:r>
          </w:p>
        </w:tc>
      </w:tr>
      <w:tr>
        <w:tc>
          <w:tcPr>
            <w:tcW w:type="dxa" w:w="3389"/>
            <w:vAlign w:val="center"/>
          </w:tcPr>
          <w:p>
            <w:r/>
            <w:r>
              <w:rPr>
                <w:b w:val="0"/>
                <w:sz w:val="15"/>
              </w:rPr>
              <w:t>SSS-A14</w:t>
            </w:r>
          </w:p>
        </w:tc>
        <w:tc>
          <w:tcPr>
            <w:tcW w:type="dxa" w:w="3389"/>
            <w:vAlign w:val="center"/>
          </w:tcPr>
          <w:p>
            <w:r/>
            <w:r>
              <w:rPr>
                <w:b w:val="0"/>
                <w:sz w:val="15"/>
              </w:rPr>
              <w:t>Fail closed</w:t>
            </w:r>
          </w:p>
        </w:tc>
        <w:tc>
          <w:tcPr>
            <w:tcW w:type="dxa" w:w="3389"/>
            <w:vAlign w:val="center"/>
          </w:tcPr>
          <w:p>
            <w:r/>
            <w:r>
              <w:rPr>
                <w:b w:val="0"/>
                <w:sz w:val="15"/>
              </w:rPr>
              <w:t>Critical security-control failures block unsafe execution.</w:t>
            </w:r>
          </w:p>
        </w:tc>
      </w:tr>
      <w:tr>
        <w:tc>
          <w:tcPr>
            <w:tcW w:type="dxa" w:w="3389"/>
            <w:vAlign w:val="center"/>
          </w:tcPr>
          <w:p>
            <w:r/>
            <w:r>
              <w:rPr>
                <w:b w:val="0"/>
                <w:sz w:val="15"/>
              </w:rPr>
              <w:t>SSS-A15</w:t>
            </w:r>
          </w:p>
        </w:tc>
        <w:tc>
          <w:tcPr>
            <w:tcW w:type="dxa" w:w="3389"/>
            <w:vAlign w:val="center"/>
          </w:tcPr>
          <w:p>
            <w:r/>
            <w:r>
              <w:rPr>
                <w:b w:val="0"/>
                <w:sz w:val="15"/>
              </w:rPr>
              <w:t>Testing</w:t>
            </w:r>
          </w:p>
        </w:tc>
        <w:tc>
          <w:tcPr>
            <w:tcW w:type="dxa" w:w="3389"/>
            <w:vAlign w:val="center"/>
          </w:tcPr>
          <w:p>
            <w:r/>
            <w:r>
              <w:rPr>
                <w:b w:val="0"/>
                <w:sz w:val="15"/>
              </w:rPr>
              <w:t>Mandatory security suite passes before release.</w:t>
            </w:r>
          </w:p>
        </w:tc>
      </w:tr>
    </w:tbl>
    <w:p/>
    <w:p>
      <w:pPr>
        <w:pStyle w:val="Heading1"/>
      </w:pPr>
      <w:r>
        <w:t>31. Traceability to Locked Baselines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Baseline</w:t>
            </w:r>
          </w:p>
        </w:tc>
        <w:tc>
          <w:tcPr>
            <w:tcW w:type="dxa" w:w="5083"/>
            <w:vAlign w:val="center"/>
            <w:shd w:fill="D9EAF7"/>
          </w:tcPr>
          <w:p>
            <w:r/>
            <w:r>
              <w:rPr>
                <w:b/>
                <w:sz w:val="16"/>
              </w:rPr>
              <w:t>Security/Sandbox impact</w:t>
            </w:r>
          </w:p>
        </w:tc>
      </w:tr>
      <w:tr>
        <w:tc>
          <w:tcPr>
            <w:tcW w:type="dxa" w:w="5083"/>
            <w:vAlign w:val="center"/>
          </w:tcPr>
          <w:p>
            <w:r/>
            <w:r>
              <w:rPr>
                <w:b w:val="0"/>
                <w:sz w:val="16"/>
              </w:rPr>
              <w:t>PRD v1.0</w:t>
            </w:r>
          </w:p>
        </w:tc>
        <w:tc>
          <w:tcPr>
            <w:tcW w:type="dxa" w:w="5083"/>
            <w:vAlign w:val="center"/>
          </w:tcPr>
          <w:p>
            <w:r/>
            <w:r>
              <w:rPr>
                <w:b w:val="0"/>
                <w:sz w:val="16"/>
              </w:rPr>
              <w:t>User control, safety, trusted execution and responsible autonomy.</w:t>
            </w:r>
          </w:p>
        </w:tc>
      </w:tr>
      <w:tr>
        <w:tc>
          <w:tcPr>
            <w:tcW w:type="dxa" w:w="5083"/>
            <w:vAlign w:val="center"/>
          </w:tcPr>
          <w:p>
            <w:r/>
            <w:r>
              <w:rPr>
                <w:b w:val="0"/>
                <w:sz w:val="16"/>
              </w:rPr>
              <w:t>SRS v1.0</w:t>
            </w:r>
          </w:p>
        </w:tc>
        <w:tc>
          <w:tcPr>
            <w:tcW w:type="dxa" w:w="5083"/>
            <w:vAlign w:val="center"/>
          </w:tcPr>
          <w:p>
            <w:r/>
            <w:r>
              <w:rPr>
                <w:b w:val="0"/>
                <w:sz w:val="16"/>
              </w:rPr>
              <w:t>Security, sandbox, permissions, secrets and isolation requirements.</w:t>
            </w:r>
          </w:p>
        </w:tc>
      </w:tr>
      <w:tr>
        <w:tc>
          <w:tcPr>
            <w:tcW w:type="dxa" w:w="5083"/>
            <w:vAlign w:val="center"/>
          </w:tcPr>
          <w:p>
            <w:r/>
            <w:r>
              <w:rPr>
                <w:b w:val="0"/>
                <w:sz w:val="16"/>
              </w:rPr>
              <w:t>System Architecture v1.0</w:t>
            </w:r>
          </w:p>
        </w:tc>
        <w:tc>
          <w:tcPr>
            <w:tcW w:type="dxa" w:w="5083"/>
            <w:vAlign w:val="center"/>
          </w:tcPr>
          <w:p>
            <w:r/>
            <w:r>
              <w:rPr>
                <w:b w:val="0"/>
                <w:sz w:val="16"/>
              </w:rPr>
              <w:t>Central policy, gateway, executor and sandbox boundaries.</w:t>
            </w:r>
          </w:p>
        </w:tc>
      </w:tr>
      <w:tr>
        <w:tc>
          <w:tcPr>
            <w:tcW w:type="dxa" w:w="5083"/>
            <w:vAlign w:val="center"/>
          </w:tcPr>
          <w:p>
            <w:r/>
            <w:r>
              <w:rPr>
                <w:b w:val="0"/>
                <w:sz w:val="16"/>
              </w:rPr>
              <w:t>Technical Design v1.0</w:t>
            </w:r>
          </w:p>
        </w:tc>
        <w:tc>
          <w:tcPr>
            <w:tcW w:type="dxa" w:w="5083"/>
            <w:vAlign w:val="center"/>
          </w:tcPr>
          <w:p>
            <w:r/>
            <w:r>
              <w:rPr>
                <w:b w:val="0"/>
                <w:sz w:val="16"/>
              </w:rPr>
              <w:t>Workspace/process/MCP/security component implementation boundaries.</w:t>
            </w:r>
          </w:p>
        </w:tc>
      </w:tr>
      <w:tr>
        <w:tc>
          <w:tcPr>
            <w:tcW w:type="dxa" w:w="5083"/>
            <w:vAlign w:val="center"/>
          </w:tcPr>
          <w:p>
            <w:r/>
            <w:r>
              <w:rPr>
                <w:b w:val="0"/>
                <w:sz w:val="16"/>
              </w:rPr>
              <w:t>Agent Behaviour v1.0</w:t>
            </w:r>
          </w:p>
        </w:tc>
        <w:tc>
          <w:tcPr>
            <w:tcW w:type="dxa" w:w="5083"/>
            <w:vAlign w:val="center"/>
          </w:tcPr>
          <w:p>
            <w:r/>
            <w:r>
              <w:rPr>
                <w:b w:val="0"/>
                <w:sz w:val="16"/>
              </w:rPr>
              <w:t>No bypass, safe tool use, cancellation and evidence behavior.</w:t>
            </w:r>
          </w:p>
        </w:tc>
      </w:tr>
      <w:tr>
        <w:tc>
          <w:tcPr>
            <w:tcW w:type="dxa" w:w="5083"/>
            <w:vAlign w:val="center"/>
          </w:tcPr>
          <w:p>
            <w:r/>
            <w:r>
              <w:rPr>
                <w:b w:val="0"/>
                <w:sz w:val="16"/>
              </w:rPr>
              <w:t>Tool &amp; Permission v1.0</w:t>
            </w:r>
          </w:p>
        </w:tc>
        <w:tc>
          <w:tcPr>
            <w:tcW w:type="dxa" w:w="5083"/>
            <w:vAlign w:val="center"/>
          </w:tcPr>
          <w:p>
            <w:r/>
            <w:r>
              <w:rPr>
                <w:b w:val="0"/>
                <w:sz w:val="16"/>
              </w:rPr>
              <w:t>ALLOW/ASK/DENY/RESTRICT authorization model.</w:t>
            </w:r>
          </w:p>
        </w:tc>
      </w:tr>
      <w:tr>
        <w:tc>
          <w:tcPr>
            <w:tcW w:type="dxa" w:w="5083"/>
            <w:vAlign w:val="center"/>
          </w:tcPr>
          <w:p>
            <w:r/>
            <w:r>
              <w:rPr>
                <w:b w:val="0"/>
                <w:sz w:val="16"/>
              </w:rPr>
              <w:t>Memory &amp; Context v1.0</w:t>
            </w:r>
          </w:p>
        </w:tc>
        <w:tc>
          <w:tcPr>
            <w:tcW w:type="dxa" w:w="5083"/>
            <w:vAlign w:val="center"/>
          </w:tcPr>
          <w:p>
            <w:r/>
            <w:r>
              <w:rPr>
                <w:b w:val="0"/>
                <w:sz w:val="16"/>
              </w:rPr>
              <w:t>Untrusted context, secret handling and memory authority.</w:t>
            </w:r>
          </w:p>
        </w:tc>
      </w:tr>
      <w:tr>
        <w:tc>
          <w:tcPr>
            <w:tcW w:type="dxa" w:w="5083"/>
            <w:vAlign w:val="center"/>
          </w:tcPr>
          <w:p>
            <w:r/>
            <w:r>
              <w:rPr>
                <w:b w:val="0"/>
                <w:sz w:val="16"/>
              </w:rPr>
              <w:t>Error Recovery v1.0</w:t>
            </w:r>
          </w:p>
        </w:tc>
        <w:tc>
          <w:tcPr>
            <w:tcW w:type="dxa" w:w="5083"/>
            <w:vAlign w:val="center"/>
          </w:tcPr>
          <w:p>
            <w:r/>
            <w:r>
              <w:rPr>
                <w:b w:val="0"/>
                <w:sz w:val="16"/>
              </w:rPr>
              <w:t>Security failures are blocked; recovery follows normal policy.</w:t>
            </w:r>
          </w:p>
        </w:tc>
      </w:tr>
      <w:tr>
        <w:tc>
          <w:tcPr>
            <w:tcW w:type="dxa" w:w="5083"/>
            <w:vAlign w:val="center"/>
          </w:tcPr>
          <w:p>
            <w:r/>
            <w:r>
              <w:rPr>
                <w:b w:val="0"/>
                <w:sz w:val="16"/>
              </w:rPr>
              <w:t>Testing &amp; Validation v1.0</w:t>
            </w:r>
          </w:p>
        </w:tc>
        <w:tc>
          <w:tcPr>
            <w:tcW w:type="dxa" w:w="5083"/>
            <w:vAlign w:val="center"/>
          </w:tcPr>
          <w:p>
            <w:r/>
            <w:r>
              <w:rPr>
                <w:b w:val="0"/>
                <w:sz w:val="16"/>
              </w:rPr>
              <w:t>Release-blocking security tests and acceptance gates.</w:t>
            </w:r>
          </w:p>
        </w:tc>
      </w:tr>
      <w:tr>
        <w:tc>
          <w:tcPr>
            <w:tcW w:type="dxa" w:w="5083"/>
            <w:vAlign w:val="center"/>
          </w:tcPr>
          <w:p>
            <w:r/>
            <w:r>
              <w:rPr>
                <w:b w:val="0"/>
                <w:sz w:val="16"/>
              </w:rPr>
              <w:t>Repository Blueprint v1.0</w:t>
            </w:r>
          </w:p>
        </w:tc>
        <w:tc>
          <w:tcPr>
            <w:tcW w:type="dxa" w:w="5083"/>
            <w:vAlign w:val="center"/>
          </w:tcPr>
          <w:p>
            <w:r/>
            <w:r>
              <w:rPr>
                <w:b w:val="0"/>
                <w:sz w:val="16"/>
              </w:rPr>
              <w:t>Physical placement of security/sandbox modules and tests.</w:t>
            </w:r>
          </w:p>
        </w:tc>
      </w:tr>
    </w:tbl>
    <w:p/>
    <w:p>
      <w:pPr>
        <w:pStyle w:val="Heading1"/>
      </w:pPr>
      <w:r>
        <w:t>32. Implementation Mapping</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Area</w:t>
            </w:r>
          </w:p>
        </w:tc>
        <w:tc>
          <w:tcPr>
            <w:tcW w:type="dxa" w:w="5083"/>
            <w:vAlign w:val="center"/>
            <w:shd w:fill="D9EAF7"/>
          </w:tcPr>
          <w:p>
            <w:r/>
            <w:r>
              <w:rPr>
                <w:b/>
                <w:sz w:val="16"/>
              </w:rPr>
              <w:t>Expected implementation modules</w:t>
            </w:r>
          </w:p>
        </w:tc>
      </w:tr>
      <w:tr>
        <w:tc>
          <w:tcPr>
            <w:tcW w:type="dxa" w:w="5083"/>
            <w:vAlign w:val="center"/>
          </w:tcPr>
          <w:p>
            <w:r/>
            <w:r>
              <w:rPr>
                <w:b w:val="0"/>
                <w:sz w:val="16"/>
              </w:rPr>
              <w:t>Security models</w:t>
            </w:r>
          </w:p>
        </w:tc>
        <w:tc>
          <w:tcPr>
            <w:tcW w:type="dxa" w:w="5083"/>
            <w:vAlign w:val="center"/>
          </w:tcPr>
          <w:p>
            <w:r/>
            <w:r>
              <w:rPr>
                <w:b w:val="0"/>
                <w:sz w:val="16"/>
              </w:rPr>
              <w:t>src/security/models.py</w:t>
            </w:r>
          </w:p>
        </w:tc>
      </w:tr>
      <w:tr>
        <w:tc>
          <w:tcPr>
            <w:tcW w:type="dxa" w:w="5083"/>
            <w:vAlign w:val="center"/>
          </w:tcPr>
          <w:p>
            <w:r/>
            <w:r>
              <w:rPr>
                <w:b w:val="0"/>
                <w:sz w:val="16"/>
              </w:rPr>
              <w:t>Security policy</w:t>
            </w:r>
          </w:p>
        </w:tc>
        <w:tc>
          <w:tcPr>
            <w:tcW w:type="dxa" w:w="5083"/>
            <w:vAlign w:val="center"/>
          </w:tcPr>
          <w:p>
            <w:r/>
            <w:r>
              <w:rPr>
                <w:b w:val="0"/>
                <w:sz w:val="16"/>
              </w:rPr>
              <w:t>src/security/policy.py / src/policy/...</w:t>
            </w:r>
          </w:p>
        </w:tc>
      </w:tr>
      <w:tr>
        <w:tc>
          <w:tcPr>
            <w:tcW w:type="dxa" w:w="5083"/>
            <w:vAlign w:val="center"/>
          </w:tcPr>
          <w:p>
            <w:r/>
            <w:r>
              <w:rPr>
                <w:b w:val="0"/>
                <w:sz w:val="16"/>
              </w:rPr>
              <w:t>Path/scope</w:t>
            </w:r>
          </w:p>
        </w:tc>
        <w:tc>
          <w:tcPr>
            <w:tcW w:type="dxa" w:w="5083"/>
            <w:vAlign w:val="center"/>
          </w:tcPr>
          <w:p>
            <w:r/>
            <w:r>
              <w:rPr>
                <w:b w:val="0"/>
                <w:sz w:val="16"/>
              </w:rPr>
              <w:t>src/security/scope.py</w:t>
            </w:r>
          </w:p>
        </w:tc>
      </w:tr>
      <w:tr>
        <w:tc>
          <w:tcPr>
            <w:tcW w:type="dxa" w:w="5083"/>
            <w:vAlign w:val="center"/>
          </w:tcPr>
          <w:p>
            <w:r/>
            <w:r>
              <w:rPr>
                <w:b w:val="0"/>
                <w:sz w:val="16"/>
              </w:rPr>
              <w:t>Sandbox</w:t>
            </w:r>
          </w:p>
        </w:tc>
        <w:tc>
          <w:tcPr>
            <w:tcW w:type="dxa" w:w="5083"/>
            <w:vAlign w:val="center"/>
          </w:tcPr>
          <w:p>
            <w:r/>
            <w:r>
              <w:rPr>
                <w:b w:val="0"/>
                <w:sz w:val="16"/>
              </w:rPr>
              <w:t>src/security/sandbox.py / src/execution/sandbox.py</w:t>
            </w:r>
          </w:p>
        </w:tc>
      </w:tr>
      <w:tr>
        <w:tc>
          <w:tcPr>
            <w:tcW w:type="dxa" w:w="5083"/>
            <w:vAlign w:val="center"/>
          </w:tcPr>
          <w:p>
            <w:r/>
            <w:r>
              <w:rPr>
                <w:b w:val="0"/>
                <w:sz w:val="16"/>
              </w:rPr>
              <w:t>Process controls</w:t>
            </w:r>
          </w:p>
        </w:tc>
        <w:tc>
          <w:tcPr>
            <w:tcW w:type="dxa" w:w="5083"/>
            <w:vAlign w:val="center"/>
          </w:tcPr>
          <w:p>
            <w:r/>
            <w:r>
              <w:rPr>
                <w:b w:val="0"/>
                <w:sz w:val="16"/>
              </w:rPr>
              <w:t>src/security/process.py</w:t>
            </w:r>
          </w:p>
        </w:tc>
      </w:tr>
      <w:tr>
        <w:tc>
          <w:tcPr>
            <w:tcW w:type="dxa" w:w="5083"/>
            <w:vAlign w:val="center"/>
          </w:tcPr>
          <w:p>
            <w:r/>
            <w:r>
              <w:rPr>
                <w:b w:val="0"/>
                <w:sz w:val="16"/>
              </w:rPr>
              <w:t>Secret filtering</w:t>
            </w:r>
          </w:p>
        </w:tc>
        <w:tc>
          <w:tcPr>
            <w:tcW w:type="dxa" w:w="5083"/>
            <w:vAlign w:val="center"/>
          </w:tcPr>
          <w:p>
            <w:r/>
            <w:r>
              <w:rPr>
                <w:b w:val="0"/>
                <w:sz w:val="16"/>
              </w:rPr>
              <w:t>src/security/secrets.py</w:t>
            </w:r>
          </w:p>
        </w:tc>
      </w:tr>
      <w:tr>
        <w:tc>
          <w:tcPr>
            <w:tcW w:type="dxa" w:w="5083"/>
            <w:vAlign w:val="center"/>
          </w:tcPr>
          <w:p>
            <w:r/>
            <w:r>
              <w:rPr>
                <w:b w:val="0"/>
                <w:sz w:val="16"/>
              </w:rPr>
              <w:t>Injection handling</w:t>
            </w:r>
          </w:p>
        </w:tc>
        <w:tc>
          <w:tcPr>
            <w:tcW w:type="dxa" w:w="5083"/>
            <w:vAlign w:val="center"/>
          </w:tcPr>
          <w:p>
            <w:r/>
            <w:r>
              <w:rPr>
                <w:b w:val="0"/>
                <w:sz w:val="16"/>
              </w:rPr>
              <w:t>src/security/injection.py</w:t>
            </w:r>
          </w:p>
        </w:tc>
      </w:tr>
      <w:tr>
        <w:tc>
          <w:tcPr>
            <w:tcW w:type="dxa" w:w="5083"/>
            <w:vAlign w:val="center"/>
          </w:tcPr>
          <w:p>
            <w:r/>
            <w:r>
              <w:rPr>
                <w:b w:val="0"/>
                <w:sz w:val="16"/>
              </w:rPr>
              <w:t>MCP security</w:t>
            </w:r>
          </w:p>
        </w:tc>
        <w:tc>
          <w:tcPr>
            <w:tcW w:type="dxa" w:w="5083"/>
            <w:vAlign w:val="center"/>
          </w:tcPr>
          <w:p>
            <w:r/>
            <w:r>
              <w:rPr>
                <w:b w:val="0"/>
                <w:sz w:val="16"/>
              </w:rPr>
              <w:t>src/security/mcp.py / src/tools/mcp/...</w:t>
            </w:r>
          </w:p>
        </w:tc>
      </w:tr>
      <w:tr>
        <w:tc>
          <w:tcPr>
            <w:tcW w:type="dxa" w:w="5083"/>
            <w:vAlign w:val="center"/>
          </w:tcPr>
          <w:p>
            <w:r/>
            <w:r>
              <w:rPr>
                <w:b w:val="0"/>
                <w:sz w:val="16"/>
              </w:rPr>
              <w:t>Audit</w:t>
            </w:r>
          </w:p>
        </w:tc>
        <w:tc>
          <w:tcPr>
            <w:tcW w:type="dxa" w:w="5083"/>
            <w:vAlign w:val="center"/>
          </w:tcPr>
          <w:p>
            <w:r/>
            <w:r>
              <w:rPr>
                <w:b w:val="0"/>
                <w:sz w:val="16"/>
              </w:rPr>
              <w:t>src/security/audit.py / src/audit/...</w:t>
            </w:r>
          </w:p>
        </w:tc>
      </w:tr>
      <w:tr>
        <w:tc>
          <w:tcPr>
            <w:tcW w:type="dxa" w:w="5083"/>
            <w:vAlign w:val="center"/>
          </w:tcPr>
          <w:p>
            <w:r/>
            <w:r>
              <w:rPr>
                <w:b w:val="0"/>
                <w:sz w:val="16"/>
              </w:rPr>
              <w:t>Security config</w:t>
            </w:r>
          </w:p>
        </w:tc>
        <w:tc>
          <w:tcPr>
            <w:tcW w:type="dxa" w:w="5083"/>
            <w:vAlign w:val="center"/>
          </w:tcPr>
          <w:p>
            <w:r/>
            <w:r>
              <w:rPr>
                <w:b w:val="0"/>
                <w:sz w:val="16"/>
              </w:rPr>
              <w:t>config/security/...</w:t>
            </w:r>
          </w:p>
        </w:tc>
      </w:tr>
      <w:tr>
        <w:tc>
          <w:tcPr>
            <w:tcW w:type="dxa" w:w="5083"/>
            <w:vAlign w:val="center"/>
          </w:tcPr>
          <w:p>
            <w:r/>
            <w:r>
              <w:rPr>
                <w:b w:val="0"/>
                <w:sz w:val="16"/>
              </w:rPr>
              <w:t>Security tests</w:t>
            </w:r>
          </w:p>
        </w:tc>
        <w:tc>
          <w:tcPr>
            <w:tcW w:type="dxa" w:w="5083"/>
            <w:vAlign w:val="center"/>
          </w:tcPr>
          <w:p>
            <w:r/>
            <w:r>
              <w:rPr>
                <w:b w:val="0"/>
                <w:sz w:val="16"/>
              </w:rPr>
              <w:t>tests/security/...</w:t>
            </w:r>
          </w:p>
        </w:tc>
      </w:tr>
      <w:tr>
        <w:tc>
          <w:tcPr>
            <w:tcW w:type="dxa" w:w="5083"/>
            <w:vAlign w:val="center"/>
          </w:tcPr>
          <w:p>
            <w:r/>
            <w:r>
              <w:rPr>
                <w:b w:val="0"/>
                <w:sz w:val="16"/>
              </w:rPr>
              <w:t>Sandbox fixtures</w:t>
            </w:r>
          </w:p>
        </w:tc>
        <w:tc>
          <w:tcPr>
            <w:tcW w:type="dxa" w:w="5083"/>
            <w:vAlign w:val="center"/>
          </w:tcPr>
          <w:p>
            <w:r/>
            <w:r>
              <w:rPr>
                <w:b w:val="0"/>
                <w:sz w:val="16"/>
              </w:rPr>
              <w:t>tests/fixtures/security/...</w:t>
            </w:r>
          </w:p>
        </w:tc>
      </w:tr>
    </w:tbl>
    <w:p/>
    <w:p>
      <w:r>
        <w:t>Exact filenames may evolve through implementation change control. Security boundaries, authority rules and invariants are locked.</w:t>
      </w:r>
    </w:p>
    <w:p>
      <w:pPr>
        <w:pStyle w:val="Heading1"/>
      </w:pPr>
      <w:r>
        <w:t>33. Threat-to-Control Matrix</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Threat</w:t>
            </w:r>
          </w:p>
        </w:tc>
        <w:tc>
          <w:tcPr>
            <w:tcW w:type="dxa" w:w="3389"/>
            <w:vAlign w:val="center"/>
            <w:shd w:fill="D9EAF7"/>
          </w:tcPr>
          <w:p>
            <w:r/>
            <w:r>
              <w:rPr>
                <w:b/>
                <w:sz w:val="16"/>
              </w:rPr>
              <w:t>Control</w:t>
            </w:r>
          </w:p>
        </w:tc>
        <w:tc>
          <w:tcPr>
            <w:tcW w:type="dxa" w:w="3389"/>
            <w:vAlign w:val="center"/>
            <w:shd w:fill="D9EAF7"/>
          </w:tcPr>
          <w:p>
            <w:r/>
            <w:r>
              <w:rPr>
                <w:b/>
                <w:sz w:val="16"/>
              </w:rPr>
              <w:t>Validation</w:t>
            </w:r>
          </w:p>
        </w:tc>
      </w:tr>
      <w:tr>
        <w:tc>
          <w:tcPr>
            <w:tcW w:type="dxa" w:w="3389"/>
            <w:vAlign w:val="center"/>
          </w:tcPr>
          <w:p>
            <w:r/>
            <w:r>
              <w:rPr>
                <w:b w:val="0"/>
                <w:sz w:val="16"/>
              </w:rPr>
              <w:t>Prompt injection</w:t>
            </w:r>
          </w:p>
        </w:tc>
        <w:tc>
          <w:tcPr>
            <w:tcW w:type="dxa" w:w="3389"/>
            <w:vAlign w:val="center"/>
          </w:tcPr>
          <w:p>
            <w:r/>
            <w:r>
              <w:rPr>
                <w:b w:val="0"/>
                <w:sz w:val="16"/>
              </w:rPr>
              <w:t>Untrusted-content handling + policy authority</w:t>
            </w:r>
          </w:p>
        </w:tc>
        <w:tc>
          <w:tcPr>
            <w:tcW w:type="dxa" w:w="3389"/>
            <w:vAlign w:val="center"/>
          </w:tcPr>
          <w:p>
            <w:r/>
            <w:r>
              <w:rPr>
                <w:b w:val="0"/>
                <w:sz w:val="16"/>
              </w:rPr>
              <w:t>ST-INJ</w:t>
            </w:r>
          </w:p>
        </w:tc>
      </w:tr>
      <w:tr>
        <w:tc>
          <w:tcPr>
            <w:tcW w:type="dxa" w:w="3389"/>
            <w:vAlign w:val="center"/>
          </w:tcPr>
          <w:p>
            <w:r/>
            <w:r>
              <w:rPr>
                <w:b w:val="0"/>
                <w:sz w:val="16"/>
              </w:rPr>
              <w:t>Path traversal</w:t>
            </w:r>
          </w:p>
        </w:tc>
        <w:tc>
          <w:tcPr>
            <w:tcW w:type="dxa" w:w="3389"/>
            <w:vAlign w:val="center"/>
          </w:tcPr>
          <w:p>
            <w:r/>
            <w:r>
              <w:rPr>
                <w:b w:val="0"/>
                <w:sz w:val="16"/>
              </w:rPr>
              <w:t>Canonicalization + containment</w:t>
            </w:r>
          </w:p>
        </w:tc>
        <w:tc>
          <w:tcPr>
            <w:tcW w:type="dxa" w:w="3389"/>
            <w:vAlign w:val="center"/>
          </w:tcPr>
          <w:p>
            <w:r/>
            <w:r>
              <w:rPr>
                <w:b w:val="0"/>
                <w:sz w:val="16"/>
              </w:rPr>
              <w:t>ST-SBX</w:t>
            </w:r>
          </w:p>
        </w:tc>
      </w:tr>
      <w:tr>
        <w:tc>
          <w:tcPr>
            <w:tcW w:type="dxa" w:w="3389"/>
            <w:vAlign w:val="center"/>
          </w:tcPr>
          <w:p>
            <w:r/>
            <w:r>
              <w:rPr>
                <w:b w:val="0"/>
                <w:sz w:val="16"/>
              </w:rPr>
              <w:t>Symlink escape</w:t>
            </w:r>
          </w:p>
        </w:tc>
        <w:tc>
          <w:tcPr>
            <w:tcW w:type="dxa" w:w="3389"/>
            <w:vAlign w:val="center"/>
          </w:tcPr>
          <w:p>
            <w:r/>
            <w:r>
              <w:rPr>
                <w:b w:val="0"/>
                <w:sz w:val="16"/>
              </w:rPr>
              <w:t>Effective target resolution</w:t>
            </w:r>
          </w:p>
        </w:tc>
        <w:tc>
          <w:tcPr>
            <w:tcW w:type="dxa" w:w="3389"/>
            <w:vAlign w:val="center"/>
          </w:tcPr>
          <w:p>
            <w:r/>
            <w:r>
              <w:rPr>
                <w:b w:val="0"/>
                <w:sz w:val="16"/>
              </w:rPr>
              <w:t>ST-SBX</w:t>
            </w:r>
          </w:p>
        </w:tc>
      </w:tr>
      <w:tr>
        <w:tc>
          <w:tcPr>
            <w:tcW w:type="dxa" w:w="3389"/>
            <w:vAlign w:val="center"/>
          </w:tcPr>
          <w:p>
            <w:r/>
            <w:r>
              <w:rPr>
                <w:b w:val="0"/>
                <w:sz w:val="16"/>
              </w:rPr>
              <w:t>Command bypass</w:t>
            </w:r>
          </w:p>
        </w:tc>
        <w:tc>
          <w:tcPr>
            <w:tcW w:type="dxa" w:w="3389"/>
            <w:vAlign w:val="center"/>
          </w:tcPr>
          <w:p>
            <w:r/>
            <w:r>
              <w:rPr>
                <w:b w:val="0"/>
                <w:sz w:val="16"/>
              </w:rPr>
              <w:t>Central policy + executor controls</w:t>
            </w:r>
          </w:p>
        </w:tc>
        <w:tc>
          <w:tcPr>
            <w:tcW w:type="dxa" w:w="3389"/>
            <w:vAlign w:val="center"/>
          </w:tcPr>
          <w:p>
            <w:r/>
            <w:r>
              <w:rPr>
                <w:b w:val="0"/>
                <w:sz w:val="16"/>
              </w:rPr>
              <w:t>ST-EXE</w:t>
            </w:r>
          </w:p>
        </w:tc>
      </w:tr>
      <w:tr>
        <w:tc>
          <w:tcPr>
            <w:tcW w:type="dxa" w:w="3389"/>
            <w:vAlign w:val="center"/>
          </w:tcPr>
          <w:p>
            <w:r/>
            <w:r>
              <w:rPr>
                <w:b w:val="0"/>
                <w:sz w:val="16"/>
              </w:rPr>
              <w:t>Secret leakage</w:t>
            </w:r>
          </w:p>
        </w:tc>
        <w:tc>
          <w:tcPr>
            <w:tcW w:type="dxa" w:w="3389"/>
            <w:vAlign w:val="center"/>
          </w:tcPr>
          <w:p>
            <w:r/>
            <w:r>
              <w:rPr>
                <w:b w:val="0"/>
                <w:sz w:val="16"/>
              </w:rPr>
              <w:t>Filtering/redaction</w:t>
            </w:r>
          </w:p>
        </w:tc>
        <w:tc>
          <w:tcPr>
            <w:tcW w:type="dxa" w:w="3389"/>
            <w:vAlign w:val="center"/>
          </w:tcPr>
          <w:p>
            <w:r/>
            <w:r>
              <w:rPr>
                <w:b w:val="0"/>
                <w:sz w:val="16"/>
              </w:rPr>
              <w:t>ST-EXE/ST-MEM</w:t>
            </w:r>
          </w:p>
        </w:tc>
      </w:tr>
      <w:tr>
        <w:tc>
          <w:tcPr>
            <w:tcW w:type="dxa" w:w="3389"/>
            <w:vAlign w:val="center"/>
          </w:tcPr>
          <w:p>
            <w:r/>
            <w:r>
              <w:rPr>
                <w:b w:val="0"/>
                <w:sz w:val="16"/>
              </w:rPr>
              <w:t>MCP malicious output</w:t>
            </w:r>
          </w:p>
        </w:tc>
        <w:tc>
          <w:tcPr>
            <w:tcW w:type="dxa" w:w="3389"/>
            <w:vAlign w:val="center"/>
          </w:tcPr>
          <w:p>
            <w:r/>
            <w:r>
              <w:rPr>
                <w:b w:val="0"/>
                <w:sz w:val="16"/>
              </w:rPr>
              <w:t>MCP boundary + untrusted data</w:t>
            </w:r>
          </w:p>
        </w:tc>
        <w:tc>
          <w:tcPr>
            <w:tcW w:type="dxa" w:w="3389"/>
            <w:vAlign w:val="center"/>
          </w:tcPr>
          <w:p>
            <w:r/>
            <w:r>
              <w:rPr>
                <w:b w:val="0"/>
                <w:sz w:val="16"/>
              </w:rPr>
              <w:t>ST-MCP/ST-INJ</w:t>
            </w:r>
          </w:p>
        </w:tc>
      </w:tr>
      <w:tr>
        <w:tc>
          <w:tcPr>
            <w:tcW w:type="dxa" w:w="3389"/>
            <w:vAlign w:val="center"/>
          </w:tcPr>
          <w:p>
            <w:r/>
            <w:r>
              <w:rPr>
                <w:b w:val="0"/>
                <w:sz w:val="16"/>
              </w:rPr>
              <w:t>Policy tampering</w:t>
            </w:r>
          </w:p>
        </w:tc>
        <w:tc>
          <w:tcPr>
            <w:tcW w:type="dxa" w:w="3389"/>
            <w:vAlign w:val="center"/>
          </w:tcPr>
          <w:p>
            <w:r/>
            <w:r>
              <w:rPr>
                <w:b w:val="0"/>
                <w:sz w:val="16"/>
              </w:rPr>
              <w:t>Protected configuration + fail-closed</w:t>
            </w:r>
          </w:p>
        </w:tc>
        <w:tc>
          <w:tcPr>
            <w:tcW w:type="dxa" w:w="3389"/>
            <w:vAlign w:val="center"/>
          </w:tcPr>
          <w:p>
            <w:r/>
            <w:r>
              <w:rPr>
                <w:b w:val="0"/>
                <w:sz w:val="16"/>
              </w:rPr>
              <w:t>ST-POL</w:t>
            </w:r>
          </w:p>
        </w:tc>
      </w:tr>
      <w:tr>
        <w:tc>
          <w:tcPr>
            <w:tcW w:type="dxa" w:w="3389"/>
            <w:vAlign w:val="center"/>
          </w:tcPr>
          <w:p>
            <w:r/>
            <w:r>
              <w:rPr>
                <w:b w:val="0"/>
                <w:sz w:val="16"/>
              </w:rPr>
              <w:t>Client bypass</w:t>
            </w:r>
          </w:p>
        </w:tc>
        <w:tc>
          <w:tcPr>
            <w:tcW w:type="dxa" w:w="3389"/>
            <w:vAlign w:val="center"/>
          </w:tcPr>
          <w:p>
            <w:r/>
            <w:r>
              <w:rPr>
                <w:b w:val="0"/>
                <w:sz w:val="16"/>
              </w:rPr>
              <w:t>Server-side authorization</w:t>
            </w:r>
          </w:p>
        </w:tc>
        <w:tc>
          <w:tcPr>
            <w:tcW w:type="dxa" w:w="3389"/>
            <w:vAlign w:val="center"/>
          </w:tcPr>
          <w:p>
            <w:r/>
            <w:r>
              <w:rPr>
                <w:b w:val="0"/>
                <w:sz w:val="16"/>
              </w:rPr>
              <w:t>ST-CLI</w:t>
            </w:r>
          </w:p>
        </w:tc>
      </w:tr>
      <w:tr>
        <w:tc>
          <w:tcPr>
            <w:tcW w:type="dxa" w:w="3389"/>
            <w:vAlign w:val="center"/>
          </w:tcPr>
          <w:p>
            <w:r/>
            <w:r>
              <w:rPr>
                <w:b w:val="0"/>
                <w:sz w:val="16"/>
              </w:rPr>
              <w:t>Recovery bypass</w:t>
            </w:r>
          </w:p>
        </w:tc>
        <w:tc>
          <w:tcPr>
            <w:tcW w:type="dxa" w:w="3389"/>
            <w:vAlign w:val="center"/>
          </w:tcPr>
          <w:p>
            <w:r/>
            <w:r>
              <w:rPr>
                <w:b w:val="0"/>
                <w:sz w:val="16"/>
              </w:rPr>
              <w:t>Same policy path</w:t>
            </w:r>
          </w:p>
        </w:tc>
        <w:tc>
          <w:tcPr>
            <w:tcW w:type="dxa" w:w="3389"/>
            <w:vAlign w:val="center"/>
          </w:tcPr>
          <w:p>
            <w:r/>
            <w:r>
              <w:rPr>
                <w:b w:val="0"/>
                <w:sz w:val="16"/>
              </w:rPr>
              <w:t>RT/ST</w:t>
            </w:r>
          </w:p>
        </w:tc>
      </w:tr>
      <w:tr>
        <w:tc>
          <w:tcPr>
            <w:tcW w:type="dxa" w:w="3389"/>
            <w:vAlign w:val="center"/>
          </w:tcPr>
          <w:p>
            <w:r/>
            <w:r>
              <w:rPr>
                <w:b w:val="0"/>
                <w:sz w:val="16"/>
              </w:rPr>
              <w:t>User-change loss</w:t>
            </w:r>
          </w:p>
        </w:tc>
        <w:tc>
          <w:tcPr>
            <w:tcW w:type="dxa" w:w="3389"/>
            <w:vAlign w:val="center"/>
          </w:tcPr>
          <w:p>
            <w:r/>
            <w:r>
              <w:rPr>
                <w:b w:val="0"/>
                <w:sz w:val="16"/>
              </w:rPr>
              <w:t>Git/change controls</w:t>
            </w:r>
          </w:p>
        </w:tc>
        <w:tc>
          <w:tcPr>
            <w:tcW w:type="dxa" w:w="3389"/>
            <w:vAlign w:val="center"/>
          </w:tcPr>
          <w:p>
            <w:r/>
            <w:r>
              <w:rPr>
                <w:b w:val="0"/>
                <w:sz w:val="16"/>
              </w:rPr>
              <w:t>ST-GIT</w:t>
            </w:r>
          </w:p>
        </w:tc>
      </w:tr>
      <w:tr>
        <w:tc>
          <w:tcPr>
            <w:tcW w:type="dxa" w:w="3389"/>
            <w:vAlign w:val="center"/>
          </w:tcPr>
          <w:p>
            <w:r/>
            <w:r>
              <w:rPr>
                <w:b w:val="0"/>
                <w:sz w:val="16"/>
              </w:rPr>
              <w:t>Cross-project leakage</w:t>
            </w:r>
          </w:p>
        </w:tc>
        <w:tc>
          <w:tcPr>
            <w:tcW w:type="dxa" w:w="3389"/>
            <w:vAlign w:val="center"/>
          </w:tcPr>
          <w:p>
            <w:r/>
            <w:r>
              <w:rPr>
                <w:b w:val="0"/>
                <w:sz w:val="16"/>
              </w:rPr>
              <w:t>Isolation/scoped persistence</w:t>
            </w:r>
          </w:p>
        </w:tc>
        <w:tc>
          <w:tcPr>
            <w:tcW w:type="dxa" w:w="3389"/>
            <w:vAlign w:val="center"/>
          </w:tcPr>
          <w:p>
            <w:r/>
            <w:r>
              <w:rPr>
                <w:b w:val="0"/>
                <w:sz w:val="16"/>
              </w:rPr>
              <w:t>ST-MEM</w:t>
            </w:r>
          </w:p>
        </w:tc>
      </w:tr>
      <w:tr>
        <w:tc>
          <w:tcPr>
            <w:tcW w:type="dxa" w:w="3389"/>
            <w:vAlign w:val="center"/>
          </w:tcPr>
          <w:p>
            <w:r/>
            <w:r>
              <w:rPr>
                <w:b w:val="0"/>
                <w:sz w:val="16"/>
              </w:rPr>
              <w:t>Resource abuse</w:t>
            </w:r>
          </w:p>
        </w:tc>
        <w:tc>
          <w:tcPr>
            <w:tcW w:type="dxa" w:w="3389"/>
            <w:vAlign w:val="center"/>
          </w:tcPr>
          <w:p>
            <w:r/>
            <w:r>
              <w:rPr>
                <w:b w:val="0"/>
                <w:sz w:val="16"/>
              </w:rPr>
              <w:t>Budgets/timeouts/limits</w:t>
            </w:r>
          </w:p>
        </w:tc>
        <w:tc>
          <w:tcPr>
            <w:tcW w:type="dxa" w:w="3389"/>
            <w:vAlign w:val="center"/>
          </w:tcPr>
          <w:p>
            <w:r/>
            <w:r>
              <w:rPr>
                <w:b w:val="0"/>
                <w:sz w:val="16"/>
              </w:rPr>
              <w:t>PT/ST</w:t>
            </w:r>
          </w:p>
        </w:tc>
      </w:tr>
    </w:tbl>
    <w:p/>
    <w:p>
      <w:pPr>
        <w:pStyle w:val="Heading1"/>
      </w:pPr>
      <w:r>
        <w:t>34. Change Control</w:t>
      </w:r>
    </w:p>
    <w:p>
      <w:pPr>
        <w:pStyle w:val="ListBullet"/>
        <w:spacing w:after="26"/>
      </w:pPr>
      <w:r>
        <w:t>Any change to hard security invariants requires explicit security/architecture review.</w:t>
      </w:r>
    </w:p>
    <w:p>
      <w:pPr>
        <w:pStyle w:val="ListBullet"/>
        <w:spacing w:after="26"/>
      </w:pPr>
      <w:r>
        <w:t>New tools with filesystem/process/network/destructive effects require threat analysis and security tests.</w:t>
      </w:r>
    </w:p>
    <w:p>
      <w:pPr>
        <w:pStyle w:val="ListBullet"/>
        <w:spacing w:after="26"/>
      </w:pPr>
      <w:r>
        <w:t>Sandbox implementation changes require regression testing.</w:t>
      </w:r>
    </w:p>
    <w:p>
      <w:pPr>
        <w:pStyle w:val="ListBullet"/>
        <w:spacing w:after="26"/>
      </w:pPr>
      <w:r>
        <w:t>Changes to secret handling require security review.</w:t>
      </w:r>
    </w:p>
    <w:p>
      <w:pPr>
        <w:pStyle w:val="ListBullet"/>
        <w:spacing w:after="26"/>
      </w:pPr>
      <w:r>
        <w:t>Changes to MCP capabilities require boundary and injection testing.</w:t>
      </w:r>
    </w:p>
    <w:p>
      <w:pPr>
        <w:pStyle w:val="ListBullet"/>
        <w:spacing w:after="26"/>
      </w:pPr>
      <w:r>
        <w:t>Changes to protected-path rules require policy/security review.</w:t>
      </w:r>
    </w:p>
    <w:p>
      <w:pPr>
        <w:pStyle w:val="ListBullet"/>
        <w:spacing w:after="26"/>
      </w:pPr>
      <w:r>
        <w:t>Security test removal/weakening requires formal justification and approval.</w:t>
      </w:r>
    </w:p>
    <w:p>
      <w:pPr>
        <w:pStyle w:val="ListBullet"/>
        <w:spacing w:after="26"/>
      </w:pPr>
      <w:r>
        <w:t>No implementation shortcut may create a direct executor path around the Tool Gateway.</w:t>
      </w:r>
    </w:p>
    <w:p>
      <w:pPr>
        <w:pStyle w:val="Heading1"/>
      </w:pPr>
      <w:r>
        <w:t>35. Final Status</w:t>
      </w:r>
    </w:p>
    <w:p>
      <w:r>
        <w:rPr>
          <w:b/>
        </w:rPr>
        <w:t>STATUS: FINAL / LOCKED — v1.0</w:t>
      </w:r>
    </w:p>
    <w:p>
      <w:r>
        <w:t>This Security &amp; Sandbox Specification v1.0 is the authoritative security baseline for the AI Software Co-Agent. It defines trust zones, workspace/process/network isolation, secret protection, prompt-injection resistance, MCP/client boundaries, policy authority, approvals, audit, fail-closed behavior, emergency stop, security testing and release-blocking invariants.</w:t>
      </w:r>
    </w:p>
    <w:p>
      <w:pPr>
        <w:jc w:val="center"/>
      </w:pPr>
      <w:r>
        <w:rPr>
          <w:b/>
        </w:rPr>
        <w:t>— END OF SECURITY &amp; SANDBOX SPECIFICATION v1.0 —</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Software Co-Agent • Security &amp; Sandbox Specification v1.0 • FINAL / LOCKED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