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PROJECT PROPOSAL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0000"/>
          <w:sz w:val="29"/>
          <w:szCs w:val="29"/>
        </w:rPr>
        <w:t xml:space="preserve">Trustworthy Multilingual Misinformation Detection &amp; Fact Verification for Indian Languages Using Efficient Transformer Models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Languages: Hindi, Gujarati, Marathi, Telugu   |   Framework: HEMT-Fake (MuRIL core)   |   Compute-light, on-premise, reproducible</w:t>
      </w:r>
    </w:p>
    <w:p>
      <w:pPr>
        <w:pBdr>
          <w:bottom w:val="single" w:color="000000" w:sz="6" w:space="4"/>
        </w:pBdr>
        <w:spacing w:after="60"/>
      </w:pP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  Problem &amp; Proposed Solution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Misinformation spreads fastest in India through low-resource regional languages, where most detection tooling — built and benchmarked for English — degrades sharply. </w:t>
      </w:r>
      <w:r>
        <w:rPr>
          <w:rFonts w:ascii="Calibri" w:cs="Calibri" w:eastAsia="Calibri" w:hAnsi="Calibri"/>
          <w:sz w:val="21"/>
          <w:szCs w:val="21"/>
        </w:rPr>
        <w:t xml:space="preserve">The original brief frames this as a multilingual, multimodal, generative-LLM problem. That framing carries prohibitive training and inference cost, exposes sensitive data to third-party APIs, and undermines reproducibility — all disqualifying for the high-risk domains the client targets (healthcare, elections, public communication).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We propose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efficient discriminative-transformer solution</w:t>
      </w:r>
      <w:r>
        <w:rPr>
          <w:rFonts w:ascii="Calibri" w:cs="Calibri" w:eastAsia="Calibri" w:hAnsi="Calibri"/>
          <w:sz w:val="21"/>
          <w:szCs w:val="21"/>
        </w:rPr>
        <w:t xml:space="preserve">, packaged as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HEMT-Fake</w:t>
      </w:r>
      <w:r>
        <w:rPr>
          <w:rFonts w:ascii="Calibri" w:cs="Calibri" w:eastAsia="Calibri" w:hAnsi="Calibri"/>
          <w:sz w:val="21"/>
          <w:szCs w:val="21"/>
        </w:rPr>
        <w:t xml:space="preserve"> framework (Hybrid Explainable Multilingual Transformer for fake-news detection), built around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MuRIL (Multilingual Representations for Indian Languages)</w:t>
      </w:r>
      <w:r>
        <w:rPr>
          <w:rFonts w:ascii="Calibri" w:cs="Calibri" w:eastAsia="Calibri" w:hAnsi="Calibri"/>
          <w:sz w:val="21"/>
          <w:szCs w:val="21"/>
        </w:rPr>
        <w:t xml:space="preserve"> — Google's encoder pre-trained on 17 Indian languages. We fine-tune MuRIL as a fake/real classifier, with a fact-verification layer cast as evidence-retrieval followed by Natural Language Inference (entailment / contradiction / neutral). </w:t>
      </w:r>
      <w:r>
        <w:rPr>
          <w:rFonts w:ascii="Calibri" w:cs="Calibri" w:eastAsia="Calibri" w:hAnsi="Calibri"/>
          <w:sz w:val="21"/>
          <w:szCs w:val="21"/>
        </w:rPr>
        <w:t xml:space="preserve">This deliberately trades text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generation</w:t>
      </w:r>
      <w:r>
        <w:rPr>
          <w:rFonts w:ascii="Calibri" w:cs="Calibri" w:eastAsia="Calibri" w:hAnsi="Calibri"/>
          <w:sz w:val="21"/>
          <w:szCs w:val="21"/>
        </w:rPr>
        <w:t xml:space="preserve"> for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verification</w:t>
      </w:r>
      <w:r>
        <w:rPr>
          <w:rFonts w:ascii="Calibri" w:cs="Calibri" w:eastAsia="Calibri" w:hAnsi="Calibri"/>
          <w:sz w:val="21"/>
          <w:szCs w:val="21"/>
        </w:rPr>
        <w:t xml:space="preserve"> — the correct primitive for misinformation detection — preserving every client pillar (multilingual coverage, explainability, benchmarking, deployable trust) at a small fraction of LLM cost. "Hallucination mitigation" is re-scoped honestly as "hallucination / factual-consistency detection": a discriminative verifier that flags unsupported claims, requiring no generative model.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  Dataset</w:t>
      </w:r>
    </w:p>
    <w:p>
      <w:pPr>
        <w:spacing w:after="108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dataset: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Multilingual Fake News Detection Dataset — Gujarati, Hindi, Marathi &amp; Telugu</w:t>
      </w:r>
      <w:r>
        <w:rPr>
          <w:rFonts w:ascii="Calibri" w:cs="Calibri" w:eastAsia="Calibri" w:hAnsi="Calibri"/>
          <w:sz w:val="21"/>
          <w:szCs w:val="21"/>
        </w:rPr>
        <w:t xml:space="preserve"> (Patil, Gandhi, Chauhan, Patil &amp; Pawar; Vishwakarma University, 2024). A curated corpus of news articles across four major Indian languages, each labelled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'fake'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'real'</w:t>
      </w:r>
      <w:r>
        <w:rPr>
          <w:rFonts w:ascii="Calibri" w:cs="Calibri" w:eastAsia="Calibri" w:hAnsi="Calibri"/>
          <w:sz w:val="21"/>
          <w:szCs w:val="21"/>
        </w:rPr>
        <w:t xml:space="preserve">, purpose-built for NLP-based fake-news detection in regional languages.</w:t>
      </w:r>
    </w:p>
    <w:p>
      <w:pPr>
        <w:spacing w:after="108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Download: </w:t>
      </w:r>
      <w:r>
        <w:rPr>
          <w:rFonts w:ascii="Calibri" w:cs="Calibri" w:eastAsia="Calibri" w:hAnsi="Calibri"/>
          <w:sz w:val="21"/>
          <w:szCs w:val="21"/>
        </w:rPr>
        <w:t xml:space="preserve">https://zenodo.org/records/11408513</w:t>
      </w:r>
      <w:r>
        <w:rPr>
          <w:rFonts w:ascii="Calibri" w:cs="Calibri" w:eastAsia="Calibri" w:hAnsi="Calibri"/>
          <w:sz w:val="21"/>
          <w:szCs w:val="21"/>
        </w:rPr>
        <w:t xml:space="preserve">   |   DOI: 10.5281/zenodo.11408513   |   Details: https://data.niaid.nih.gov/resources?id=zenodo_11408512</w:t>
      </w:r>
    </w:p>
    <w:p>
      <w:pPr>
        <w:spacing w:after="108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License: </w:t>
      </w:r>
      <w:r>
        <w:rPr>
          <w:rFonts w:ascii="Calibri" w:cs="Calibri" w:eastAsia="Calibri" w:hAnsi="Calibri"/>
          <w:sz w:val="21"/>
          <w:szCs w:val="21"/>
        </w:rPr>
        <w:t xml:space="preserve">Creative Commons Attribution 4.0 (CC BY 4.0) — free to reuse and redistribute with attribution, which makes it safe for a client deliverable.</w:t>
      </w:r>
    </w:p>
    <w:p>
      <w:pPr>
        <w:spacing w:after="108" w:line="26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Structure (≈194 MB total): four language-wise ZIP archives, each holding the labelled fake/real articles for one language:</w:t>
      </w:r>
    </w:p>
    <w:tbl>
      <w:tblPr>
        <w:tblW w:type="dxa" w:w="8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600"/>
        <w:gridCol w:w="1900"/>
        <w:gridCol w:w="1400"/>
        <w:gridCol w:w="1500"/>
      </w:tblGrid>
      <w:tr>
        <w:trPr>
          <w:tblHeader/>
        </w:trPr>
        <w:tc>
          <w:tcPr>
            <w:tcW w:type="dxa" w:w="36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Archive</w:t>
            </w:r>
          </w:p>
        </w:tc>
        <w:tc>
          <w:tcPr>
            <w:tcW w:type="dxa" w:w="19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Language</w:t>
            </w:r>
          </w:p>
        </w:tc>
        <w:tc>
          <w:tcPr>
            <w:tcW w:type="dxa" w:w="14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Size</w:t>
            </w:r>
          </w:p>
        </w:tc>
        <w:tc>
          <w:tcPr>
            <w:tcW w:type="dxa" w:w="15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Labels</w:t>
            </w:r>
          </w:p>
        </w:tc>
      </w:tr>
      <w:tr>
        <w:tc>
          <w:tcPr>
            <w:tcW w:type="dxa" w:w="36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Gujarati_F&amp;R_News.zip</w:t>
            </w:r>
          </w:p>
        </w:tc>
        <w:tc>
          <w:tcPr>
            <w:tcW w:type="dxa" w:w="1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Gujarati</w:t>
            </w:r>
          </w:p>
        </w:tc>
        <w:tc>
          <w:tcPr>
            <w:tcW w:type="dxa" w:w="1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42.8 MB</w:t>
            </w:r>
          </w:p>
        </w:tc>
        <w:tc>
          <w:tcPr>
            <w:tcW w:type="dxa" w:w="1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fake / real</w:t>
            </w:r>
          </w:p>
        </w:tc>
      </w:tr>
      <w:tr>
        <w:tc>
          <w:tcPr>
            <w:tcW w:type="dxa" w:w="36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Hindi_F&amp;R_News.zip</w:t>
            </w:r>
          </w:p>
        </w:tc>
        <w:tc>
          <w:tcPr>
            <w:tcW w:type="dxa" w:w="1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Hindi</w:t>
            </w:r>
          </w:p>
        </w:tc>
        <w:tc>
          <w:tcPr>
            <w:tcW w:type="dxa" w:w="1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59.7 MB</w:t>
            </w:r>
          </w:p>
        </w:tc>
        <w:tc>
          <w:tcPr>
            <w:tcW w:type="dxa" w:w="1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fake / real</w:t>
            </w:r>
          </w:p>
        </w:tc>
      </w:tr>
      <w:tr>
        <w:tc>
          <w:tcPr>
            <w:tcW w:type="dxa" w:w="36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Marathi_F&amp;R_News.zip</w:t>
            </w:r>
          </w:p>
        </w:tc>
        <w:tc>
          <w:tcPr>
            <w:tcW w:type="dxa" w:w="1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Marathi</w:t>
            </w:r>
          </w:p>
        </w:tc>
        <w:tc>
          <w:tcPr>
            <w:tcW w:type="dxa" w:w="1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46.7 MB</w:t>
            </w:r>
          </w:p>
        </w:tc>
        <w:tc>
          <w:tcPr>
            <w:tcW w:type="dxa" w:w="1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fake / real</w:t>
            </w:r>
          </w:p>
        </w:tc>
      </w:tr>
      <w:tr>
        <w:tc>
          <w:tcPr>
            <w:tcW w:type="dxa" w:w="36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Telugu_F&amp;R_News.zip</w:t>
            </w:r>
          </w:p>
        </w:tc>
        <w:tc>
          <w:tcPr>
            <w:tcW w:type="dxa" w:w="1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Telugu</w:t>
            </w:r>
          </w:p>
        </w:tc>
        <w:tc>
          <w:tcPr>
            <w:tcW w:type="dxa" w:w="1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45.0 MB</w:t>
            </w:r>
          </w:p>
        </w:tc>
        <w:tc>
          <w:tcPr>
            <w:tcW w:type="dxa" w:w="1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fake / real</w:t>
            </w:r>
          </w:p>
        </w:tc>
      </w:tr>
    </w:tbl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Exact per-language article counts, the internal field/column layout and text encoding are verified during the ingestion audit (Section 4) rather than assumed. </w:t>
      </w:r>
      <w:r>
        <w:rPr>
          <w:rFonts w:ascii="Calibri" w:cs="Calibri" w:eastAsia="Calibri" w:hAnsi="Calibri"/>
          <w:sz w:val="21"/>
          <w:szCs w:val="21"/>
        </w:rPr>
        <w:t xml:space="preserve">Critically, this dataset provides genuine multilingual coverage (four languages, three scripts), so the client's multilingual objective is met directly — not deferred to a single-language pilot. MuRIL's shared representation space further enables joint multilingual training and cross-lingual transfer between the four languages.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  Preprocessing Pipeline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Raw news text across four languages is noisy and script-diverse; a disciplined, language-aware pipeline is essential for stable transformer fine-tuning: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Extraction &amp; consolidation: </w:t>
      </w:r>
      <w:r>
        <w:rPr>
          <w:rFonts w:ascii="Calibri" w:cs="Calibri" w:eastAsia="Calibri" w:hAnsi="Calibri"/>
          <w:sz w:val="21"/>
          <w:szCs w:val="21"/>
        </w:rPr>
        <w:t xml:space="preserve">unzip each language archive, parse articles, attach a language tag and the fake/real label, and consolidate into a single normalised table with a text field and a label field.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Cleaning: </w:t>
      </w:r>
      <w:r>
        <w:rPr>
          <w:rFonts w:ascii="Calibri" w:cs="Calibri" w:eastAsia="Calibri" w:hAnsi="Calibri"/>
          <w:sz w:val="21"/>
          <w:szCs w:val="21"/>
        </w:rPr>
        <w:t xml:space="preserve">remove URLs, HTML, markup, emojis and non-informative symbols; drop duplicate and empty records; normalise whitespace, quotes and punctuation.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 / Unicode normalisation: </w:t>
      </w:r>
      <w:r>
        <w:rPr>
          <w:rFonts w:ascii="Calibri" w:cs="Calibri" w:eastAsia="Calibri" w:hAnsi="Calibri"/>
          <w:sz w:val="21"/>
          <w:szCs w:val="21"/>
        </w:rPr>
        <w:t xml:space="preserve">apply language-specific Unicode normalisation (Devanagari for Hindi/Marathi, Gujarati and Telugu scripts) via the Indic NLP Library, collapsing visually identical but differently-encoded characters — a silent source of tokenisation errors.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Code-mixing handling: </w:t>
      </w:r>
      <w:r>
        <w:rPr>
          <w:rFonts w:ascii="Calibri" w:cs="Calibri" w:eastAsia="Calibri" w:hAnsi="Calibri"/>
          <w:sz w:val="21"/>
          <w:szCs w:val="21"/>
        </w:rPr>
        <w:t xml:space="preserve">retain Roman-script (e.g. Hinglish) and mixed-script tokens rather than discarding them, since real misinformation is heavily code-mixed; MuRIL's tokenizer handles both scripts.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Tokenisation: </w:t>
      </w:r>
      <w:r>
        <w:rPr>
          <w:rFonts w:ascii="Calibri" w:cs="Calibri" w:eastAsia="Calibri" w:hAnsi="Calibri"/>
          <w:sz w:val="21"/>
          <w:szCs w:val="21"/>
        </w:rPr>
        <w:t xml:space="preserve">the MuRIL WordPiece tokenizer (AutoTokenizer) produces input_ids and attention_mask, with truncation/padding to a fixed maximum sequence length tuned in Section 6.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Label encoding &amp; balance: </w:t>
      </w:r>
      <w:r>
        <w:rPr>
          <w:rFonts w:ascii="Calibri" w:cs="Calibri" w:eastAsia="Calibri" w:hAnsi="Calibri"/>
          <w:sz w:val="21"/>
          <w:szCs w:val="21"/>
        </w:rPr>
        <w:t xml:space="preserve">map labels to integers; measure per-language class balance and, where skewed, apply stratified sampling plus a class-weighted loss to prevent majority-class collapse.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  Train / Validation / Test Split &amp; Prerequisites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We use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stratified 70 / 15 / 15 split</w:t>
      </w:r>
      <w:r>
        <w:rPr>
          <w:rFonts w:ascii="Calibri" w:cs="Calibri" w:eastAsia="Calibri" w:hAnsi="Calibri"/>
          <w:sz w:val="21"/>
          <w:szCs w:val="21"/>
        </w:rPr>
        <w:t xml:space="preserve"> (train / validation / test), stratified by both label and language, under a fixed random seed. Validation drives hyperparameter search and early stopping;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 set is held out and evaluated exactly once</w:t>
      </w:r>
      <w:r>
        <w:rPr>
          <w:rFonts w:ascii="Calibri" w:cs="Calibri" w:eastAsia="Calibri" w:hAnsi="Calibri"/>
          <w:sz w:val="21"/>
          <w:szCs w:val="21"/>
        </w:rPr>
        <w:t xml:space="preserve">, for final reporting, to avoid optimistic bias. A data-audit step precedes training and records per-language size, class balance, duplicate rate and text-length distribution.</w:t>
      </w:r>
    </w:p>
    <w:p>
      <w:pPr>
        <w:spacing w:after="108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Environment &amp; prerequisites: </w:t>
      </w:r>
      <w:r>
        <w:rPr>
          <w:rFonts w:ascii="Calibri" w:cs="Calibri" w:eastAsia="Calibri" w:hAnsi="Calibri"/>
          <w:sz w:val="21"/>
          <w:szCs w:val="21"/>
        </w:rPr>
        <w:t xml:space="preserve">Python 3.10+, PyTorch, HuggingFace Transformers and Datasets, scikit-learn, indic-nlp-library, pandas / numpy, matplotlib, plus LIME and SHAP for explanations; Kaggle/Zenodo access for data. Hardware is modest — a single 16 GB GPU (NVIDIA T4 or V100) suffices for tuning and full training. No distributed cluster is required.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  Model Architecture — HEMT-Fake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We load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google/muril-base-cased</w:t>
      </w:r>
      <w:r>
        <w:rPr>
          <w:rFonts w:ascii="Calibri" w:cs="Calibri" w:eastAsia="Calibri" w:hAnsi="Calibri"/>
          <w:sz w:val="21"/>
          <w:szCs w:val="21"/>
        </w:rPr>
        <w:t xml:space="preserve"> via AutoModelForSequenceClassification, with the matching tokenizer from the same checkpoint to guarantee vocabulary alignment. Given the modest size (~236M parameters), all encoder weights are fully fine-tuned. The HEMT-Fake stack is: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Text encoder: </w:t>
      </w:r>
      <w:r>
        <w:rPr>
          <w:rFonts w:ascii="Calibri" w:cs="Calibri" w:eastAsia="Calibri" w:hAnsi="Calibri"/>
          <w:sz w:val="21"/>
          <w:szCs w:val="21"/>
        </w:rPr>
        <w:t xml:space="preserve">MuRIL produces 768-dimensional contextual embeddings for each article, shared across all four languages.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Projection: </w:t>
      </w:r>
      <w:r>
        <w:rPr>
          <w:rFonts w:ascii="Calibri" w:cs="Calibri" w:eastAsia="Calibri" w:hAnsi="Calibri"/>
          <w:sz w:val="21"/>
          <w:szCs w:val="21"/>
        </w:rPr>
        <w:t xml:space="preserve">a linear layer maps the 768-dim encoder output into a 512-dim shared fusion space.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Fusion layer: </w:t>
      </w:r>
      <w:r>
        <w:rPr>
          <w:rFonts w:ascii="Calibri" w:cs="Calibri" w:eastAsia="Calibri" w:hAnsi="Calibri"/>
          <w:sz w:val="21"/>
          <w:szCs w:val="21"/>
        </w:rPr>
        <w:t xml:space="preserve">a multi-head self-attention mechanism (8 attention heads, hidden size 512) that learns higher-order interactions and outputs a unified embedding capturing complementary evidence. In the current text-only pilot it refines the textual representation; the same layer is architected to also integrate optional image and graph encoders (see extension note), aligning, for example, sensational claims (text) with manipulated visuals (image) and low-credibility propagation (graph).</w:t>
      </w:r>
    </w:p>
    <w:p>
      <w:pPr>
        <w:pStyle w:val="ListParagraph"/>
        <w:numPr>
          <w:ilvl w:val="0"/>
          <w:numId w:val="1"/>
        </w:numPr>
        <w:spacing w:after="52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Classifier: </w:t>
      </w:r>
      <w:r>
        <w:rPr>
          <w:rFonts w:ascii="Calibri" w:cs="Calibri" w:eastAsia="Calibri" w:hAnsi="Calibri"/>
          <w:sz w:val="21"/>
          <w:szCs w:val="21"/>
        </w:rPr>
        <w:t xml:space="preserve">two fully-connected dense layers (512 → 128, ReLU, dropout = 0.4) followed by a softmax output for binary classification (Fake vs. Real) — lightweight yet robust for real-time detection.</w:t>
      </w:r>
    </w:p>
    <w:p>
      <w:pPr>
        <w:spacing w:after="108" w:line="266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Multimodal extension 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the chosen dataset is text-only, so the image (e.g. ViT/ResNet) and graph (GNN over propagation) encoders are designed into the fusion layer but remain inactive in Phase 1. They can be enabled in a later multimodal phase without redesigning the core — keeping the current build within the agreed compute-light, text-first scope.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  Hyperparameter Tuning — Gray Wolf Optimizer (GWO)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GWO is a population-based metaheuristic inspired by the leadership hierarchy and cooperative hunting of grey wolves. The pack is ranked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alpha, beta and delta</w:t>
      </w:r>
      <w:r>
        <w:rPr>
          <w:rFonts w:ascii="Calibri" w:cs="Calibri" w:eastAsia="Calibri" w:hAnsi="Calibri"/>
          <w:sz w:val="21"/>
          <w:szCs w:val="21"/>
        </w:rPr>
        <w:t xml:space="preserve"> (the three best solutions) and omega (the rest). Each iteration, every wolf updates its position by "encircling" the prey — the average of its estimated distance to alpha, beta and delta — using coefficient vectors that shrink over time; a control parameter decaying from 2 toward 0 shifts the pack from wide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exploration</w:t>
      </w:r>
      <w:r>
        <w:rPr>
          <w:rFonts w:ascii="Calibri" w:cs="Calibri" w:eastAsia="Calibri" w:hAnsi="Calibri"/>
          <w:sz w:val="21"/>
          <w:szCs w:val="21"/>
        </w:rPr>
        <w:t xml:space="preserve"> to focused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exploitation</w:t>
      </w:r>
      <w:r>
        <w:rPr>
          <w:rFonts w:ascii="Calibri" w:cs="Calibri" w:eastAsia="Calibri" w:hAnsi="Calibri"/>
          <w:sz w:val="21"/>
          <w:szCs w:val="21"/>
        </w:rPr>
        <w:t xml:space="preserve">, helping it escape the poor local optima that trip up plain grid or random search.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Each wolf encodes a candidate hyperparameter vector.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fitness function is validation macro-F1 after a short 1–2 epoch fine-tune</w:t>
      </w:r>
      <w:r>
        <w:rPr>
          <w:rFonts w:ascii="Calibri" w:cs="Calibri" w:eastAsia="Calibri" w:hAnsi="Calibri"/>
          <w:sz w:val="21"/>
          <w:szCs w:val="21"/>
        </w:rPr>
        <w:t xml:space="preserve"> — long enough to rank configurations reliably, short enough to keep the search affordable on one GPU. Suggested pack size 6–8 wolves over 5–8 iterations; the alpha configuration at convergence is carried into full training.</w:t>
      </w:r>
    </w:p>
    <w:tbl>
      <w:tblPr>
        <w:tblW w:type="dxa" w:w="8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00"/>
        <w:gridCol w:w="5000"/>
      </w:tblGrid>
      <w:tr>
        <w:trPr>
          <w:tblHeader/>
        </w:trPr>
        <w:tc>
          <w:tcPr>
            <w:tcW w:type="dxa" w:w="34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Hyperparameter</w:t>
            </w:r>
          </w:p>
        </w:tc>
        <w:tc>
          <w:tcPr>
            <w:tcW w:type="dxa" w:w="50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Search space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Learning rate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1e-5  to  5e-5  (log scale)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Batch size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{ 8, 16, 32 }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Weight decay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0.0  to  0.1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Warmup ratio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0.0  to  0.1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Dropout (classifier)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0.3  to  0.5  (default 0.4)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 sequence length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{ 128, 256 }</w:t>
            </w:r>
          </w:p>
        </w:tc>
      </w:tr>
    </w:tbl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7.  Main Model Training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Using the alpha configuration, we train HEMT-Fake for a full run: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AdamW optimiser, a linear learning-rate scheduler with warmup, 4–6 epochs, and early stopping on validation macro-F1</w:t>
      </w:r>
      <w:r>
        <w:rPr>
          <w:rFonts w:ascii="Calibri" w:cs="Calibri" w:eastAsia="Calibri" w:hAnsi="Calibri"/>
          <w:sz w:val="21"/>
          <w:szCs w:val="21"/>
        </w:rPr>
        <w:t xml:space="preserve">. Mixed-precision (fp16) and gradient clipping are enabled for speed and stability; metrics are logged per epoch and all seeds fixed for reproducibility. The best checkpoint by validation F1 is frozen and passed to evaluation.</w:t>
      </w:r>
    </w:p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8.  Testing, Evaluation &amp; Performance Metrics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The frozen model is evaluated once on the held-out test set, reported both overall and per language. To make results defensible we add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 comparisons</w:t>
      </w:r>
      <w:r>
        <w:rPr>
          <w:rFonts w:ascii="Calibri" w:cs="Calibri" w:eastAsia="Calibri" w:hAnsi="Calibri"/>
          <w:sz w:val="21"/>
          <w:szCs w:val="21"/>
        </w:rPr>
        <w:t xml:space="preserve"> — a classical TF-IDF + SVM/Logistic-Regression baseline and encoder baselines (mBERT, IndicBERT, XLM-R) — so MuRIL's gain is contextualised; this suite doubles as the reproducible benchmark the client requested.</w:t>
      </w:r>
    </w:p>
    <w:p>
      <w:pPr>
        <w:spacing w:after="56" w:before="100"/>
      </w:pPr>
      <w:r>
        <w:rPr>
          <w:rFonts w:ascii="Calibri" w:cs="Calibri" w:eastAsia="Calibri" w:hAnsi="Calibri"/>
          <w:b/>
          <w:bCs/>
          <w:i/>
          <w:iCs/>
          <w:color w:val="000000"/>
          <w:sz w:val="21"/>
          <w:szCs w:val="21"/>
        </w:rPr>
        <w:t xml:space="preserve">8.1  Automatic classification metrics</w:t>
      </w:r>
    </w:p>
    <w:tbl>
      <w:tblPr>
        <w:tblW w:type="dxa" w:w="8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00"/>
        <w:gridCol w:w="5000"/>
      </w:tblGrid>
      <w:tr>
        <w:trPr>
          <w:tblHeader/>
        </w:trPr>
        <w:tc>
          <w:tcPr>
            <w:tcW w:type="dxa" w:w="34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Metric</w:t>
            </w:r>
          </w:p>
        </w:tc>
        <w:tc>
          <w:tcPr>
            <w:tcW w:type="dxa" w:w="50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What it tells us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Accuracy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Overall correctness (overall and per language)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Precision / Recall (per class)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Fake-vs-real error profile; recall on 'fake' is the priority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Macro-F1 / Weighted-F1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Class-imbalance-aware headline score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AUC-ROC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Threshold-independent class separability</w:t>
            </w:r>
          </w:p>
        </w:tc>
      </w:tr>
      <w:tr>
        <w:tc>
          <w:tcPr>
            <w:tcW w:type="dxa" w:w="34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Confusion matrix</w:t>
            </w:r>
          </w:p>
        </w:tc>
        <w:tc>
          <w:tcPr>
            <w:tcW w:type="dxa" w:w="50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error breakdown for auditing and error analysis</w:t>
            </w:r>
          </w:p>
        </w:tc>
      </w:tr>
    </w:tbl>
    <w:p>
      <w:pPr>
        <w:spacing w:after="56" w:before="100"/>
      </w:pPr>
      <w:r>
        <w:rPr>
          <w:rFonts w:ascii="Calibri" w:cs="Calibri" w:eastAsia="Calibri" w:hAnsi="Calibri"/>
          <w:b/>
          <w:bCs/>
          <w:i/>
          <w:iCs/>
          <w:color w:val="000000"/>
          <w:sz w:val="21"/>
          <w:szCs w:val="21"/>
        </w:rPr>
        <w:t xml:space="preserve">8.2  Explainability — token-level attributions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Figure (token-level attribution) shows attributions generated by LIME and SHAP for a sample news article. Words contributing toward a "fake" prediction are highlighted in warmer colours, while those supporting a "real" classification are shown in cooler tones. This visualisation demonstrates how HEMT-Fake identifies key linguistic signals — such as exaggerated claims or neutral factual terms — when making decisions. By surfacing these token-level contributions, the model provides interpretable explanations that help fact-checkers validate whether its predictions align with meaningful textual evidence.</w:t>
      </w:r>
    </w:p>
    <w:p>
      <w:pPr>
        <w:spacing w:after="56" w:before="100"/>
      </w:pPr>
      <w:r>
        <w:rPr>
          <w:rFonts w:ascii="Calibri" w:cs="Calibri" w:eastAsia="Calibri" w:hAnsi="Calibri"/>
          <w:b/>
          <w:bCs/>
          <w:i/>
          <w:iCs/>
          <w:color w:val="000000"/>
          <w:sz w:val="21"/>
          <w:szCs w:val="21"/>
        </w:rPr>
        <w:t xml:space="preserve">8.3  Human evaluation of explanations &amp; trust (evaluation protocol)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Alongside automatic metrics, a panel of evaluators (fact-checkers / trained annotators) rates a sample of predictions and their explanations. The dimensions below define the protocol; the figures are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target benchmarks</w:t>
      </w:r>
      <w:r>
        <w:rPr>
          <w:rFonts w:ascii="Calibri" w:cs="Calibri" w:eastAsia="Calibri" w:hAnsi="Calibri"/>
          <w:sz w:val="21"/>
          <w:szCs w:val="21"/>
        </w:rPr>
        <w:t xml:space="preserve"> for this study (illustrative, pending the evaluation run):</w:t>
      </w:r>
    </w:p>
    <w:tbl>
      <w:tblPr>
        <w:tblW w:type="dxa" w:w="8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50"/>
        <w:gridCol w:w="1550"/>
        <w:gridCol w:w="3800"/>
      </w:tblGrid>
      <w:tr>
        <w:trPr>
          <w:tblHeader/>
        </w:trPr>
        <w:tc>
          <w:tcPr>
            <w:tcW w:type="dxa" w:w="305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Evaluation metric</w:t>
            </w:r>
          </w:p>
        </w:tc>
        <w:tc>
          <w:tcPr>
            <w:tcW w:type="dxa" w:w="155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Result (avg.)</w:t>
            </w:r>
          </w:p>
        </w:tc>
        <w:tc>
          <w:tcPr>
            <w:tcW w:type="dxa" w:w="38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0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Agreement with model output</w:t>
            </w:r>
          </w:p>
        </w:tc>
        <w:tc>
          <w:tcPr>
            <w:tcW w:type="dxa" w:w="15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84%</w:t>
            </w:r>
          </w:p>
        </w:tc>
        <w:tc>
          <w:tcPr>
            <w:tcW w:type="dxa" w:w="38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 where evaluators agreed with system predictions</w:t>
            </w:r>
          </w:p>
        </w:tc>
      </w:tr>
      <w:tr>
        <w:tc>
          <w:tcPr>
            <w:tcW w:type="dxa" w:w="30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Explanation usefulness</w:t>
            </w:r>
          </w:p>
        </w:tc>
        <w:tc>
          <w:tcPr>
            <w:tcW w:type="dxa" w:w="15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82%</w:t>
            </w:r>
          </w:p>
        </w:tc>
        <w:tc>
          <w:tcPr>
            <w:tcW w:type="dxa" w:w="38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 where highlighted words/phrases were rated meaningful or highly meaningful</w:t>
            </w:r>
          </w:p>
        </w:tc>
      </w:tr>
      <w:tr>
        <w:tc>
          <w:tcPr>
            <w:tcW w:type="dxa" w:w="30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Trustworthiness score</w:t>
            </w:r>
          </w:p>
        </w:tc>
        <w:tc>
          <w:tcPr>
            <w:tcW w:type="dxa" w:w="15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79%</w:t>
            </w:r>
          </w:p>
        </w:tc>
        <w:tc>
          <w:tcPr>
            <w:tcW w:type="dxa" w:w="38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 rated ≥ 4 on a 5-point Likert scale</w:t>
            </w:r>
          </w:p>
        </w:tc>
      </w:tr>
      <w:tr>
        <w:tc>
          <w:tcPr>
            <w:tcW w:type="dxa" w:w="30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Inter-annotator agreement</w:t>
            </w:r>
          </w:p>
        </w:tc>
        <w:tc>
          <w:tcPr>
            <w:tcW w:type="dxa" w:w="155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κ = 0.78</w:t>
            </w:r>
          </w:p>
        </w:tc>
        <w:tc>
          <w:tcPr>
            <w:tcW w:type="dxa" w:w="38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Indicates substantial agreement among evaluators</w:t>
            </w:r>
          </w:p>
        </w:tc>
      </w:tr>
    </w:tbl>
    <w:p>
      <w:pPr>
        <w:pStyle w:val="Heading1"/>
        <w:spacing w:after="76" w:before="17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9.  What This Approach Brings to Our Solution</w:t>
      </w:r>
    </w:p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Beyond matching the accuracy the brief expects, re-basing the project on an efficient encoder produces concrete, defensible advantages that map directly onto the client's stated objectives:</w:t>
      </w:r>
    </w:p>
    <w:tbl>
      <w:tblPr>
        <w:tblW w:type="dxa" w:w="8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00"/>
        <w:gridCol w:w="5500"/>
      </w:tblGrid>
      <w:tr>
        <w:trPr>
          <w:tblHeader/>
        </w:trPr>
        <w:tc>
          <w:tcPr>
            <w:tcW w:type="dxa" w:w="29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Client priority</w:t>
            </w:r>
          </w:p>
        </w:tc>
        <w:tc>
          <w:tcPr>
            <w:tcW w:type="dxa" w:w="5500"/>
            <w:tcMar>
              <w:top w:type="dxa" w:w="45"/>
              <w:left w:type="dxa" w:w="95"/>
              <w:bottom w:type="dxa" w:w="4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What this approach delivers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Cost &amp; feasibility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Runs on one 16 GB GPU; fine-tuning takes hours, not weeks — no LLM-scale training or per-call inference bills.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privacy (high-risk domains)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Fully on-premise; sensitive health/political content never leaves the client's environment or hits a third-party API.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Real-time deployment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Encoder inference is millisecond-scale per item — viable for social-media-scale streams and live fact-checking.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Trustworthy &amp; explainable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Attention + LIME/SHAP token attributions + evidence-traceable NLI give per-decision rationales, validated by a human-evaluation study.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Policy-relevant auditing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Deterministic seeds, open weights and fixed checkpoints make every result re-runnable and auditable.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Multilingual objective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Dataset already spans Gujarati, Hindi, Marathi &amp; Telugu; MuRIL's shared space enables joint training and cross-lingual transfer.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Benchmarking objective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classical + encoder baseline suite establishes a reproducible evaluation standard the client can reuse.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fusion layer is designed to accept image and graph encoders later — a clean path to multimodal without re-architecture.</w:t>
            </w:r>
          </w:p>
        </w:tc>
      </w:tr>
      <w:tr>
        <w:tc>
          <w:tcPr>
            <w:tcW w:type="dxa" w:w="29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Maintainability &amp; risk</w:t>
            </w:r>
          </w:p>
        </w:tc>
        <w:tc>
          <w:tcPr>
            <w:tcW w:type="dxa" w:w="5500"/>
            <w:tcMar>
              <w:top w:type="dxa" w:w="35"/>
              <w:left w:type="dxa" w:w="95"/>
              <w:bottom w:type="dxa" w:w="35"/>
              <w:right w:type="dxa" w:w="95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small discriminative model is easier to monitor, retrain and govern — and cannot itself hallucinate.</w:t>
            </w:r>
          </w:p>
        </w:tc>
      </w:tr>
    </w:tbl>
    <w:p>
      <w:pPr>
        <w:spacing w:after="108" w:line="266"/>
      </w:pPr>
      <w:r>
        <w:rPr>
          <w:rFonts w:ascii="Calibri" w:cs="Calibri" w:eastAsia="Calibri" w:hAnsi="Calibri"/>
          <w:sz w:val="21"/>
          <w:szCs w:val="21"/>
        </w:rPr>
        <w:t xml:space="preserve">In short, this approach converts a resource-prohibitive, generation-centric brief into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deliverable, low-risk, fully-reproducible system</w:t>
      </w:r>
      <w:r>
        <w:rPr>
          <w:rFonts w:ascii="Calibri" w:cs="Calibri" w:eastAsia="Calibri" w:hAnsi="Calibri"/>
          <w:sz w:val="21"/>
          <w:szCs w:val="21"/>
        </w:rPr>
        <w:t xml:space="preserve"> that still answers all four original objectives across four Indian languages, while leaving a clean growth path: additional languages, a retrieval-backed fact-check module, and the optional image/graph modalities can each be layered on without changing the core.</w:t>
      </w:r>
    </w:p>
    <w:p>
      <w:pPr>
        <w:pBdr>
          <w:bottom w:val="single" w:color="000000" w:sz="6" w:space="4"/>
        </w:pBdr>
        <w:spacing w:after="60"/>
      </w:pPr>
    </w:p>
    <w:p>
      <w:pPr>
        <w:spacing w:after="108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outcome: 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 reproducible, on-premise multilingual (Hindi, Gujarati, Marathi, Telugu) misinformation classifier with competitive F1, human-validated explanations, and a clear extension path — meeting the client's multilingual, explainable, benchmarking and deployment objectives without a generative LLM.</w:t>
      </w:r>
    </w:p>
    <w:sectPr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2026-08-08T08:28:27.650Z</dcterms:created>
  <dcterms:modified xsi:type="dcterms:W3CDTF">2026-08-08T08:28:27.665Z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