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120" w:before="0"/>
        <w:jc w:val="center"/>
      </w:pPr>
      <w:r>
        <w:rPr>
          <w:rFonts w:ascii="Calibri" w:cs="Calibri" w:eastAsia="Calibri" w:hAnsi="Calibri"/>
          <w:b/>
          <w:bCs/>
          <w:caps/>
          <w:color w:val="2E75B6"/>
          <w:sz w:val="20"/>
          <w:szCs w:val="20"/>
        </w:rPr>
        <w:t xml:space="preserve">RESEARCH PROPOSAL</w:t>
      </w:r>
    </w:p>
    <w:p>
      <w:pPr>
        <w:spacing w:after="60" w:before="6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Adaptive Multi-Disease Clinical Risk Prediction Using a PSO-Optimized Tabular Foundation Model with Explainable AI</w:t>
      </w:r>
    </w:p>
    <w:p>
      <w:pPr>
        <w:spacing w:after="400" w:before="120"/>
        <w:jc w:val="center"/>
      </w:pPr>
      <w:r>
        <w:rPr>
          <w:rFonts w:ascii="Calibri" w:cs="Calibri" w:eastAsia="Calibri" w:hAnsi="Calibri"/>
          <w:i/>
          <w:iCs/>
          <w:color w:val="2E5FA3"/>
          <w:sz w:val="24"/>
          <w:szCs w:val="24"/>
        </w:rPr>
        <w:t xml:space="preserve">Leveraging the CDC BRFSS 2023 Dataset with TabPFN v2 and Particle Swarm Optimization</w:t>
      </w:r>
    </w:p>
    <w:p>
      <w:pPr>
        <w:spacing w:after="400" w:before="0"/>
        <w:jc w:val="center"/>
      </w:pPr>
      <w:r>
        <w:rPr>
          <w:rFonts w:ascii="Calibri" w:cs="Calibri" w:eastAsia="Calibri" w:hAnsi="Calibri"/>
          <w:color w:val="2E75B6"/>
          <w:sz w:val="24"/>
          <w:szCs w:val="24"/>
        </w:rPr>
        <w:t xml:space="preserve">_______________________________________________</w:t>
      </w:r>
    </w:p>
    <w:p>
      <w:pPr>
        <w:spacing w:after="40" w:before="40"/>
        <w:jc w:val="center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Submitted for Review — 2026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1.  Background &amp; Motivation</w:t>
      </w:r>
    </w:p>
    <w:p>
      <w:pPr>
        <w:spacing w:after="40" w:before="40"/>
      </w:pPr>
      <w:r>
        <w:t xml:space="preserve"/>
      </w:r>
    </w:p>
    <w:p>
      <w:pPr>
        <w:spacing w:after="60" w:before="60"/>
        <w:jc w:val="both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Clinical risk prediction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sits at the intersection of machine learning and translational medicine. Despite decades of research, deployed systems still struggle with three persistent challenges: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generalizability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across hospital systems and demographic groups;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trustworthiness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as regulators and clinicians demand interpretable outputs; and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adaptability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to multi-disease settings without retraining from scratch.</w:t>
      </w:r>
    </w:p>
    <w:p>
      <w:pPr>
        <w:spacing w:after="40" w:before="40"/>
      </w:pPr>
      <w:r>
        <w:t xml:space="preserve"/>
      </w:r>
    </w:p>
    <w:p>
      <w:pPr>
        <w:spacing w:after="60" w:before="60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Recent advances in tabular foundation models — most notably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TabPFN v2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(Hollmann et al., 2025) — offer a compelling new paradigm: a transformer pretrained on millions of synthetic tables that performs </w:t>
      </w:r>
      <w:r>
        <w:rPr>
          <w:rFonts w:ascii="Calibri" w:cs="Calibri" w:eastAsia="Calibri" w:hAnsi="Calibri"/>
          <w:i/>
          <w:iCs/>
          <w:color w:val="444444"/>
          <w:sz w:val="22"/>
          <w:szCs w:val="22"/>
        </w:rPr>
        <w:t xml:space="preserve">in-context classification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without any per-dataset gradient descent. This positions TabPFN as a practical transfer-learning engine for clinical tabular data.</w:t>
      </w:r>
    </w:p>
    <w:p>
      <w:pPr>
        <w:spacing w:after="40" w:before="40"/>
      </w:pPr>
      <w:r>
        <w:t xml:space="preserve"/>
      </w:r>
    </w:p>
    <w:p>
      <w:pPr>
        <w:spacing w:after="60" w:before="60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This proposal introduces a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unified, explainable prediction framework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that simultaneously targets three high-burden chronic conditions —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diabetes, hypertension, and stroke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— from the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CDC Behavioral Risk Factor Surveillance System (BRFSS) 2023 dataset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(the most comprehensive and recent nationally representative U.S. health survey available on Kaggle). A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Particle Swarm Optimization (PSO)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meta-optimizer tunes TabPFN's configurable space and the feature subset jointly, while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SHAP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provides clinician-readable explanations at both the cohort and individual patient level.</w:t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2.  Design at a Glance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4680"/>
      </w:tblGrid>
      <w:tr>
        <w:trPr>
          <w:tblHeader/>
        </w:trPr>
        <w:tc>
          <w:tcPr>
            <w:tcW w:type="dxa" w:w="18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8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468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800"/>
            <w:tcBorders>
              <w:top w:val="single" w:color="C5D8F0" w:sz="4"/>
              <w:left w:val="single" w:color="C5D8F0" w:sz="4"/>
              <w:bottom w:val="single" w:color="C5D8F0" w:sz="4"/>
              <w:right w:val="single" w:color="C5D8F0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Dataset</w:t>
            </w:r>
          </w:p>
        </w:tc>
        <w:tc>
          <w:tcPr>
            <w:tcW w:type="dxa" w:w="2880"/>
            <w:tcBorders>
              <w:top w:val="single" w:color="C5D8F0" w:sz="4"/>
              <w:left w:val="single" w:color="C5D8F0" w:sz="4"/>
              <w:bottom w:val="single" w:color="C5D8F0" w:sz="4"/>
              <w:right w:val="single" w:color="C5D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CDC BRFSS 2023 (Kaggle: alphiree/cardiovascular-disease-dataset)</w:t>
            </w:r>
          </w:p>
        </w:tc>
        <w:tc>
          <w:tcPr>
            <w:tcW w:type="dxa" w:w="4680"/>
            <w:tcBorders>
              <w:top w:val="single" w:color="C5D8F0" w:sz="4"/>
              <w:left w:val="single" w:color="C5D8F0" w:sz="4"/>
              <w:bottom w:val="single" w:color="C5D8F0" w:sz="4"/>
              <w:right w:val="single" w:color="C5D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500 000+ survey records, 19 mixed clinical &amp; lifestyle features, three disease targets; most recent BRFSS release publicly available; nationally representative &amp; heterogeneous.</w:t>
            </w:r>
          </w:p>
        </w:tc>
      </w:tr>
      <w:tr>
        <w:tc>
          <w:tcPr>
            <w:tcW w:type="dxa" w:w="1800"/>
            <w:tcBorders>
              <w:top w:val="single" w:color="C5D8F0" w:sz="4"/>
              <w:left w:val="single" w:color="C5D8F0" w:sz="4"/>
              <w:bottom w:val="single" w:color="C5D8F0" w:sz="4"/>
              <w:right w:val="single" w:color="C5D8F0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Model</w:t>
            </w:r>
          </w:p>
        </w:tc>
        <w:tc>
          <w:tcPr>
            <w:tcW w:type="dxa" w:w="2880"/>
            <w:tcBorders>
              <w:top w:val="single" w:color="C5D8F0" w:sz="4"/>
              <w:left w:val="single" w:color="C5D8F0" w:sz="4"/>
              <w:bottom w:val="single" w:color="C5D8F0" w:sz="4"/>
              <w:right w:val="single" w:color="C5D8F0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TabPFN v2 (tabular foundation model)</w:t>
            </w:r>
          </w:p>
        </w:tc>
        <w:tc>
          <w:tcPr>
            <w:tcW w:type="dxa" w:w="4680"/>
            <w:tcBorders>
              <w:top w:val="single" w:color="C5D8F0" w:sz="4"/>
              <w:left w:val="single" w:color="C5D8F0" w:sz="4"/>
              <w:bottom w:val="single" w:color="C5D8F0" w:sz="4"/>
              <w:right w:val="single" w:color="C5D8F0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Pretrained transformer; in-context transfer in one forward pass; SOTA on small-medium tabular; robust to imbalance &amp; mixed types; no per-dataset training loop required.</w:t>
            </w:r>
          </w:p>
        </w:tc>
      </w:tr>
      <w:tr>
        <w:tc>
          <w:tcPr>
            <w:tcW w:type="dxa" w:w="1800"/>
            <w:tcBorders>
              <w:top w:val="single" w:color="C5D8F0" w:sz="4"/>
              <w:left w:val="single" w:color="C5D8F0" w:sz="4"/>
              <w:bottom w:val="single" w:color="C5D8F0" w:sz="4"/>
              <w:right w:val="single" w:color="C5D8F0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Optimizer</w:t>
            </w:r>
          </w:p>
        </w:tc>
        <w:tc>
          <w:tcPr>
            <w:tcW w:type="dxa" w:w="2880"/>
            <w:tcBorders>
              <w:top w:val="single" w:color="C5D8F0" w:sz="4"/>
              <w:left w:val="single" w:color="C5D8F0" w:sz="4"/>
              <w:bottom w:val="single" w:color="C5D8F0" w:sz="4"/>
              <w:right w:val="single" w:color="C5D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Particle Swarm Optimization (PSO)</w:t>
            </w:r>
          </w:p>
        </w:tc>
        <w:tc>
          <w:tcPr>
            <w:tcW w:type="dxa" w:w="4680"/>
            <w:tcBorders>
              <w:top w:val="single" w:color="C5D8F0" w:sz="4"/>
              <w:left w:val="single" w:color="C5D8F0" w:sz="4"/>
              <w:bottom w:val="single" w:color="C5D8F0" w:sz="4"/>
              <w:right w:val="single" w:color="C5D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Gradient-free swarm search over TabPFN's configurable space + feature subset; handles non-differentiable CV objective; escapes local optima better than grid/random search.</w:t>
            </w:r>
          </w:p>
        </w:tc>
      </w:tr>
      <w:tr>
        <w:tc>
          <w:tcPr>
            <w:tcW w:type="dxa" w:w="1800"/>
            <w:tcBorders>
              <w:top w:val="single" w:color="C5D8F0" w:sz="4"/>
              <w:left w:val="single" w:color="C5D8F0" w:sz="4"/>
              <w:bottom w:val="single" w:color="C5D8F0" w:sz="4"/>
              <w:right w:val="single" w:color="C5D8F0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Explainability</w:t>
            </w:r>
          </w:p>
        </w:tc>
        <w:tc>
          <w:tcPr>
            <w:tcW w:type="dxa" w:w="2880"/>
            <w:tcBorders>
              <w:top w:val="single" w:color="C5D8F0" w:sz="4"/>
              <w:left w:val="single" w:color="C5D8F0" w:sz="4"/>
              <w:bottom w:val="single" w:color="C5D8F0" w:sz="4"/>
              <w:right w:val="single" w:color="C5D8F0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SHAP + Partial Dependence Plots</w:t>
            </w:r>
          </w:p>
        </w:tc>
        <w:tc>
          <w:tcPr>
            <w:tcW w:type="dxa" w:w="4680"/>
            <w:tcBorders>
              <w:top w:val="single" w:color="C5D8F0" w:sz="4"/>
              <w:left w:val="single" w:color="C5D8F0" w:sz="4"/>
              <w:bottom w:val="single" w:color="C5D8F0" w:sz="4"/>
              <w:right w:val="single" w:color="C5D8F0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Model-agnostic attribution for a black-box transformer; clinician-readable global and per-patient reasoning; face-validity cross-check.</w:t>
            </w:r>
          </w:p>
        </w:tc>
      </w:tr>
      <w:tr>
        <w:tc>
          <w:tcPr>
            <w:tcW w:type="dxa" w:w="1800"/>
            <w:tcBorders>
              <w:top w:val="single" w:color="C5D8F0" w:sz="4"/>
              <w:left w:val="single" w:color="C5D8F0" w:sz="4"/>
              <w:bottom w:val="single" w:color="C5D8F0" w:sz="4"/>
              <w:right w:val="single" w:color="C5D8F0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Validation</w:t>
            </w:r>
          </w:p>
        </w:tc>
        <w:tc>
          <w:tcPr>
            <w:tcW w:type="dxa" w:w="2880"/>
            <w:tcBorders>
              <w:top w:val="single" w:color="C5D8F0" w:sz="4"/>
              <w:left w:val="single" w:color="C5D8F0" w:sz="4"/>
              <w:bottom w:val="single" w:color="C5D8F0" w:sz="4"/>
              <w:right w:val="single" w:color="C5D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Repeated stratified k-fold CV + external holdout</w:t>
            </w:r>
          </w:p>
        </w:tc>
        <w:tc>
          <w:tcPr>
            <w:tcW w:type="dxa" w:w="4680"/>
            <w:tcBorders>
              <w:top w:val="single" w:color="C5D8F0" w:sz="4"/>
              <w:left w:val="single" w:color="C5D8F0" w:sz="4"/>
              <w:bottom w:val="single" w:color="C5D8F0" w:sz="4"/>
              <w:right w:val="single" w:color="C5D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Demonstrates generalizability across three disease tasks and population sub-groups; nested CV avoids optimistic bias from PSO search.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3.  Dataset — CDC BRFSS 2023</w:t>
      </w:r>
    </w:p>
    <w:p>
      <w:pPr>
        <w:spacing w:after="40" w:before="40"/>
      </w:pPr>
      <w:r>
        <w:t xml:space="preserve"/>
      </w:r>
    </w:p>
    <w:p>
      <w:pPr>
        <w:spacing w:after="60" w:before="60"/>
        <w:jc w:val="both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Source: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CDC Behavioral Risk Factor Surveillance System 2023, hosted on Kaggle (</w:t>
      </w:r>
      <w:r>
        <w:rPr>
          <w:rFonts w:ascii="Calibri" w:cs="Calibri" w:eastAsia="Calibri" w:hAnsi="Calibri"/>
          <w:i/>
          <w:iCs/>
          <w:color w:val="444444"/>
          <w:sz w:val="22"/>
          <w:szCs w:val="22"/>
        </w:rPr>
        <w:t xml:space="preserve">alphiree/cardiovascular-disease-dataset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). The BRFSS is the world's largest continuously conducted health survey system, collecting data from more than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500,000 U.S. adults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annually via telephone interviews.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5FA3"/>
          <w:sz w:val="24"/>
          <w:szCs w:val="24"/>
        </w:rPr>
        <w:t xml:space="preserve">3.1  Why BRFSS 2023?</w:t>
      </w:r>
    </w:p>
    <w:p>
      <w:pPr>
        <w:spacing w:after="60" w:before="60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BRFSS 2023 supersedes the widely used BRFSS 2015 subset (prosperchuks/health-dataset) in every dimension relevant to this work: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12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BRFSS 2015 (old)</w:t>
            </w:r>
          </w:p>
        </w:tc>
        <w:tc>
          <w:tcPr>
            <w:tcW w:type="dxa" w:w="312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BRFSS 2023 (this work)</w:t>
            </w:r>
          </w:p>
        </w:tc>
      </w:tr>
      <w:tr>
        <w:tc>
          <w:tcPr>
            <w:tcW w:type="dxa" w:w="3120"/>
            <w:tcBorders>
              <w:top w:val="single" w:color="C5D8F0" w:sz="4"/>
              <w:left w:val="single" w:color="C5D8F0" w:sz="4"/>
              <w:bottom w:val="single" w:color="C5D8F0" w:sz="4"/>
              <w:right w:val="single" w:color="C5D8F0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Survey year</w:t>
            </w:r>
          </w:p>
        </w:tc>
        <w:tc>
          <w:tcPr>
            <w:tcW w:type="dxa" w:w="3120"/>
            <w:tcBorders>
              <w:top w:val="single" w:color="C5D8F0" w:sz="4"/>
              <w:left w:val="single" w:color="C5D8F0" w:sz="4"/>
              <w:bottom w:val="single" w:color="C5D8F0" w:sz="4"/>
              <w:right w:val="single" w:color="C5D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2015</w:t>
            </w:r>
          </w:p>
        </w:tc>
        <w:tc>
          <w:tcPr>
            <w:tcW w:type="dxa" w:w="3120"/>
            <w:tcBorders>
              <w:top w:val="single" w:color="C5D8F0" w:sz="4"/>
              <w:left w:val="single" w:color="C5D8F0" w:sz="4"/>
              <w:bottom w:val="single" w:color="C5D8F0" w:sz="4"/>
              <w:right w:val="single" w:color="C5D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2023</w:t>
            </w:r>
          </w:p>
        </w:tc>
      </w:tr>
      <w:tr>
        <w:tc>
          <w:tcPr>
            <w:tcW w:type="dxa" w:w="3120"/>
            <w:tcBorders>
              <w:top w:val="single" w:color="C5D8F0" w:sz="4"/>
              <w:left w:val="single" w:color="C5D8F0" w:sz="4"/>
              <w:bottom w:val="single" w:color="C5D8F0" w:sz="4"/>
              <w:right w:val="single" w:color="C5D8F0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Records</w:t>
            </w:r>
          </w:p>
        </w:tc>
        <w:tc>
          <w:tcPr>
            <w:tcW w:type="dxa" w:w="3120"/>
            <w:tcBorders>
              <w:top w:val="single" w:color="C5D8F0" w:sz="4"/>
              <w:left w:val="single" w:color="C5D8F0" w:sz="4"/>
              <w:bottom w:val="single" w:color="C5D8F0" w:sz="4"/>
              <w:right w:val="single" w:color="C5D8F0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~70,000 (cleaned subset)</w:t>
            </w:r>
          </w:p>
        </w:tc>
        <w:tc>
          <w:tcPr>
            <w:tcW w:type="dxa" w:w="3120"/>
            <w:tcBorders>
              <w:top w:val="single" w:color="C5D8F0" w:sz="4"/>
              <w:left w:val="single" w:color="C5D8F0" w:sz="4"/>
              <w:bottom w:val="single" w:color="C5D8F0" w:sz="4"/>
              <w:right w:val="single" w:color="C5D8F0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500,000+ (full release)</w:t>
            </w:r>
          </w:p>
        </w:tc>
      </w:tr>
      <w:tr>
        <w:tc>
          <w:tcPr>
            <w:tcW w:type="dxa" w:w="3120"/>
            <w:tcBorders>
              <w:top w:val="single" w:color="C5D8F0" w:sz="4"/>
              <w:left w:val="single" w:color="C5D8F0" w:sz="4"/>
              <w:bottom w:val="single" w:color="C5D8F0" w:sz="4"/>
              <w:right w:val="single" w:color="C5D8F0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Features</w:t>
            </w:r>
          </w:p>
        </w:tc>
        <w:tc>
          <w:tcPr>
            <w:tcW w:type="dxa" w:w="3120"/>
            <w:tcBorders>
              <w:top w:val="single" w:color="C5D8F0" w:sz="4"/>
              <w:left w:val="single" w:color="C5D8F0" w:sz="4"/>
              <w:bottom w:val="single" w:color="C5D8F0" w:sz="4"/>
              <w:right w:val="single" w:color="C5D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18–21 indicators</w:t>
            </w:r>
          </w:p>
        </w:tc>
        <w:tc>
          <w:tcPr>
            <w:tcW w:type="dxa" w:w="3120"/>
            <w:tcBorders>
              <w:top w:val="single" w:color="C5D8F0" w:sz="4"/>
              <w:left w:val="single" w:color="C5D8F0" w:sz="4"/>
              <w:bottom w:val="single" w:color="C5D8F0" w:sz="4"/>
              <w:right w:val="single" w:color="C5D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19 harmonised + new cardiometabolic flags</w:t>
            </w:r>
          </w:p>
        </w:tc>
      </w:tr>
      <w:tr>
        <w:tc>
          <w:tcPr>
            <w:tcW w:type="dxa" w:w="3120"/>
            <w:tcBorders>
              <w:top w:val="single" w:color="C5D8F0" w:sz="4"/>
              <w:left w:val="single" w:color="C5D8F0" w:sz="4"/>
              <w:bottom w:val="single" w:color="C5D8F0" w:sz="4"/>
              <w:right w:val="single" w:color="C5D8F0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Disease labels</w:t>
            </w:r>
          </w:p>
        </w:tc>
        <w:tc>
          <w:tcPr>
            <w:tcW w:type="dxa" w:w="3120"/>
            <w:tcBorders>
              <w:top w:val="single" w:color="C5D8F0" w:sz="4"/>
              <w:left w:val="single" w:color="C5D8F0" w:sz="4"/>
              <w:bottom w:val="single" w:color="C5D8F0" w:sz="4"/>
              <w:right w:val="single" w:color="C5D8F0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 (diabetes, HTN, stroke)</w:t>
            </w:r>
          </w:p>
        </w:tc>
        <w:tc>
          <w:tcPr>
            <w:tcW w:type="dxa" w:w="3120"/>
            <w:tcBorders>
              <w:top w:val="single" w:color="C5D8F0" w:sz="4"/>
              <w:left w:val="single" w:color="C5D8F0" w:sz="4"/>
              <w:bottom w:val="single" w:color="C5D8F0" w:sz="4"/>
              <w:right w:val="single" w:color="C5D8F0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 + CHD / mental health indicators</w:t>
            </w:r>
          </w:p>
        </w:tc>
      </w:tr>
      <w:tr>
        <w:tc>
          <w:tcPr>
            <w:tcW w:type="dxa" w:w="3120"/>
            <w:tcBorders>
              <w:top w:val="single" w:color="C5D8F0" w:sz="4"/>
              <w:left w:val="single" w:color="C5D8F0" w:sz="4"/>
              <w:bottom w:val="single" w:color="C5D8F0" w:sz="4"/>
              <w:right w:val="single" w:color="C5D8F0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3120"/>
            <w:tcBorders>
              <w:top w:val="single" w:color="C5D8F0" w:sz="4"/>
              <w:left w:val="single" w:color="C5D8F0" w:sz="4"/>
              <w:bottom w:val="single" w:color="C5D8F0" w:sz="4"/>
              <w:right w:val="single" w:color="C5D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Kaggle subset only</w:t>
            </w:r>
          </w:p>
        </w:tc>
        <w:tc>
          <w:tcPr>
            <w:tcW w:type="dxa" w:w="3120"/>
            <w:tcBorders>
              <w:top w:val="single" w:color="C5D8F0" w:sz="4"/>
              <w:left w:val="single" w:color="C5D8F0" w:sz="4"/>
              <w:bottom w:val="single" w:color="C5D8F0" w:sz="4"/>
              <w:right w:val="single" w:color="C5D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Full CDC release + Kaggle mirror</w:t>
            </w:r>
          </w:p>
        </w:tc>
      </w:tr>
      <w:tr>
        <w:tc>
          <w:tcPr>
            <w:tcW w:type="dxa" w:w="3120"/>
            <w:tcBorders>
              <w:top w:val="single" w:color="C5D8F0" w:sz="4"/>
              <w:left w:val="single" w:color="C5D8F0" w:sz="4"/>
              <w:bottom w:val="single" w:color="C5D8F0" w:sz="4"/>
              <w:right w:val="single" w:color="C5D8F0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Recency</w:t>
            </w:r>
          </w:p>
        </w:tc>
        <w:tc>
          <w:tcPr>
            <w:tcW w:type="dxa" w:w="3120"/>
            <w:tcBorders>
              <w:top w:val="single" w:color="C5D8F0" w:sz="4"/>
              <w:left w:val="single" w:color="C5D8F0" w:sz="4"/>
              <w:bottom w:val="single" w:color="C5D8F0" w:sz="4"/>
              <w:right w:val="single" w:color="C5D8F0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9 years old</w:t>
            </w:r>
          </w:p>
        </w:tc>
        <w:tc>
          <w:tcPr>
            <w:tcW w:type="dxa" w:w="3120"/>
            <w:tcBorders>
              <w:top w:val="single" w:color="C5D8F0" w:sz="4"/>
              <w:left w:val="single" w:color="C5D8F0" w:sz="4"/>
              <w:bottom w:val="single" w:color="C5D8F0" w:sz="4"/>
              <w:right w:val="single" w:color="C5D8F0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 years old (post-COVID era)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5FA3"/>
          <w:sz w:val="24"/>
          <w:szCs w:val="24"/>
        </w:rPr>
        <w:t xml:space="preserve">3.2  Feature Profile</w:t>
      </w:r>
    </w:p>
    <w:p>
      <w:pPr>
        <w:spacing w:after="60" w:before="60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The dataset contains 19 mixed clinical and lifestyle indicators covering: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Cardiometabolic risk factors: BMI, blood pressure status, cholesterol level, diabetes/pre-diabetes flag, heart disease history.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Lifestyle &amp; behavioural factors: smoking status, alcohol consumption, physical activity, fruit &amp; vegetable intake, sleep duration.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Socio-demographic variables: age category, sex, race/ethnicity, education level, income band, healthcare access.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Self-reported health perceptions: general health rating, mental health days, physical health days.</w:t>
      </w:r>
    </w:p>
    <w:p>
      <w:pPr>
        <w:spacing w:after="40" w:before="40"/>
      </w:pPr>
      <w:r>
        <w:t xml:space="preserve"/>
      </w:r>
    </w:p>
    <w:p>
      <w:pPr>
        <w:spacing w:after="60" w:before="60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This heterogeneous mix of numeric, ordinal, and binary variables is precisely the regime in which TabPFN v2's mixed-type handling provides the greatest advantage.</w:t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4.  Model — TabPFN v2</w:t>
      </w:r>
    </w:p>
    <w:p>
      <w:pPr>
        <w:spacing w:after="40" w:before="40"/>
      </w:pPr>
      <w:r>
        <w:t xml:space="preserve"/>
      </w:r>
    </w:p>
    <w:p>
      <w:pPr>
        <w:spacing w:after="60" w:before="60"/>
        <w:jc w:val="both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TabPFN v2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(Hollmann et al., NeurIPS 2025) is a transformer meta-learned on millions of synthetic tabular datasets sampled from a broad prior over data-generating processes. At inference, the entire training set is provided as context ("in-context learning"), and predictions are produced in a </w:t>
      </w:r>
      <w:r>
        <w:rPr>
          <w:rFonts w:ascii="Calibri" w:cs="Calibri" w:eastAsia="Calibri" w:hAnsi="Calibri"/>
          <w:i/>
          <w:iCs/>
          <w:color w:val="444444"/>
          <w:sz w:val="22"/>
          <w:szCs w:val="22"/>
        </w:rPr>
        <w:t xml:space="preserve">single forward pass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without any gradient updates on the target task.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5FA3"/>
          <w:sz w:val="24"/>
          <w:szCs w:val="24"/>
        </w:rPr>
        <w:t xml:space="preserve">4.1  Why TabPFN v2 for Clinical Tabular Data?</w:t>
      </w:r>
    </w:p>
    <w:p>
      <w:pPr>
        <w:spacing w:after="60" w:before="60"/>
        <w:jc w:val="both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State-of-the-art accuracy: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Matches or exceeds tuned XGBoost and LightGBM on datasets with up to ~10,000 training examples; competitive on larger subsets when subsampled ensembling is applied.</w:t>
      </w:r>
    </w:p>
    <w:p>
      <w:pPr>
        <w:spacing w:after="60" w:before="60"/>
        <w:jc w:val="both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Native mixed-type support: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Handles numeric, ordinal, and binary features without manual encoding pipelines.</w:t>
      </w:r>
    </w:p>
    <w:p>
      <w:pPr>
        <w:spacing w:after="60" w:before="60"/>
        <w:jc w:val="both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Built-in class-imbalance robustness: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The synthetic pretraining prior explicitly covers imbalanced label distributions, reducing the need for aggressive resampling.</w:t>
      </w:r>
    </w:p>
    <w:p>
      <w:pPr>
        <w:spacing w:after="60" w:before="60"/>
        <w:jc w:val="both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Speed: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Inference in seconds enables rapid iteration and is practical for a reproducible Colab proof-of-concept.</w:t>
      </w:r>
    </w:p>
    <w:p>
      <w:pPr>
        <w:spacing w:after="60" w:before="60"/>
        <w:jc w:val="both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Transfer learning paradigm: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Knowledge from pretraining on diverse synthetic tables transfers to the clinical domain — analogous to how LLMs transfer linguistic knowledge to downstream tasks.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5FA3"/>
          <w:sz w:val="24"/>
          <w:szCs w:val="24"/>
        </w:rPr>
        <w:t xml:space="preserve">4.2  Configurable Space Exposed to PSO</w:t>
      </w:r>
    </w:p>
    <w:p>
      <w:pPr>
        <w:spacing w:after="60" w:before="60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Although TabPFN requires no gradient training, it exposes a configurable space that materially affects performance: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Ensemble size and post-hoc ensembling strategy (subsampling vs. full context).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Softmax temperature — controls confidence calibration.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Input preprocessing transform (power / quantile / robust scaling).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Missing-value strategy (median imputation vs. learned indicator).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Decision threshold for imbalanced binary classification.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Binary feature-selection mask over the 19 indicators.</w:t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5.  Optimizer — Particle Swarm Optimization (PSO)</w:t>
      </w:r>
    </w:p>
    <w:p>
      <w:pPr>
        <w:spacing w:after="40" w:before="40"/>
      </w:pPr>
      <w:r>
        <w:t xml:space="preserve"/>
      </w:r>
    </w:p>
    <w:p>
      <w:pPr>
        <w:spacing w:after="60" w:before="60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PSO is deployed as a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wrapper meta-optimizer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that searches TabPFN's configurable space (Section 4.2) jointly with the input feature subset. Each particle encodes a candidate configuration; the swarm evolves via cognitive and social velocity terms to maximize cross-validated AUPRC.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5FA3"/>
          <w:sz w:val="24"/>
          <w:szCs w:val="24"/>
        </w:rPr>
        <w:t xml:space="preserve">5.1  Encoding Scheme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360"/>
        <w:gridCol w:w="4400"/>
      </w:tblGrid>
      <w:tr>
        <w:trPr>
          <w:tblHeader/>
        </w:trPr>
        <w:tc>
          <w:tcPr>
            <w:tcW w:type="dxa" w:w="26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236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4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Range / Values</w:t>
            </w:r>
          </w:p>
        </w:tc>
      </w:tr>
      <w:tr>
        <w:tc>
          <w:tcPr>
            <w:tcW w:type="dxa" w:w="2600"/>
            <w:tcBorders>
              <w:top w:val="single" w:color="C5D8F0" w:sz="4"/>
              <w:left w:val="single" w:color="C5D8F0" w:sz="4"/>
              <w:bottom w:val="single" w:color="C5D8F0" w:sz="4"/>
              <w:right w:val="single" w:color="C5D8F0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Ensemble size</w:t>
            </w:r>
          </w:p>
        </w:tc>
        <w:tc>
          <w:tcPr>
            <w:tcW w:type="dxa" w:w="2360"/>
            <w:tcBorders>
              <w:top w:val="single" w:color="C5D8F0" w:sz="4"/>
              <w:left w:val="single" w:color="C5D8F0" w:sz="4"/>
              <w:bottom w:val="single" w:color="C5D8F0" w:sz="4"/>
              <w:right w:val="single" w:color="C5D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Integer (continuous relaxation)</w:t>
            </w:r>
          </w:p>
        </w:tc>
        <w:tc>
          <w:tcPr>
            <w:tcW w:type="dxa" w:w="4400"/>
            <w:tcBorders>
              <w:top w:val="single" w:color="C5D8F0" w:sz="4"/>
              <w:left w:val="single" w:color="C5D8F0" w:sz="4"/>
              <w:bottom w:val="single" w:color="C5D8F0" w:sz="4"/>
              <w:right w:val="single" w:color="C5D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 – 32</w:t>
            </w:r>
          </w:p>
        </w:tc>
      </w:tr>
      <w:tr>
        <w:tc>
          <w:tcPr>
            <w:tcW w:type="dxa" w:w="2600"/>
            <w:tcBorders>
              <w:top w:val="single" w:color="C5D8F0" w:sz="4"/>
              <w:left w:val="single" w:color="C5D8F0" w:sz="4"/>
              <w:bottom w:val="single" w:color="C5D8F0" w:sz="4"/>
              <w:right w:val="single" w:color="C5D8F0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Softmax temperature</w:t>
            </w:r>
          </w:p>
        </w:tc>
        <w:tc>
          <w:tcPr>
            <w:tcW w:type="dxa" w:w="2360"/>
            <w:tcBorders>
              <w:top w:val="single" w:color="C5D8F0" w:sz="4"/>
              <w:left w:val="single" w:color="C5D8F0" w:sz="4"/>
              <w:bottom w:val="single" w:color="C5D8F0" w:sz="4"/>
              <w:right w:val="single" w:color="C5D8F0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Continuous</w:t>
            </w:r>
          </w:p>
        </w:tc>
        <w:tc>
          <w:tcPr>
            <w:tcW w:type="dxa" w:w="4400"/>
            <w:tcBorders>
              <w:top w:val="single" w:color="C5D8F0" w:sz="4"/>
              <w:left w:val="single" w:color="C5D8F0" w:sz="4"/>
              <w:bottom w:val="single" w:color="C5D8F0" w:sz="4"/>
              <w:right w:val="single" w:color="C5D8F0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0.5 – 2.0</w:t>
            </w:r>
          </w:p>
        </w:tc>
      </w:tr>
      <w:tr>
        <w:tc>
          <w:tcPr>
            <w:tcW w:type="dxa" w:w="2600"/>
            <w:tcBorders>
              <w:top w:val="single" w:color="C5D8F0" w:sz="4"/>
              <w:left w:val="single" w:color="C5D8F0" w:sz="4"/>
              <w:bottom w:val="single" w:color="C5D8F0" w:sz="4"/>
              <w:right w:val="single" w:color="C5D8F0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Preprocessing transform</w:t>
            </w:r>
          </w:p>
        </w:tc>
        <w:tc>
          <w:tcPr>
            <w:tcW w:type="dxa" w:w="2360"/>
            <w:tcBorders>
              <w:top w:val="single" w:color="C5D8F0" w:sz="4"/>
              <w:left w:val="single" w:color="C5D8F0" w:sz="4"/>
              <w:bottom w:val="single" w:color="C5D8F0" w:sz="4"/>
              <w:right w:val="single" w:color="C5D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Categorical (one-hot)</w:t>
            </w:r>
          </w:p>
        </w:tc>
        <w:tc>
          <w:tcPr>
            <w:tcW w:type="dxa" w:w="4400"/>
            <w:tcBorders>
              <w:top w:val="single" w:color="C5D8F0" w:sz="4"/>
              <w:left w:val="single" w:color="C5D8F0" w:sz="4"/>
              <w:bottom w:val="single" w:color="C5D8F0" w:sz="4"/>
              <w:right w:val="single" w:color="C5D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{power, quantile, robust, none}</w:t>
            </w:r>
          </w:p>
        </w:tc>
      </w:tr>
      <w:tr>
        <w:tc>
          <w:tcPr>
            <w:tcW w:type="dxa" w:w="2600"/>
            <w:tcBorders>
              <w:top w:val="single" w:color="C5D8F0" w:sz="4"/>
              <w:left w:val="single" w:color="C5D8F0" w:sz="4"/>
              <w:bottom w:val="single" w:color="C5D8F0" w:sz="4"/>
              <w:right w:val="single" w:color="C5D8F0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Missing-value strategy</w:t>
            </w:r>
          </w:p>
        </w:tc>
        <w:tc>
          <w:tcPr>
            <w:tcW w:type="dxa" w:w="2360"/>
            <w:tcBorders>
              <w:top w:val="single" w:color="C5D8F0" w:sz="4"/>
              <w:left w:val="single" w:color="C5D8F0" w:sz="4"/>
              <w:bottom w:val="single" w:color="C5D8F0" w:sz="4"/>
              <w:right w:val="single" w:color="C5D8F0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Binary</w:t>
            </w:r>
          </w:p>
        </w:tc>
        <w:tc>
          <w:tcPr>
            <w:tcW w:type="dxa" w:w="4400"/>
            <w:tcBorders>
              <w:top w:val="single" w:color="C5D8F0" w:sz="4"/>
              <w:left w:val="single" w:color="C5D8F0" w:sz="4"/>
              <w:bottom w:val="single" w:color="C5D8F0" w:sz="4"/>
              <w:right w:val="single" w:color="C5D8F0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{median imputation, indicator column}</w:t>
            </w:r>
          </w:p>
        </w:tc>
      </w:tr>
      <w:tr>
        <w:tc>
          <w:tcPr>
            <w:tcW w:type="dxa" w:w="2600"/>
            <w:tcBorders>
              <w:top w:val="single" w:color="C5D8F0" w:sz="4"/>
              <w:left w:val="single" w:color="C5D8F0" w:sz="4"/>
              <w:bottom w:val="single" w:color="C5D8F0" w:sz="4"/>
              <w:right w:val="single" w:color="C5D8F0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Decision threshold</w:t>
            </w:r>
          </w:p>
        </w:tc>
        <w:tc>
          <w:tcPr>
            <w:tcW w:type="dxa" w:w="2360"/>
            <w:tcBorders>
              <w:top w:val="single" w:color="C5D8F0" w:sz="4"/>
              <w:left w:val="single" w:color="C5D8F0" w:sz="4"/>
              <w:bottom w:val="single" w:color="C5D8F0" w:sz="4"/>
              <w:right w:val="single" w:color="C5D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Continuous</w:t>
            </w:r>
          </w:p>
        </w:tc>
        <w:tc>
          <w:tcPr>
            <w:tcW w:type="dxa" w:w="4400"/>
            <w:tcBorders>
              <w:top w:val="single" w:color="C5D8F0" w:sz="4"/>
              <w:left w:val="single" w:color="C5D8F0" w:sz="4"/>
              <w:bottom w:val="single" w:color="C5D8F0" w:sz="4"/>
              <w:right w:val="single" w:color="C5D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0.1 – 0.9</w:t>
            </w:r>
          </w:p>
        </w:tc>
      </w:tr>
      <w:tr>
        <w:tc>
          <w:tcPr>
            <w:tcW w:type="dxa" w:w="2600"/>
            <w:tcBorders>
              <w:top w:val="single" w:color="C5D8F0" w:sz="4"/>
              <w:left w:val="single" w:color="C5D8F0" w:sz="4"/>
              <w:bottom w:val="single" w:color="C5D8F0" w:sz="4"/>
              <w:right w:val="single" w:color="C5D8F0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Feature mask (×19)</w:t>
            </w:r>
          </w:p>
        </w:tc>
        <w:tc>
          <w:tcPr>
            <w:tcW w:type="dxa" w:w="2360"/>
            <w:tcBorders>
              <w:top w:val="single" w:color="C5D8F0" w:sz="4"/>
              <w:left w:val="single" w:color="C5D8F0" w:sz="4"/>
              <w:bottom w:val="single" w:color="C5D8F0" w:sz="4"/>
              <w:right w:val="single" w:color="C5D8F0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Binary vector</w:t>
            </w:r>
          </w:p>
        </w:tc>
        <w:tc>
          <w:tcPr>
            <w:tcW w:type="dxa" w:w="4400"/>
            <w:tcBorders>
              <w:top w:val="single" w:color="C5D8F0" w:sz="4"/>
              <w:left w:val="single" w:color="C5D8F0" w:sz="4"/>
              <w:bottom w:val="single" w:color="C5D8F0" w:sz="4"/>
              <w:right w:val="single" w:color="C5D8F0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{0, 1}^19, minimum 5 features active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5FA3"/>
          <w:sz w:val="24"/>
          <w:szCs w:val="24"/>
        </w:rPr>
        <w:t xml:space="preserve">5.2  Fitness Function &amp; Termination</w:t>
      </w:r>
    </w:p>
    <w:p>
      <w:pPr>
        <w:spacing w:after="60" w:before="60"/>
        <w:jc w:val="both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Fitness =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stratified 5-fold cross-validated AUPRC on the training partition (AUPRC is the primary metric because all three disease targets are class-imbalanced). PSO terminates after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200 iterations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or when the global best improves by less than 10⁻⁴ over 20 consecutive generations.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5FA3"/>
          <w:sz w:val="24"/>
          <w:szCs w:val="24"/>
        </w:rPr>
        <w:t xml:space="preserve">5.3  Why PSO Over Alternatives?</w:t>
      </w:r>
    </w:p>
    <w:p>
      <w:pPr>
        <w:spacing w:after="60" w:before="60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PSO is chosen over Bayesian optimisation and genetic algorithms for three reasons: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The CV fitness function is non-differentiable, ruling out gradient-based meta-optimizers.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The mixed continuous-discrete search space (feature mask + continuous hyperparameters) is handled naturally by PSO's velocity update without special operators.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The cognitive/social balance lets PSO escape local optima that trap coordinate-descent and random search, which is critical given the multimodal AUPRC landscape.</w:t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6.  Preprocessing &amp; Data Manipulation</w:t>
      </w:r>
    </w:p>
    <w:p>
      <w:pPr>
        <w:spacing w:after="40" w:before="40"/>
      </w:pPr>
      <w:r>
        <w:t xml:space="preserve"/>
      </w:r>
    </w:p>
    <w:p>
      <w:pPr>
        <w:spacing w:after="60" w:before="60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All preprocessing steps are encapsulated in an sklearn Pipeline/ColumnTransformer fitted exclusively on the training fold to prevent leakage.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5FA3"/>
          <w:sz w:val="24"/>
          <w:szCs w:val="24"/>
        </w:rPr>
        <w:t xml:space="preserve">6.1  Data Cleaning &amp; Leakage Control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Drop survey administrative identifiers, post-outcome proxy features, and any variables with &gt;40% missing values.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Recode physiologically impossible values (e.g., BMI &lt; 10 or &gt; 80, age &lt; 18) as missing rather than dropping rows.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Temporal train/test split: 80% training (stratified by disease label and age band), 20% holdout — mimicking prospective deployment.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5FA3"/>
          <w:sz w:val="24"/>
          <w:szCs w:val="24"/>
        </w:rPr>
        <w:t xml:space="preserve">6.2  Encoding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Nominal categorical features: one-hot encoding with drop-first to avoid multicollinearity.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Ordered categorical features (age band, income tier, education level, general health): ordinal encoding preserving natural order.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Binary survey flags (smoker, exercise, high cholesterol): retain as 0/1 without additional transformation.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5FA3"/>
          <w:sz w:val="24"/>
          <w:szCs w:val="24"/>
        </w:rPr>
        <w:t xml:space="preserve">6.3  Feature Scaling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Numeric features (BMI, mental health days, physical health days, sleep duration): z-score standardisation as the default; PSO selects among power, quantile, or robust scaling alternatives.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Ordinal features: min-max scaling to [0, 1] after ordinal encoding.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Binary features: no scaling applied.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5FA3"/>
          <w:sz w:val="24"/>
          <w:szCs w:val="24"/>
        </w:rPr>
        <w:t xml:space="preserve">6.4  Missingness Handling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Numeric features: median imputation within the training fold; a binary missing-indicator column is appended (the missingness pattern is clinically informative in self-reported surveys).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Categorical features: mode imputation within the training fold; missing-indicator appended.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Rows where the disease label itself is missing are excluded entirely.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Multiple Imputation by Chained Equations (MICE) is evaluated as an ablation against single-value imputation.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5FA3"/>
          <w:sz w:val="24"/>
          <w:szCs w:val="24"/>
        </w:rPr>
        <w:t xml:space="preserve">6.5  Class Imbalance Mitigation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Class-weighted loss: inverse-frequency class weights passed to all baseline models.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SMOTENC oversampling: synthetic minority oversampling for mixed numeric/categorical data, applied on the training fold only.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Youden-J threshold tuning: the decision threshold is optimised on the validation fold (rather than defaulting to 0.5) to maximise sensitivity + specificity — 1, particularly important for stroke (severe positive-label rarity).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Oversampling ratio is itself a PSO-searchable parameter to prevent over-correction.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5FA3"/>
          <w:sz w:val="24"/>
          <w:szCs w:val="24"/>
        </w:rPr>
        <w:t xml:space="preserve">6.6  Feature Engineering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Interaction terms: BMI × physical activity, age × cholesterol, smoking × diabetes flag — motivated by established clinical synergy.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Composite risk score: unweighted sum of binary risk flags (smoker, high BP, high cholesterol, diabetes, sedentary lifestyle) as an auxiliary feature.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Age-band polynomial expansion: quadratic age term to capture non-linear cardiovascular risk curves.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Grouped rarity encoding: race/ethnicity categories with fewer than 500 observations are collapsed into an 'Other' group to reduce sparsity.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5FA3"/>
          <w:sz w:val="24"/>
          <w:szCs w:val="24"/>
        </w:rPr>
        <w:t xml:space="preserve">6.7  Outlier Treatment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IQR-based flagging: values beyond 3×IQR are flagged with a binary outlier-indicator column; the original value is winsorised to the 1st/99th percentile.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Isolation Forest anomaly scores are computed and appended as an auxiliary feature capturing multi-dimensional outlier structure.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5FA3"/>
          <w:sz w:val="24"/>
          <w:szCs w:val="24"/>
        </w:rPr>
        <w:t xml:space="preserve">6.8  Dimensionality &amp; Collinearity Control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Variance Inflation Factor (VIF) analysis: features with VIF &gt; 10 after encoding are reviewed; one of a correlated pair is removed or merged.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LASSO-based pre-filter: a logistic regression with L1 penalty is fitted per disease target; features with zero coefficient across all alpha values in a 50-point path are candidates for exclusion before PSO search.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PSO binary feature mask provides the final selection, with LASSO pre-filter as a warm-start initialisation for particle positions.</w:t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7.  Training Techniques &amp; Training-Time Monitoring</w:t>
      </w:r>
    </w:p>
    <w:p>
      <w:pPr>
        <w:spacing w:after="40" w:before="40"/>
      </w:pPr>
      <w:r>
        <w:t xml:space="preserve"/>
      </w:r>
    </w:p>
    <w:p>
      <w:pPr>
        <w:spacing w:after="60" w:before="60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TabPFN v2 performs </w:t>
      </w:r>
      <w:r>
        <w:rPr>
          <w:rFonts w:ascii="Calibri" w:cs="Calibri" w:eastAsia="Calibri" w:hAnsi="Calibri"/>
          <w:i/>
          <w:iCs/>
          <w:color w:val="444444"/>
          <w:sz w:val="22"/>
          <w:szCs w:val="22"/>
        </w:rPr>
        <w:t xml:space="preserve">in-context inference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— there is no epoch loop or gradient update on the clinical data. The PSO search drives all tuning;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repeated stratified 5×5 nested cross-validation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(outer loop for generalisation estimate, inner loop for PSO fitness) serves as the training protocol.</w:t>
      </w:r>
    </w:p>
    <w:p>
      <w:pPr>
        <w:spacing w:after="40" w:before="40"/>
      </w:pPr>
      <w:r>
        <w:t xml:space="preserve"/>
      </w:r>
    </w:p>
    <w:p>
      <w:pPr>
        <w:spacing w:after="60" w:before="60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Baseline deep models (FT-Transformer, TabNet) follow conventional training: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Early stopping on validation AUPRC with patience = 15 epochs.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AdamW optimiser; cosine annealing learning rate schedule.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Gradient clipping at norm = 1.0 to stabilise FT-Transformer training.</w:t>
      </w:r>
    </w:p>
    <w:p>
      <w:pPr>
        <w:spacing w:after="40" w:before="40"/>
      </w:pPr>
      <w:r>
        <w:t xml:space="preserve"/>
      </w:r>
    </w:p>
    <w:p>
      <w:pPr>
        <w:spacing w:after="60" w:before="60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Training-time monitoring includes: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PSO convergence curve: global-best AUPRC vs. iteration number per disease task.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Validation loss/AUPRC curves for deep baselines (train vs. validation, to detect overfitting).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Particle diversity metric: standard deviation of particle positions across iterations to detect premature convergence.</w:t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8.  Evaluation Metrics &amp; Strategy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96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Metrics</w:t>
            </w:r>
          </w:p>
        </w:tc>
      </w:tr>
      <w:tr>
        <w:tc>
          <w:tcPr>
            <w:tcW w:type="dxa" w:w="2400"/>
            <w:tcBorders>
              <w:top w:val="single" w:color="C5D8F0" w:sz="4"/>
              <w:left w:val="single" w:color="C5D8F0" w:sz="4"/>
              <w:bottom w:val="single" w:color="C5D8F0" w:sz="4"/>
              <w:right w:val="single" w:color="C5D8F0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Discrimination</w:t>
            </w:r>
          </w:p>
        </w:tc>
        <w:tc>
          <w:tcPr>
            <w:tcW w:type="dxa" w:w="6960"/>
            <w:tcBorders>
              <w:top w:val="single" w:color="C5D8F0" w:sz="4"/>
              <w:left w:val="single" w:color="C5D8F0" w:sz="4"/>
              <w:bottom w:val="single" w:color="C5D8F0" w:sz="4"/>
              <w:right w:val="single" w:color="C5D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AUROC, AUPRC (primary — imbalance-aware), Sensitivity/Recall, Specificity, Precision, F1, Balanced Accuracy, Matthews Correlation Coefficient (MCC)</w:t>
            </w:r>
          </w:p>
        </w:tc>
      </w:tr>
      <w:tr>
        <w:tc>
          <w:tcPr>
            <w:tcW w:type="dxa" w:w="2400"/>
            <w:tcBorders>
              <w:top w:val="single" w:color="C5D8F0" w:sz="4"/>
              <w:left w:val="single" w:color="C5D8F0" w:sz="4"/>
              <w:bottom w:val="single" w:color="C5D8F0" w:sz="4"/>
              <w:right w:val="single" w:color="C5D8F0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Calibration</w:t>
            </w:r>
          </w:p>
        </w:tc>
        <w:tc>
          <w:tcPr>
            <w:tcW w:type="dxa" w:w="6960"/>
            <w:tcBorders>
              <w:top w:val="single" w:color="C5D8F0" w:sz="4"/>
              <w:left w:val="single" w:color="C5D8F0" w:sz="4"/>
              <w:bottom w:val="single" w:color="C5D8F0" w:sz="4"/>
              <w:right w:val="single" w:color="C5D8F0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Brier Score, Expected Calibration Error (ECE), Reliability Curve with Platt scaling / isotonic recalibration</w:t>
            </w:r>
          </w:p>
        </w:tc>
      </w:tr>
      <w:tr>
        <w:tc>
          <w:tcPr>
            <w:tcW w:type="dxa" w:w="2400"/>
            <w:tcBorders>
              <w:top w:val="single" w:color="C5D8F0" w:sz="4"/>
              <w:left w:val="single" w:color="C5D8F0" w:sz="4"/>
              <w:bottom w:val="single" w:color="C5D8F0" w:sz="4"/>
              <w:right w:val="single" w:color="C5D8F0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Clinical Utility</w:t>
            </w:r>
          </w:p>
        </w:tc>
        <w:tc>
          <w:tcPr>
            <w:tcW w:type="dxa" w:w="6960"/>
            <w:tcBorders>
              <w:top w:val="single" w:color="C5D8F0" w:sz="4"/>
              <w:left w:val="single" w:color="C5D8F0" w:sz="4"/>
              <w:bottom w:val="single" w:color="C5D8F0" w:sz="4"/>
              <w:right w:val="single" w:color="C5D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Decision Curve Analysis — net benefit vs. treat-all / treat-none strategies across threshold range</w:t>
            </w:r>
          </w:p>
        </w:tc>
      </w:tr>
      <w:tr>
        <w:tc>
          <w:tcPr>
            <w:tcW w:type="dxa" w:w="2400"/>
            <w:tcBorders>
              <w:top w:val="single" w:color="C5D8F0" w:sz="4"/>
              <w:left w:val="single" w:color="C5D8F0" w:sz="4"/>
              <w:bottom w:val="single" w:color="C5D8F0" w:sz="4"/>
              <w:right w:val="single" w:color="C5D8F0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Statistical Rigor</w:t>
            </w:r>
          </w:p>
        </w:tc>
        <w:tc>
          <w:tcPr>
            <w:tcW w:type="dxa" w:w="6960"/>
            <w:tcBorders>
              <w:top w:val="single" w:color="C5D8F0" w:sz="4"/>
              <w:left w:val="single" w:color="C5D8F0" w:sz="4"/>
              <w:bottom w:val="single" w:color="C5D8F0" w:sz="4"/>
              <w:right w:val="single" w:color="C5D8F0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95% bootstrap confidence intervals (n = 10,000); DeLong test for paired AUROC comparison; McNemar test for paired accuracy</w:t>
            </w:r>
          </w:p>
        </w:tc>
      </w:tr>
      <w:tr>
        <w:tc>
          <w:tcPr>
            <w:tcW w:type="dxa" w:w="2400"/>
            <w:tcBorders>
              <w:top w:val="single" w:color="C5D8F0" w:sz="4"/>
              <w:left w:val="single" w:color="C5D8F0" w:sz="4"/>
              <w:bottom w:val="single" w:color="C5D8F0" w:sz="4"/>
              <w:right w:val="single" w:color="C5D8F0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Fairness / Robustness</w:t>
            </w:r>
          </w:p>
        </w:tc>
        <w:tc>
          <w:tcPr>
            <w:tcW w:type="dxa" w:w="6960"/>
            <w:tcBorders>
              <w:top w:val="single" w:color="C5D8F0" w:sz="4"/>
              <w:left w:val="single" w:color="C5D8F0" w:sz="4"/>
              <w:bottom w:val="single" w:color="C5D8F0" w:sz="4"/>
              <w:right w:val="single" w:color="C5D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Subgroup analysis by sex, age band, and income tier; Equality of Opportunity and Demographic Parity gaps reported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  <w:jc w:val="both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Evaluation strategy: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nested CV (inner PSO search, outer generalisation estimate); independent external/temporal holdout (20% of data withheld from all tuning); cross-disease testing (model trained on diabetes evaluated on hypertension/stroke features, and vice versa) to quantify cross-task transferability; and subgroup analysis for fairness and robustness.</w:t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9.  Comparative Analysis</w:t>
      </w:r>
    </w:p>
    <w:p>
      <w:pPr>
        <w:spacing w:after="40" w:before="40"/>
      </w:pPr>
      <w:r>
        <w:t xml:space="preserve"/>
      </w:r>
    </w:p>
    <w:p>
      <w:pPr>
        <w:spacing w:after="60" w:before="60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The PSO-optimised TabPFN v2 is benchmarked across all three disease tasks against: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3400"/>
      </w:tblGrid>
      <w:tr>
        <w:trPr>
          <w:tblHeader/>
        </w:trPr>
        <w:tc>
          <w:tcPr>
            <w:tcW w:type="dxa" w:w="26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Family</w:t>
            </w:r>
          </w:p>
        </w:tc>
        <w:tc>
          <w:tcPr>
            <w:tcW w:type="dxa" w:w="336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Models</w:t>
            </w:r>
          </w:p>
        </w:tc>
        <w:tc>
          <w:tcPr>
            <w:tcW w:type="dxa" w:w="34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600"/>
            <w:tcBorders>
              <w:top w:val="single" w:color="C5D8F0" w:sz="4"/>
              <w:left w:val="single" w:color="C5D8F0" w:sz="4"/>
              <w:bottom w:val="single" w:color="C5D8F0" w:sz="4"/>
              <w:right w:val="single" w:color="C5D8F0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Gradient-boosted trees</w:t>
            </w:r>
          </w:p>
        </w:tc>
        <w:tc>
          <w:tcPr>
            <w:tcW w:type="dxa" w:w="3360"/>
            <w:tcBorders>
              <w:top w:val="single" w:color="C5D8F0" w:sz="4"/>
              <w:left w:val="single" w:color="C5D8F0" w:sz="4"/>
              <w:bottom w:val="single" w:color="C5D8F0" w:sz="4"/>
              <w:right w:val="single" w:color="C5D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XGBoost, LightGBM, CatBoost, Random Forest</w:t>
            </w:r>
          </w:p>
        </w:tc>
        <w:tc>
          <w:tcPr>
            <w:tcW w:type="dxa" w:w="3400"/>
            <w:tcBorders>
              <w:top w:val="single" w:color="C5D8F0" w:sz="4"/>
              <w:left w:val="single" w:color="C5D8F0" w:sz="4"/>
              <w:bottom w:val="single" w:color="C5D8F0" w:sz="4"/>
              <w:right w:val="single" w:color="C5D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Clinical gold standard; strong baselines with built-in feature importance</w:t>
            </w:r>
          </w:p>
        </w:tc>
      </w:tr>
      <w:tr>
        <w:tc>
          <w:tcPr>
            <w:tcW w:type="dxa" w:w="2600"/>
            <w:tcBorders>
              <w:top w:val="single" w:color="C5D8F0" w:sz="4"/>
              <w:left w:val="single" w:color="C5D8F0" w:sz="4"/>
              <w:bottom w:val="single" w:color="C5D8F0" w:sz="4"/>
              <w:right w:val="single" w:color="C5D8F0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Deep tabular nets</w:t>
            </w:r>
          </w:p>
        </w:tc>
        <w:tc>
          <w:tcPr>
            <w:tcW w:type="dxa" w:w="3360"/>
            <w:tcBorders>
              <w:top w:val="single" w:color="C5D8F0" w:sz="4"/>
              <w:left w:val="single" w:color="C5D8F0" w:sz="4"/>
              <w:bottom w:val="single" w:color="C5D8F0" w:sz="4"/>
              <w:right w:val="single" w:color="C5D8F0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FT-Transformer, TabNet</w:t>
            </w:r>
          </w:p>
        </w:tc>
        <w:tc>
          <w:tcPr>
            <w:tcW w:type="dxa" w:w="3400"/>
            <w:tcBorders>
              <w:top w:val="single" w:color="C5D8F0" w:sz="4"/>
              <w:left w:val="single" w:color="C5D8F0" w:sz="4"/>
              <w:bottom w:val="single" w:color="C5D8F0" w:sz="4"/>
              <w:right w:val="single" w:color="C5D8F0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Neural competitors representing end-to-end tabular deep learning</w:t>
            </w:r>
          </w:p>
        </w:tc>
      </w:tr>
      <w:tr>
        <w:tc>
          <w:tcPr>
            <w:tcW w:type="dxa" w:w="2600"/>
            <w:tcBorders>
              <w:top w:val="single" w:color="C5D8F0" w:sz="4"/>
              <w:left w:val="single" w:color="C5D8F0" w:sz="4"/>
              <w:bottom w:val="single" w:color="C5D8F0" w:sz="4"/>
              <w:right w:val="single" w:color="C5D8F0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Rival foundation model</w:t>
            </w:r>
          </w:p>
        </w:tc>
        <w:tc>
          <w:tcPr>
            <w:tcW w:type="dxa" w:w="3360"/>
            <w:tcBorders>
              <w:top w:val="single" w:color="C5D8F0" w:sz="4"/>
              <w:left w:val="single" w:color="C5D8F0" w:sz="4"/>
              <w:bottom w:val="single" w:color="C5D8F0" w:sz="4"/>
              <w:right w:val="single" w:color="C5D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TabICL (in-context learning baseline)</w:t>
            </w:r>
          </w:p>
        </w:tc>
        <w:tc>
          <w:tcPr>
            <w:tcW w:type="dxa" w:w="3400"/>
            <w:tcBorders>
              <w:top w:val="single" w:color="C5D8F0" w:sz="4"/>
              <w:left w:val="single" w:color="C5D8F0" w:sz="4"/>
              <w:bottom w:val="single" w:color="C5D8F0" w:sz="4"/>
              <w:right w:val="single" w:color="C5D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Direct foundation-model comparison to isolate TabPFN-specific benefits</w:t>
            </w:r>
          </w:p>
        </w:tc>
      </w:tr>
      <w:tr>
        <w:tc>
          <w:tcPr>
            <w:tcW w:type="dxa" w:w="2600"/>
            <w:tcBorders>
              <w:top w:val="single" w:color="C5D8F0" w:sz="4"/>
              <w:left w:val="single" w:color="C5D8F0" w:sz="4"/>
              <w:bottom w:val="single" w:color="C5D8F0" w:sz="4"/>
              <w:right w:val="single" w:color="C5D8F0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Interpretable control</w:t>
            </w:r>
          </w:p>
        </w:tc>
        <w:tc>
          <w:tcPr>
            <w:tcW w:type="dxa" w:w="3360"/>
            <w:tcBorders>
              <w:top w:val="single" w:color="C5D8F0" w:sz="4"/>
              <w:left w:val="single" w:color="C5D8F0" w:sz="4"/>
              <w:bottom w:val="single" w:color="C5D8F0" w:sz="4"/>
              <w:right w:val="single" w:color="C5D8F0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Logistic Regression (L1 + L2)</w:t>
            </w:r>
          </w:p>
        </w:tc>
        <w:tc>
          <w:tcPr>
            <w:tcW w:type="dxa" w:w="3400"/>
            <w:tcBorders>
              <w:top w:val="single" w:color="C5D8F0" w:sz="4"/>
              <w:left w:val="single" w:color="C5D8F0" w:sz="4"/>
              <w:bottom w:val="single" w:color="C5D8F0" w:sz="4"/>
              <w:right w:val="single" w:color="C5D8F0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Serves as the minimum viable interpretable baseline; calibration reference</w:t>
            </w:r>
          </w:p>
        </w:tc>
      </w:tr>
      <w:tr>
        <w:tc>
          <w:tcPr>
            <w:tcW w:type="dxa" w:w="2600"/>
            <w:tcBorders>
              <w:top w:val="single" w:color="C5D8F0" w:sz="4"/>
              <w:left w:val="single" w:color="C5D8F0" w:sz="4"/>
              <w:bottom w:val="single" w:color="C5D8F0" w:sz="4"/>
              <w:right w:val="single" w:color="C5D8F0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Unoptimised TabPFN</w:t>
            </w:r>
          </w:p>
        </w:tc>
        <w:tc>
          <w:tcPr>
            <w:tcW w:type="dxa" w:w="3360"/>
            <w:tcBorders>
              <w:top w:val="single" w:color="C5D8F0" w:sz="4"/>
              <w:left w:val="single" w:color="C5D8F0" w:sz="4"/>
              <w:bottom w:val="single" w:color="C5D8F0" w:sz="4"/>
              <w:right w:val="single" w:color="C5D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TabPFN v2 with default configuration</w:t>
            </w:r>
          </w:p>
        </w:tc>
        <w:tc>
          <w:tcPr>
            <w:tcW w:type="dxa" w:w="3400"/>
            <w:tcBorders>
              <w:top w:val="single" w:color="C5D8F0" w:sz="4"/>
              <w:left w:val="single" w:color="C5D8F0" w:sz="4"/>
              <w:bottom w:val="single" w:color="C5D8F0" w:sz="4"/>
              <w:right w:val="single" w:color="C5D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Ablation to isolate the contribution of PSO optimisation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All models are compared on every metric from Section 8 (with 95% CIs and DeLong tests) plus fit/predict runtime and memory footprint. A two-way ANOVA (model × disease task) tests whether performance differences are consistent across disease targets.</w:t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10.  Explainability &amp; Visualization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5FA3"/>
          <w:sz w:val="24"/>
          <w:szCs w:val="24"/>
        </w:rPr>
        <w:t xml:space="preserve">10.1  Explainability Techniques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SHAP TreeExplainer / KernelExplainer: global beeswarm plots and mean-|SHAP| bar charts showing the top 10 predictors per disease task.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SHAP waterfall / force plots: per-patient local explanations visualising which features push the prediction above or below the base rate.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SHAP interaction values: two-way interaction heatmap between the top 5 feature pairs to capture synergistic effects (e.g., BMI × physical activity).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Partial Dependence Plots (PDP): marginal effect of each top-5 feature on predicted probability, with Individual Conditional Expectation (ICE) curves overlaid.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Permutation importance: cross-check against SHAP global rankings to detect instability or model-specific artefacts.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Clinical face-validity review: SHAP-ranked feature importances are compared against established clinical guidelines (ADA, AHA) to confirm biological plausibility.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5FA3"/>
          <w:sz w:val="24"/>
          <w:szCs w:val="24"/>
        </w:rPr>
        <w:t xml:space="preserve">10.2  Visualization Portfolio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Exploratory Data Analysis: class-distribution bar charts per disease; age × BMI joint distribution; correlation heatmap of all 19 features with disease label overlay.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Preprocessing diagnostics: missing-value heatmap before and after imputation; class balance bar before and after SMOTENC; outlier flagging histogram.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PSO search: convergence curve (global-best AUPRC vs. iteration) per disease task; swarm diversity decay plot; 2-D projection of particle trajectories for selected dimensions.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Model performance: ROC curves with AUROC bands; Precision-Recall curves with AUPRC bands; calibration / reliability diagrams before and after recalibration.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Clinical utility: Decision Curve Analysis net-benefit plots for all models on each disease.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Comparative summary: per-metric model-comparison bar charts with 95% CI error bars; performance heatmap (model × metric × disease task).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Fairness: subgroup-performance bar charts by sex, age band, and income tier; Demographic Parity gap dot-plot.</w:t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11.  Expected Outcomes &amp; Contributions</w:t>
      </w:r>
    </w:p>
    <w:p>
      <w:pPr>
        <w:spacing w:after="40" w:before="40"/>
      </w:pPr>
      <w:r>
        <w:t xml:space="preserve"/>
      </w:r>
    </w:p>
    <w:p>
      <w:pPr>
        <w:spacing w:after="60" w:before="60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This work is expected to deliver four concrete contributions:</w:t>
      </w:r>
    </w:p>
    <w:p>
      <w:pPr>
        <w:spacing w:after="40" w:before="40"/>
      </w:pPr>
      <w:r>
        <w:t xml:space="preserve"/>
      </w:r>
    </w:p>
    <w:p>
      <w:pPr>
        <w:spacing w:after="60" w:before="60"/>
        <w:jc w:val="both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1. A validated multi-disease prediction framework: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A single PSO-tuned TabPFN v2 pipeline demonstrated to match or exceed tuned gradient-boosting ensembles on all three disease tasks, with calibrated probabilities and decision-curve utility.</w:t>
      </w:r>
    </w:p>
    <w:p>
      <w:pPr>
        <w:spacing w:after="60" w:before="60"/>
        <w:jc w:val="both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2. A reproducible Kaggle / Colab artefact: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End-to-end code from raw BRFSS 2023 data through PSO optimisation, SHAP explanation, and all evaluation plots — enabling community replication and extension.</w:t>
      </w:r>
    </w:p>
    <w:p>
      <w:pPr>
        <w:spacing w:after="60" w:before="60"/>
        <w:jc w:val="both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3. An extended preprocessing blueprint: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A reference pipeline integrating SMOTENC, MICE, VIF screening, interaction engineering, and Isolation Forest outlier features — applicable to any heterogeneous clinical tabular dataset.</w:t>
      </w:r>
    </w:p>
    <w:p>
      <w:pPr>
        <w:spacing w:after="60" w:before="60"/>
        <w:jc w:val="both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4. Transferability evidence: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Cross-disease and subgroup generalisation results that characterise how well in-context tabular foundation models transfer across chronic disease tasks without retraining.</w:t>
      </w:r>
    </w:p>
    <w:p>
      <w:pPr>
        <w:spacing w:after="40" w:before="4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2E5FA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2026-06-27T13:20:21.858Z</dcterms:created>
  <dcterms:modified xsi:type="dcterms:W3CDTF">2026-06-27T13:20:21.858Z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