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000000"/>
          <w:sz w:val="26"/>
          <w:szCs w:val="26"/>
        </w:rPr>
        <w:t xml:space="preserve">Project Proposal</w:t>
      </w:r>
    </w:p>
    <w:p>
      <w:pPr>
        <w:spacing w:after="30"/>
        <w:jc w:val="center"/>
      </w:pPr>
      <w:r>
        <w:rPr>
          <w:rFonts w:ascii="Calibri" w:cs="Calibri" w:eastAsia="Calibri" w:hAnsi="Calibri"/>
          <w:b/>
          <w:bCs/>
          <w:color w:val="000000"/>
          <w:sz w:val="21"/>
          <w:szCs w:val="21"/>
        </w:rPr>
        <w:t xml:space="preserve">Explainable, Lightweight DINOv3-LoRA Framework for Diabetic Foot Ulcer Segmentation and Detection with GAN-Based Class-Imbalance Handling and Ant Colony Optimised Hyperparameters</w:t>
      </w:r>
    </w:p>
    <w:p>
      <w:pPr>
        <w:pBdr>
          <w:bottom w:val="single" w:color="000000" w:sz="6" w:space="5"/>
        </w:pBdr>
        <w:spacing w:after="120"/>
        <w:jc w:val="center"/>
      </w:pPr>
      <w:r>
        <w:rPr>
          <w:rFonts w:ascii="Calibri" w:cs="Calibri" w:eastAsia="Calibri" w:hAnsi="Calibri"/>
          <w:i/>
          <w:iCs/>
          <w:color w:val="000000"/>
          <w:sz w:val="17"/>
          <w:szCs w:val="17"/>
        </w:rPr>
        <w:t xml:space="preserve">Domain: Medical Image Analysis / Deep Learning</w:t>
      </w:r>
    </w:p>
    <w:p>
      <w:pPr>
        <w:pStyle w:val="Heading1"/>
        <w:keepNext/>
        <w:spacing w:after="50" w:before="125"/>
      </w:pPr>
      <w:r>
        <w:rPr>
          <w:rFonts w:ascii="Calibri" w:cs="Calibri" w:eastAsia="Calibri" w:hAnsi="Calibri"/>
          <w:b/>
          <w:bCs/>
          <w:color w:val="000000"/>
          <w:sz w:val="21"/>
          <w:szCs w:val="21"/>
        </w:rPr>
        <w:t xml:space="preserve">1. Objective</w:t>
      </w:r>
    </w:p>
    <w:p>
      <w:pPr>
        <w:spacing w:after="55" w:line="228"/>
        <w:jc w:val="both"/>
      </w:pPr>
      <w:r>
        <w:rPr>
          <w:rFonts w:ascii="Calibri" w:cs="Calibri" w:eastAsia="Calibri" w:hAnsi="Calibri"/>
          <w:color w:val="000000"/>
          <w:sz w:val="18"/>
          <w:szCs w:val="18"/>
        </w:rPr>
        <w:t xml:space="preserve">The project builds an accurate, lightweight and explainable diabetic foot ulcer (DFU) analysis system on a DINOv3 ViT-B/16 backbone adapted with Low-Rank Adaptation (LoRA). The primary task is pixel-level </w:t>
      </w:r>
      <w:r>
        <w:rPr>
          <w:rFonts w:ascii="Calibri" w:cs="Calibri" w:eastAsia="Calibri" w:hAnsi="Calibri"/>
          <w:b/>
          <w:bCs/>
          <w:color w:val="000000"/>
          <w:sz w:val="18"/>
          <w:szCs w:val="18"/>
        </w:rPr>
        <w:t xml:space="preserve">segmentation</w:t>
      </w:r>
      <w:r>
        <w:rPr>
          <w:rFonts w:ascii="Calibri" w:cs="Calibri" w:eastAsia="Calibri" w:hAnsi="Calibri"/>
          <w:color w:val="000000"/>
          <w:sz w:val="18"/>
          <w:szCs w:val="18"/>
        </w:rPr>
        <w:t xml:space="preserve"> of ulcer regions; a </w:t>
      </w:r>
      <w:r>
        <w:rPr>
          <w:rFonts w:ascii="Calibri" w:cs="Calibri" w:eastAsia="Calibri" w:hAnsi="Calibri"/>
          <w:b/>
          <w:bCs/>
          <w:color w:val="000000"/>
          <w:sz w:val="18"/>
          <w:szCs w:val="18"/>
        </w:rPr>
        <w:t xml:space="preserve">classification</w:t>
      </w:r>
      <w:r>
        <w:rPr>
          <w:rFonts w:ascii="Calibri" w:cs="Calibri" w:eastAsia="Calibri" w:hAnsi="Calibri"/>
          <w:color w:val="000000"/>
          <w:sz w:val="18"/>
          <w:szCs w:val="18"/>
        </w:rPr>
        <w:t xml:space="preserve"> head (ulcer versus healthy skin) shares the same encoder and adds negligible compute. Training hyperparameters are searched with an Ant Colony Optimizer (ACOR) from the mealpy package under a deliberately reduced data-and-epoch budget, after which the winning configuration is retrained at full budget. The large model acts as a teacher whose knowledge is distilled into a compact transfer-learned CNN student for deployment, a </w:t>
      </w:r>
      <w:r>
        <w:rPr>
          <w:rFonts w:ascii="Calibri" w:cs="Calibri" w:eastAsia="Calibri" w:hAnsi="Calibri"/>
          <w:b/>
          <w:bCs/>
          <w:color w:val="000000"/>
          <w:sz w:val="18"/>
          <w:szCs w:val="18"/>
        </w:rPr>
        <w:t xml:space="preserve">GAN</w:t>
      </w:r>
      <w:r>
        <w:rPr>
          <w:rFonts w:ascii="Calibri" w:cs="Calibri" w:eastAsia="Calibri" w:hAnsi="Calibri"/>
          <w:color w:val="000000"/>
          <w:sz w:val="18"/>
          <w:szCs w:val="18"/>
        </w:rPr>
        <w:t xml:space="preserve"> synthesises minority-class and hard-case training data, and an </w:t>
      </w:r>
      <w:r>
        <w:rPr>
          <w:rFonts w:ascii="Calibri" w:cs="Calibri" w:eastAsia="Calibri" w:hAnsi="Calibri"/>
          <w:b/>
          <w:bCs/>
          <w:color w:val="000000"/>
          <w:sz w:val="18"/>
          <w:szCs w:val="18"/>
        </w:rPr>
        <w:t xml:space="preserve">Explainable AI (XAI)</w:t>
      </w:r>
      <w:r>
        <w:rPr>
          <w:rFonts w:ascii="Calibri" w:cs="Calibri" w:eastAsia="Calibri" w:hAnsi="Calibri"/>
          <w:color w:val="000000"/>
          <w:sz w:val="18"/>
          <w:szCs w:val="18"/>
        </w:rPr>
        <w:t xml:space="preserve"> layer interprets every prediction. The classification arm is still benchmarked against twelve classical machine-learning models across two feature tracks, and because a missed ulcer is a far worse error than a false alarm, thresholds and metrics protect sensitivity to ulcer first and report specificity alongside it.</w:t>
      </w:r>
    </w:p>
    <w:p>
      <w:pPr>
        <w:spacing w:after="55" w:line="228"/>
        <w:jc w:val="both"/>
      </w:pPr>
      <w:r>
        <w:rPr>
          <w:rFonts w:ascii="Calibri" w:cs="Calibri" w:eastAsia="Calibri" w:hAnsi="Calibri"/>
          <w:color w:val="000000"/>
          <w:sz w:val="18"/>
          <w:szCs w:val="18"/>
        </w:rPr>
        <w:t xml:space="preserve">The work is organised around the four finalised PhD research objectives:</w:t>
      </w:r>
    </w:p>
    <w:p>
      <w:pPr>
        <w:pStyle w:val="ListParagraph"/>
        <w:numPr>
          <w:ilvl w:val="0"/>
          <w:numId w:val="1"/>
        </w:numPr>
        <w:spacing w:after="30" w:line="235"/>
        <w:jc w:val="both"/>
      </w:pPr>
      <w:r>
        <w:rPr>
          <w:rFonts w:ascii="Calibri" w:cs="Calibri" w:eastAsia="Calibri" w:hAnsi="Calibri"/>
          <w:b/>
          <w:bCs/>
          <w:color w:val="000000"/>
          <w:sz w:val="18"/>
          <w:szCs w:val="18"/>
        </w:rPr>
        <w:t xml:space="preserve">O1: Accurate segmentation.</w:t>
      </w:r>
      <w:r>
        <w:rPr>
          <w:rFonts w:ascii="Calibri" w:cs="Calibri" w:eastAsia="Calibri" w:hAnsi="Calibri"/>
          <w:color w:val="000000"/>
          <w:sz w:val="18"/>
          <w:szCs w:val="18"/>
        </w:rPr>
        <w:t xml:space="preserve"> Design an accurate DFU system for precise segmentation of small, irregular and low-contrast ulcer regions.</w:t>
      </w:r>
    </w:p>
    <w:p>
      <w:pPr>
        <w:pStyle w:val="ListParagraph"/>
        <w:numPr>
          <w:ilvl w:val="0"/>
          <w:numId w:val="1"/>
        </w:numPr>
        <w:spacing w:after="30" w:line="235"/>
        <w:jc w:val="both"/>
      </w:pPr>
      <w:r>
        <w:rPr>
          <w:rFonts w:ascii="Calibri" w:cs="Calibri" w:eastAsia="Calibri" w:hAnsi="Calibri"/>
          <w:b/>
          <w:bCs/>
          <w:color w:val="000000"/>
          <w:sz w:val="18"/>
          <w:szCs w:val="18"/>
        </w:rPr>
        <w:t xml:space="preserve">O2: Lightweight system.</w:t>
      </w:r>
      <w:r>
        <w:rPr>
          <w:rFonts w:ascii="Calibri" w:cs="Calibri" w:eastAsia="Calibri" w:hAnsi="Calibri"/>
          <w:color w:val="000000"/>
          <w:sz w:val="18"/>
          <w:szCs w:val="18"/>
        </w:rPr>
        <w:t xml:space="preserve"> Develop a lightweight DFU system with high performance and reduced computational cost.</w:t>
      </w:r>
    </w:p>
    <w:p>
      <w:pPr>
        <w:pStyle w:val="ListParagraph"/>
        <w:numPr>
          <w:ilvl w:val="0"/>
          <w:numId w:val="1"/>
        </w:numPr>
        <w:spacing w:after="30" w:line="235"/>
        <w:jc w:val="both"/>
      </w:pPr>
      <w:r>
        <w:rPr>
          <w:rFonts w:ascii="Calibri" w:cs="Calibri" w:eastAsia="Calibri" w:hAnsi="Calibri"/>
          <w:b/>
          <w:bCs/>
          <w:color w:val="000000"/>
          <w:sz w:val="18"/>
          <w:szCs w:val="18"/>
        </w:rPr>
        <w:t xml:space="preserve">O3: GAN-based class balancing.</w:t>
      </w:r>
      <w:r>
        <w:rPr>
          <w:rFonts w:ascii="Calibri" w:cs="Calibri" w:eastAsia="Calibri" w:hAnsi="Calibri"/>
          <w:color w:val="000000"/>
          <w:sz w:val="18"/>
          <w:szCs w:val="18"/>
        </w:rPr>
        <w:t xml:space="preserve"> Design an effective GAN-based DFU system that addresses class imbalance and improves minority-class learning.</w:t>
      </w:r>
    </w:p>
    <w:p>
      <w:pPr>
        <w:pStyle w:val="ListParagraph"/>
        <w:numPr>
          <w:ilvl w:val="0"/>
          <w:numId w:val="1"/>
        </w:numPr>
        <w:spacing w:after="30" w:line="235"/>
        <w:jc w:val="both"/>
      </w:pPr>
      <w:r>
        <w:rPr>
          <w:rFonts w:ascii="Calibri" w:cs="Calibri" w:eastAsia="Calibri" w:hAnsi="Calibri"/>
          <w:b/>
          <w:bCs/>
          <w:color w:val="000000"/>
          <w:sz w:val="18"/>
          <w:szCs w:val="18"/>
        </w:rPr>
        <w:t xml:space="preserve">O4: Explainable AI.</w:t>
      </w:r>
      <w:r>
        <w:rPr>
          <w:rFonts w:ascii="Calibri" w:cs="Calibri" w:eastAsia="Calibri" w:hAnsi="Calibri"/>
          <w:color w:val="000000"/>
          <w:sz w:val="18"/>
          <w:szCs w:val="18"/>
        </w:rPr>
        <w:t xml:space="preserve"> Integrate XAI mechanisms to interpret the deep-learning DFU system and support clinical validation.</w:t>
      </w:r>
    </w:p>
    <w:p>
      <w:pPr>
        <w:spacing w:after="55" w:line="228"/>
        <w:jc w:val="both"/>
      </w:pPr>
      <w:r>
        <w:rPr>
          <w:rFonts w:ascii="Calibri" w:cs="Calibri" w:eastAsia="Calibri" w:hAnsi="Calibri"/>
          <w:b/>
          <w:bCs/>
          <w:color w:val="000000"/>
          <w:sz w:val="18"/>
          <w:szCs w:val="18"/>
        </w:rPr>
        <w:t xml:space="preserve">Objective traceability matrix.</w:t>
      </w:r>
      <w:r>
        <w:rPr>
          <w:rFonts w:ascii="Calibri" w:cs="Calibri" w:eastAsia="Calibri" w:hAnsi="Calibri"/>
          <w:color w:val="000000"/>
          <w:sz w:val="18"/>
          <w:szCs w:val="18"/>
        </w:rPr>
        <w:t xml:space="preserve"> Every component below is mapped to an objective, and each objective is tied to its methodology, models, datasets and evaluation metrics.</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1500"/>
        <w:gridCol w:w="2250"/>
        <w:gridCol w:w="2150"/>
        <w:gridCol w:w="1650"/>
        <w:gridCol w:w="1950"/>
        <w:gridCol w:w="780"/>
      </w:tblGrid>
      <w:tr>
        <w:trPr>
          <w:cantSplit/>
          <w:tblHeader/>
        </w:trPr>
        <w:tc>
          <w:tcPr>
            <w:tcW w:type="dxa" w:w="150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Objective</w:t>
            </w:r>
          </w:p>
        </w:tc>
        <w:tc>
          <w:tcPr>
            <w:tcW w:type="dxa" w:w="225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Methodology</w:t>
            </w:r>
          </w:p>
        </w:tc>
        <w:tc>
          <w:tcPr>
            <w:tcW w:type="dxa" w:w="215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Proposed models</w:t>
            </w:r>
          </w:p>
        </w:tc>
        <w:tc>
          <w:tcPr>
            <w:tcW w:type="dxa" w:w="165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Datasets</w:t>
            </w:r>
          </w:p>
        </w:tc>
        <w:tc>
          <w:tcPr>
            <w:tcW w:type="dxa" w:w="195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Evaluation metrics</w:t>
            </w:r>
          </w:p>
        </w:tc>
        <w:tc>
          <w:tcPr>
            <w:tcW w:type="dxa" w:w="78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Section</w:t>
            </w:r>
          </w:p>
        </w:tc>
      </w:tr>
      <w:tr>
        <w:trPr>
          <w:cantSplit/>
        </w:trPr>
        <w:tc>
          <w:tcPr>
            <w:tcW w:type="dxa" w:w="15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O1</w:t>
            </w:r>
            <w:r>
              <w:rPr>
                <w:rFonts w:ascii="Calibri" w:cs="Calibri" w:eastAsia="Calibri" w:hAnsi="Calibri"/>
                <w:color w:val="000000"/>
                <w:sz w:val="16"/>
                <w:szCs w:val="16"/>
              </w:rPr>
              <w:t xml:space="preserve"> Accurate segmentation of small, irregular, low-contrast ulcers</w:t>
            </w:r>
          </w:p>
        </w:tc>
        <w:tc>
          <w:tcPr>
            <w:tcW w:type="dxa" w:w="22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High-resolution input; multi-scale decoder fed by intermediate ViT blocks; boundary-refinement head; Dice + Focal-Tversky + boundary loss; size- and contrast-stratified evaluation</w:t>
            </w:r>
          </w:p>
        </w:tc>
        <w:tc>
          <w:tcPr>
            <w:tcW w:type="dxa" w:w="21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DINOv3 ViT-B/16 + LoRA + multi-scale decoder (teacher); U-Net, U-Net++, DeepLabV3+, TransUNet, SegFormer, Swin-UNet baselines</w:t>
            </w:r>
          </w:p>
        </w:tc>
        <w:tc>
          <w:tcPr>
            <w:tcW w:type="dxa" w:w="16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FUSeg (primary), DFUC2022 or AZH (external), QUTNet Original Images (qualitative only)</w:t>
            </w:r>
          </w:p>
        </w:tc>
        <w:tc>
          <w:tcPr>
            <w:tcW w:type="dxa" w:w="19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Dice, IoU, HD95, boundary-F1, precision, recall; Dice for small-ulcer and low-contrast strata</w:t>
            </w:r>
          </w:p>
        </w:tc>
        <w:tc>
          <w:tcPr>
            <w:tcW w:type="dxa" w:w="7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9, 13, 15</w:t>
            </w:r>
          </w:p>
        </w:tc>
      </w:tr>
      <w:tr>
        <w:trPr>
          <w:cantSplit/>
        </w:trPr>
        <w:tc>
          <w:tcPr>
            <w:tcW w:type="dxa" w:w="15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O2</w:t>
            </w:r>
            <w:r>
              <w:rPr>
                <w:rFonts w:ascii="Calibri" w:cs="Calibri" w:eastAsia="Calibri" w:hAnsi="Calibri"/>
                <w:color w:val="000000"/>
                <w:sz w:val="16"/>
                <w:szCs w:val="16"/>
              </w:rPr>
              <w:t xml:space="preserve"> Lightweight, high performance, low compute</w:t>
            </w:r>
          </w:p>
        </w:tc>
        <w:tc>
          <w:tcPr>
            <w:tcW w:type="dxa" w:w="22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Knowledge distillation (logit + feature + boundary); depthwise-separable decoder; optional structured pruning; INT8 quantisation; compute-penalised ACO fitness</w:t>
            </w:r>
          </w:p>
        </w:tc>
        <w:tc>
          <w:tcPr>
            <w:tcW w:type="dxa" w:w="21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EfficientNet-B0 / MobileNetV3-L and ConvNeXt-Tiny students (ImageNet transfer learning) with light FPN decoder</w:t>
            </w:r>
          </w:p>
        </w:tc>
        <w:tc>
          <w:tcPr>
            <w:tcW w:type="dxa" w:w="16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FUSeg and QUTNet Patches (same folds as teacher)</w:t>
            </w:r>
          </w:p>
        </w:tc>
        <w:tc>
          <w:tcPr>
            <w:tcW w:type="dxa" w:w="19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Parameters, GFLOPs, model size (MB), CPU/GPU latency, peak memory, performance retained vs teacher, Pareto front</w:t>
            </w:r>
          </w:p>
        </w:tc>
        <w:tc>
          <w:tcPr>
            <w:tcW w:type="dxa" w:w="7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11, 12, 13</w:t>
            </w:r>
          </w:p>
        </w:tc>
      </w:tr>
      <w:tr>
        <w:trPr>
          <w:cantSplit/>
        </w:trPr>
        <w:tc>
          <w:tcPr>
            <w:tcW w:type="dxa" w:w="15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O3</w:t>
            </w:r>
            <w:r>
              <w:rPr>
                <w:rFonts w:ascii="Calibri" w:cs="Calibri" w:eastAsia="Calibri" w:hAnsi="Calibri"/>
                <w:color w:val="000000"/>
                <w:sz w:val="16"/>
                <w:szCs w:val="16"/>
              </w:rPr>
              <w:t xml:space="preserve"> GAN-based class balancing and minority-class learning</w:t>
            </w:r>
          </w:p>
        </w:tc>
        <w:tc>
          <w:tcPr>
            <w:tcW w:type="dxa" w:w="22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Conditional GAN for minority patches; mask-conditioned image-mask GAN for small and low-contrast ulcers; controlled imbalance ratios; synthetic-sample filtering; training-fold-only generation</w:t>
            </w:r>
          </w:p>
        </w:tc>
        <w:tc>
          <w:tcPr>
            <w:tcW w:type="dxa" w:w="21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StyleGAN2-ADA (conditional) and SPADE-style mask-to-image GAN; comparators: class weights, focal loss, oversampling, SMOTE, Mixup/CutMix</w:t>
            </w:r>
          </w:p>
        </w:tc>
        <w:tc>
          <w:tcPr>
            <w:tcW w:type="dxa" w:w="16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QUTNet Patches (classification), FUSeg (segmentation)</w:t>
            </w:r>
          </w:p>
        </w:tc>
        <w:tc>
          <w:tcPr>
            <w:tcW w:type="dxa" w:w="19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FID, KID, generated-image precision/recall, LPIPS diversity; minority recall, G-mean, balanced accuracy, small-ulcer Dice</w:t>
            </w:r>
          </w:p>
        </w:tc>
        <w:tc>
          <w:tcPr>
            <w:tcW w:type="dxa" w:w="7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10, 13, 16</w:t>
            </w:r>
          </w:p>
        </w:tc>
      </w:tr>
      <w:tr>
        <w:trPr>
          <w:cantSplit/>
        </w:trPr>
        <w:tc>
          <w:tcPr>
            <w:tcW w:type="dxa" w:w="15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O4</w:t>
            </w:r>
            <w:r>
              <w:rPr>
                <w:rFonts w:ascii="Calibri" w:cs="Calibri" w:eastAsia="Calibri" w:hAnsi="Calibri"/>
                <w:color w:val="000000"/>
                <w:sz w:val="16"/>
                <w:szCs w:val="16"/>
              </w:rPr>
              <w:t xml:space="preserve"> XAI for interpretation and clinical validation</w:t>
            </w:r>
          </w:p>
        </w:tc>
        <w:tc>
          <w:tcPr>
            <w:tcW w:type="dxa" w:w="22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Attention rollout, Grad-CAM++, LayerCAM, Integrated Gradients, Seg-Grad-CAM, uncertainty maps; quantitative faithfulness and plausibility against expert masks; failure-case taxonomy</w:t>
            </w:r>
          </w:p>
        </w:tc>
        <w:tc>
          <w:tcPr>
            <w:tcW w:type="dxa" w:w="21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Applied to teacher and student for both tasks</w:t>
            </w:r>
          </w:p>
        </w:tc>
        <w:tc>
          <w:tcPr>
            <w:tcW w:type="dxa" w:w="16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FUSeg masks (expert annotation as clinical reference), QUTNet Patches, held-out test sets</w:t>
            </w:r>
          </w:p>
        </w:tc>
        <w:tc>
          <w:tcPr>
            <w:tcW w:type="dxa" w:w="195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Deletion/insertion AUC, pointing game, saliency-mask overlap, sanity checks, stability, teacher-student explanation agreement</w:t>
            </w:r>
          </w:p>
        </w:tc>
        <w:tc>
          <w:tcPr>
            <w:tcW w:type="dxa" w:w="7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14, 13</w:t>
            </w:r>
          </w:p>
        </w:tc>
      </w:tr>
    </w:tbl>
    <w:p>
      <w:pPr>
        <w:spacing w:after="40"/>
      </w:pPr>
    </w:p>
    <w:p>
      <w:pPr>
        <w:pStyle w:val="Heading1"/>
        <w:keepNext/>
        <w:spacing w:after="50" w:before="125"/>
      </w:pPr>
      <w:r>
        <w:rPr>
          <w:rFonts w:ascii="Calibri" w:cs="Calibri" w:eastAsia="Calibri" w:hAnsi="Calibri"/>
          <w:b/>
          <w:bCs/>
          <w:color w:val="000000"/>
          <w:sz w:val="21"/>
          <w:szCs w:val="21"/>
        </w:rPr>
        <w:t xml:space="preserve">2. Dataset</w:t>
      </w:r>
    </w:p>
    <w:p>
      <w:pPr>
        <w:spacing w:after="55" w:line="228"/>
        <w:jc w:val="both"/>
      </w:pPr>
      <w:r>
        <w:rPr>
          <w:rFonts w:ascii="Calibri" w:cs="Calibri" w:eastAsia="Calibri" w:hAnsi="Calibri"/>
          <w:color w:val="000000"/>
          <w:sz w:val="18"/>
          <w:szCs w:val="18"/>
        </w:rPr>
        <w:t xml:space="preserve">The project uses two public sources, each serving a distinct purpose. </w:t>
      </w:r>
      <w:r>
        <w:rPr>
          <w:rFonts w:ascii="Calibri" w:cs="Calibri" w:eastAsia="Calibri" w:hAnsi="Calibri"/>
          <w:b/>
          <w:bCs/>
          <w:color w:val="000000"/>
          <w:sz w:val="18"/>
          <w:szCs w:val="18"/>
        </w:rPr>
        <w:t xml:space="preserve">Source A, classification and GAN (QUTNet):</w:t>
      </w:r>
      <w:r>
        <w:rPr>
          <w:rFonts w:ascii="Calibri" w:cs="Calibri" w:eastAsia="Calibri" w:hAnsi="Calibri"/>
          <w:color w:val="000000"/>
          <w:sz w:val="18"/>
          <w:szCs w:val="18"/>
        </w:rPr>
        <w:t xml:space="preserve"> diabetic foot ulcer (DFU) (Kaggle, laithjj), the public release of the DFU_QUTNet collection gathered at the diabetes centre of Nasiriyah Hospital, southern Iraq, with written patient consent and ethical approval. The Kaggle listing states no explicit licence, so terms of use are confirmed before any publication and the dataset is cited to its originating authors. Photographs were taken by clinical staff on an iPad and a Samsung Galaxy Note 8 under varied lighting, distance and viewing angle. The archive holds four folders: Original Images (493 full-foot photographs), Patches (1,055 skin patches at 224x224 RGB: 543 Normal, healthy skin, and 512 Abnormal, ulcer), a Test set and a Transfer-learning image set. Only the Patches folder supplies labels, so it drives binary ulcer-versus-healthy-skin classification and carries no mask or Wagner-grade information. The two classes are near-balanced (51.5 versus 48.5 percent); the class-imbalance work therefore uses a controlled-imbalance protocol described in Section 10. Patches carry no patient identifier, but the Original Images folder makes source-photograph grouping recoverable (Section 7).</w:t>
      </w:r>
    </w:p>
    <w:p>
      <w:pPr>
        <w:spacing w:after="55" w:line="228"/>
        <w:jc w:val="both"/>
      </w:pPr>
      <w:r>
        <w:rPr>
          <w:rFonts w:ascii="Calibri" w:cs="Calibri" w:eastAsia="Calibri" w:hAnsi="Calibri"/>
          <w:b/>
          <w:bCs/>
          <w:color w:val="000000"/>
          <w:sz w:val="18"/>
          <w:szCs w:val="18"/>
        </w:rPr>
        <w:t xml:space="preserve">Source B, segmentation:</w:t>
      </w:r>
      <w:r>
        <w:rPr>
          <w:rFonts w:ascii="Calibri" w:cs="Calibri" w:eastAsia="Calibri" w:hAnsi="Calibri"/>
          <w:color w:val="000000"/>
          <w:sz w:val="18"/>
          <w:szCs w:val="18"/>
        </w:rPr>
        <w:t xml:space="preserve"> a publicly released, expert-annotated DFU segmentation dataset is required because QUTNet provides no ulcer masks. The primary choice is the </w:t>
      </w:r>
      <w:r>
        <w:rPr>
          <w:rFonts w:ascii="Calibri" w:cs="Calibri" w:eastAsia="Calibri" w:hAnsi="Calibri"/>
          <w:b/>
          <w:bCs/>
          <w:color w:val="000000"/>
          <w:sz w:val="18"/>
          <w:szCs w:val="18"/>
        </w:rPr>
        <w:t xml:space="preserve">Foot Ulcer Segmentation Challenge (FUSeg)</w:t>
      </w:r>
      <w:r>
        <w:rPr>
          <w:rFonts w:ascii="Calibri" w:cs="Calibri" w:eastAsia="Calibri" w:hAnsi="Calibri"/>
          <w:color w:val="000000"/>
          <w:sz w:val="18"/>
          <w:szCs w:val="18"/>
        </w:rPr>
        <w:t xml:space="preserve"> dataset, which provides wound photographs with pixel-level ulcer masks and an official train/validation/test division. </w:t>
      </w:r>
      <w:r>
        <w:rPr>
          <w:rFonts w:ascii="Calibri" w:cs="Calibri" w:eastAsia="Calibri" w:hAnsi="Calibri"/>
          <w:b/>
          <w:bCs/>
          <w:color w:val="000000"/>
          <w:sz w:val="18"/>
          <w:szCs w:val="18"/>
        </w:rPr>
        <w:t xml:space="preserve">DFUC2022</w:t>
      </w:r>
      <w:r>
        <w:rPr>
          <w:rFonts w:ascii="Calibri" w:cs="Calibri" w:eastAsia="Calibri" w:hAnsi="Calibri"/>
          <w:color w:val="000000"/>
          <w:sz w:val="18"/>
          <w:szCs w:val="18"/>
        </w:rPr>
        <w:t xml:space="preserve"> (or the AZH wound-care collection from which FUSeg derives) serves as a second, </w:t>
      </w:r>
      <w:r>
        <w:rPr>
          <w:rFonts w:ascii="Calibri" w:cs="Calibri" w:eastAsia="Calibri" w:hAnsi="Calibri"/>
          <w:b/>
          <w:bCs/>
          <w:color w:val="000000"/>
          <w:sz w:val="18"/>
          <w:szCs w:val="18"/>
        </w:rPr>
        <w:t xml:space="preserve">external</w:t>
      </w:r>
      <w:r>
        <w:rPr>
          <w:rFonts w:ascii="Calibri" w:cs="Calibri" w:eastAsia="Calibri" w:hAnsi="Calibri"/>
          <w:color w:val="000000"/>
          <w:sz w:val="18"/>
          <w:szCs w:val="18"/>
        </w:rPr>
        <w:t xml:space="preserve"> dataset used only for cross-dataset generalisation, never for training. Exact image counts, licences and access conditions (several of these releases require registration or a data-use agreement) are confirmed and reported before experiments begin, and every dataset is cited to its originating authors. QUTNet Original Images carry no masks and are used only for qualitative segmentation checks and for group recovery.</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3700"/>
        <w:gridCol w:w="2180"/>
      </w:tblGrid>
      <w:tr>
        <w:trPr>
          <w:cantSplit/>
          <w:tblHeader/>
        </w:trPr>
        <w:tc>
          <w:tcPr>
            <w:tcW w:type="dxa" w:w="210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Role</w:t>
            </w:r>
          </w:p>
        </w:tc>
        <w:tc>
          <w:tcPr>
            <w:tcW w:type="dxa" w:w="230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Dataset</w:t>
            </w:r>
          </w:p>
        </w:tc>
        <w:tc>
          <w:tcPr>
            <w:tcW w:type="dxa" w:w="370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Used for</w:t>
            </w:r>
          </w:p>
        </w:tc>
        <w:tc>
          <w:tcPr>
            <w:tcW w:type="dxa" w:w="218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Never used for</w:t>
            </w:r>
          </w:p>
        </w:tc>
      </w:tr>
      <w:tr>
        <w:trPr>
          <w:cantSplit/>
        </w:trPr>
        <w:tc>
          <w:tcPr>
            <w:tcW w:type="dxa" w:w="21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Classification, GAN (patch)</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QUTNet Patches</w:t>
            </w:r>
          </w:p>
        </w:tc>
        <w:tc>
          <w:tcPr>
            <w:tcW w:type="dxa" w:w="3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Ulcer/healthy head, classical-ML comparison, conditional GAN</w:t>
            </w:r>
          </w:p>
        </w:tc>
        <w:tc>
          <w:tcPr>
            <w:tcW w:type="dxa" w:w="21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Segmentation training</w:t>
            </w:r>
          </w:p>
        </w:tc>
      </w:tr>
      <w:tr>
        <w:trPr>
          <w:cantSplit/>
        </w:trPr>
        <w:tc>
          <w:tcPr>
            <w:tcW w:type="dxa" w:w="21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Segmentation, mask GAN</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FUSeg (official splits)</w:t>
            </w:r>
          </w:p>
        </w:tc>
        <w:tc>
          <w:tcPr>
            <w:tcW w:type="dxa" w:w="3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Teacher and student segmentation, mask-conditioned GAN, XAI plausibility</w:t>
            </w:r>
          </w:p>
        </w:tc>
        <w:tc>
          <w:tcPr>
            <w:tcW w:type="dxa" w:w="21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Evaluation of synthetic images</w:t>
            </w:r>
          </w:p>
        </w:tc>
      </w:tr>
      <w:tr>
        <w:trPr>
          <w:cantSplit/>
        </w:trPr>
        <w:tc>
          <w:tcPr>
            <w:tcW w:type="dxa" w:w="21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External generalisation</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DFUC2022 or AZH</w:t>
            </w:r>
          </w:p>
        </w:tc>
        <w:tc>
          <w:tcPr>
            <w:tcW w:type="dxa" w:w="3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Zero-shot cross-dataset segmentation test</w:t>
            </w:r>
          </w:p>
        </w:tc>
        <w:tc>
          <w:tcPr>
            <w:tcW w:type="dxa" w:w="21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Training, tuning, thresholds</w:t>
            </w:r>
          </w:p>
        </w:tc>
      </w:tr>
      <w:tr>
        <w:trPr>
          <w:cantSplit/>
        </w:trPr>
        <w:tc>
          <w:tcPr>
            <w:tcW w:type="dxa" w:w="21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Qualitative only</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QUTNet Original Images</w:t>
            </w:r>
          </w:p>
        </w:tc>
        <w:tc>
          <w:tcPr>
            <w:tcW w:type="dxa" w:w="3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Visual segmentation checks, patch-to-photograph grouping</w:t>
            </w:r>
          </w:p>
        </w:tc>
        <w:tc>
          <w:tcPr>
            <w:tcW w:type="dxa" w:w="21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Quantitative metrics</w:t>
            </w:r>
          </w:p>
        </w:tc>
      </w:tr>
    </w:tbl>
    <w:p>
      <w:pPr>
        <w:spacing w:after="40"/>
      </w:pPr>
    </w:p>
    <w:p>
      <w:pPr>
        <w:pStyle w:val="Heading1"/>
        <w:keepNext/>
        <w:spacing w:after="50" w:before="125"/>
      </w:pPr>
      <w:r>
        <w:rPr>
          <w:rFonts w:ascii="Calibri" w:cs="Calibri" w:eastAsia="Calibri" w:hAnsi="Calibri"/>
          <w:b/>
          <w:bCs/>
          <w:color w:val="000000"/>
          <w:sz w:val="21"/>
          <w:szCs w:val="21"/>
        </w:rPr>
        <w:t xml:space="preserve">3. Data Loading and Hygiene</w:t>
      </w:r>
    </w:p>
    <w:p>
      <w:pPr>
        <w:spacing w:after="55" w:line="228"/>
        <w:jc w:val="both"/>
      </w:pPr>
      <w:r>
        <w:rPr>
          <w:rFonts w:ascii="Calibri" w:cs="Calibri" w:eastAsia="Calibri" w:hAnsi="Calibri"/>
          <w:color w:val="000000"/>
          <w:sz w:val="18"/>
          <w:szCs w:val="18"/>
        </w:rPr>
        <w:t xml:space="preserve">Executed before anything else; the resulting counts are reported as an integrity statement rather than hidden.</w:t>
      </w:r>
    </w:p>
    <w:p>
      <w:pPr>
        <w:pStyle w:val="ListParagraph"/>
        <w:numPr>
          <w:ilvl w:val="0"/>
          <w:numId w:val="1"/>
        </w:numPr>
        <w:spacing w:after="30" w:line="235"/>
        <w:jc w:val="both"/>
      </w:pPr>
      <w:r>
        <w:rPr>
          <w:rFonts w:ascii="Calibri" w:cs="Calibri" w:eastAsia="Calibri" w:hAnsi="Calibri"/>
          <w:b/>
          <w:bCs/>
          <w:color w:val="000000"/>
          <w:sz w:val="18"/>
          <w:szCs w:val="18"/>
        </w:rPr>
        <w:t xml:space="preserve">Allow-list.</w:t>
      </w:r>
      <w:r>
        <w:rPr>
          <w:rFonts w:ascii="Calibri" w:cs="Calibri" w:eastAsia="Calibri" w:hAnsi="Calibri"/>
          <w:color w:val="000000"/>
          <w:sz w:val="18"/>
          <w:szCs w:val="18"/>
        </w:rPr>
        <w:t xml:space="preserve"> For QUTNet only the two class folders under Patches (Normal and Abnormal) are admitted, by explicit whitelist rather than exclusion rule. The Original Images, Test set and Transfer-learning folders are excluded from training because they re-host the same feet and wounds at different crops and would silently duplicate the training set. Original Images are loaded separately and read-only, solely to recover patch-to-photograph groups in Section 7. For the segmentation set, only images with a valid paired mask are admitted.</w:t>
      </w:r>
    </w:p>
    <w:p>
      <w:pPr>
        <w:pStyle w:val="ListParagraph"/>
        <w:numPr>
          <w:ilvl w:val="0"/>
          <w:numId w:val="1"/>
        </w:numPr>
        <w:spacing w:after="30" w:line="235"/>
        <w:jc w:val="both"/>
      </w:pPr>
      <w:r>
        <w:rPr>
          <w:rFonts w:ascii="Calibri" w:cs="Calibri" w:eastAsia="Calibri" w:hAnsi="Calibri"/>
          <w:b/>
          <w:bCs/>
          <w:color w:val="000000"/>
          <w:sz w:val="18"/>
          <w:szCs w:val="18"/>
        </w:rPr>
        <w:t xml:space="preserve">MD5 deduplication.</w:t>
      </w:r>
      <w:r>
        <w:rPr>
          <w:rFonts w:ascii="Calibri" w:cs="Calibri" w:eastAsia="Calibri" w:hAnsi="Calibri"/>
          <w:color w:val="000000"/>
          <w:sz w:val="18"/>
          <w:szCs w:val="18"/>
        </w:rPr>
        <w:t xml:space="preserve"> Byte-identical files are removed by raw-bytes hash. Duplication is heavy in this dataset family; a comparable public DFU archive lost 32.4 percent of its files to MD5 alone, so a large drop is expected and is not an error.</w:t>
      </w:r>
    </w:p>
    <w:p>
      <w:pPr>
        <w:pStyle w:val="ListParagraph"/>
        <w:numPr>
          <w:ilvl w:val="0"/>
          <w:numId w:val="1"/>
        </w:numPr>
        <w:spacing w:after="30" w:line="235"/>
        <w:jc w:val="both"/>
      </w:pPr>
      <w:r>
        <w:rPr>
          <w:rFonts w:ascii="Calibri" w:cs="Calibri" w:eastAsia="Calibri" w:hAnsi="Calibri"/>
          <w:b/>
          <w:bCs/>
          <w:color w:val="000000"/>
          <w:sz w:val="18"/>
          <w:szCs w:val="18"/>
        </w:rPr>
        <w:t xml:space="preserve">Perceptual-hash deduplication.</w:t>
      </w:r>
      <w:r>
        <w:rPr>
          <w:rFonts w:ascii="Calibri" w:cs="Calibri" w:eastAsia="Calibri" w:hAnsi="Calibri"/>
          <w:color w:val="000000"/>
          <w:sz w:val="18"/>
          <w:szCs w:val="18"/>
        </w:rPr>
        <w:t xml:space="preserve"> Any image whose pHash Hamming distance to a retained image is at most 5 is discarded, catching re-saves, re-compressions and trivial crops that MD5 misses. Duplicates are also checked </w:t>
      </w:r>
      <w:r>
        <w:rPr>
          <w:rFonts w:ascii="Calibri" w:cs="Calibri" w:eastAsia="Calibri" w:hAnsi="Calibri"/>
          <w:b/>
          <w:bCs/>
          <w:color w:val="000000"/>
          <w:sz w:val="18"/>
          <w:szCs w:val="18"/>
        </w:rPr>
        <w:t xml:space="preserve">across</w:t>
      </w:r>
      <w:r>
        <w:rPr>
          <w:rFonts w:ascii="Calibri" w:cs="Calibri" w:eastAsia="Calibri" w:hAnsi="Calibri"/>
          <w:color w:val="000000"/>
          <w:sz w:val="18"/>
          <w:szCs w:val="18"/>
        </w:rPr>
        <w:t xml:space="preserve"> datasets (QUTNet, FUSeg, external set) so that no image leaks between training and external evaluation.</w:t>
      </w:r>
    </w:p>
    <w:p>
      <w:pPr>
        <w:pStyle w:val="ListParagraph"/>
        <w:numPr>
          <w:ilvl w:val="0"/>
          <w:numId w:val="1"/>
        </w:numPr>
        <w:spacing w:after="30" w:line="235"/>
        <w:jc w:val="both"/>
      </w:pPr>
      <w:r>
        <w:rPr>
          <w:rFonts w:ascii="Calibri" w:cs="Calibri" w:eastAsia="Calibri" w:hAnsi="Calibri"/>
          <w:b/>
          <w:bCs/>
          <w:color w:val="000000"/>
          <w:sz w:val="18"/>
          <w:szCs w:val="18"/>
        </w:rPr>
        <w:t xml:space="preserve">Decodability and canonicalisation.</w:t>
      </w:r>
      <w:r>
        <w:rPr>
          <w:rFonts w:ascii="Calibri" w:cs="Calibri" w:eastAsia="Calibri" w:hAnsi="Calibri"/>
          <w:color w:val="000000"/>
          <w:sz w:val="18"/>
          <w:szCs w:val="18"/>
        </w:rPr>
        <w:t xml:space="preserve"> Every retained file is fully decoded; corrupt and truncated files are dropped, EXIF is stripped, and all images are forced to three-channel RGB. For segmentation, masks are validated: binary values only, identical size to the image, no empty or fully-covered masks, and image-mask alignment spot-checked visually.</w:t>
      </w:r>
    </w:p>
    <w:p>
      <w:pPr>
        <w:pStyle w:val="ListParagraph"/>
        <w:numPr>
          <w:ilvl w:val="0"/>
          <w:numId w:val="1"/>
        </w:numPr>
        <w:spacing w:after="30" w:line="235"/>
        <w:jc w:val="both"/>
      </w:pPr>
      <w:r>
        <w:rPr>
          <w:rFonts w:ascii="Calibri" w:cs="Calibri" w:eastAsia="Calibri" w:hAnsi="Calibri"/>
          <w:b/>
          <w:bCs/>
          <w:color w:val="000000"/>
          <w:sz w:val="18"/>
          <w:szCs w:val="18"/>
        </w:rPr>
        <w:t xml:space="preserve">Logging.</w:t>
      </w:r>
      <w:r>
        <w:rPr>
          <w:rFonts w:ascii="Calibri" w:cs="Calibri" w:eastAsia="Calibri" w:hAnsi="Calibri"/>
          <w:color w:val="000000"/>
          <w:sz w:val="18"/>
          <w:szCs w:val="18"/>
        </w:rPr>
        <w:t xml:space="preserve"> Per-class counts and mask statistics (ulcer-area fraction, number of connected components) are written to a manifest CSV after each stage. The final count will not be 1,055, and reporting the reduction honestly is a credibility signal.</w:t>
      </w:r>
    </w:p>
    <w:p>
      <w:pPr>
        <w:spacing w:after="55" w:line="228"/>
        <w:ind w:left="260"/>
        <w:jc w:val="both"/>
      </w:pPr>
      <w:r>
        <w:rPr>
          <w:rFonts w:ascii="Calibri" w:cs="Calibri" w:eastAsia="Calibri" w:hAnsi="Calibri"/>
          <w:b/>
          <w:bCs/>
          <w:i/>
          <w:iCs/>
          <w:color w:val="000000"/>
          <w:sz w:val="18"/>
          <w:szCs w:val="18"/>
        </w:rPr>
        <w:t xml:space="preserve">Plots: </w:t>
      </w:r>
      <w:r>
        <w:rPr>
          <w:rFonts w:ascii="Calibri" w:cs="Calibri" w:eastAsia="Calibri" w:hAnsi="Calibri"/>
          <w:i/>
          <w:iCs/>
          <w:color w:val="000000"/>
          <w:sz w:val="18"/>
          <w:szCs w:val="18"/>
        </w:rPr>
        <w:t xml:space="preserve">grouped bar chart of images per class at each hygiene stage (raw, post-MD5, post-pHash, post-decode); horizontal bar chart of removals by reason; histogram of ulcer-area fraction per segmentation image with the small-ulcer threshold marked.</w:t>
      </w:r>
    </w:p>
    <w:p>
      <w:pPr>
        <w:pStyle w:val="Heading1"/>
        <w:keepNext/>
        <w:spacing w:after="50" w:before="125"/>
      </w:pPr>
      <w:r>
        <w:rPr>
          <w:rFonts w:ascii="Calibri" w:cs="Calibri" w:eastAsia="Calibri" w:hAnsi="Calibri"/>
          <w:b/>
          <w:bCs/>
          <w:color w:val="000000"/>
          <w:sz w:val="21"/>
          <w:szCs w:val="21"/>
        </w:rPr>
        <w:t xml:space="preserve">4. Imputation</w:t>
      </w:r>
    </w:p>
    <w:p>
      <w:pPr>
        <w:spacing w:after="55" w:line="228"/>
        <w:jc w:val="both"/>
      </w:pPr>
      <w:r>
        <w:rPr>
          <w:rFonts w:ascii="Calibri" w:cs="Calibri" w:eastAsia="Calibri" w:hAnsi="Calibri"/>
          <w:color w:val="000000"/>
          <w:sz w:val="18"/>
          <w:szCs w:val="18"/>
        </w:rPr>
        <w:t xml:space="preserve">There is no missing-value imputation for raw pixels and none is claimed. Imputation enters at exactly one point: the handcrafted-feature table built for the classical arm in Section 15, where degenerate GLCM and LBP computations on flat or near-uniform patches emit NaN or division-by-zero values. Those cells are filled with a KNN or iterative (MICE-style) imputer fitted inside each training fold only, never on validation or test rows.</w:t>
      </w:r>
    </w:p>
    <w:p>
      <w:pPr>
        <w:spacing w:after="55" w:line="228"/>
        <w:ind w:left="260"/>
        <w:jc w:val="both"/>
      </w:pPr>
      <w:r>
        <w:rPr>
          <w:rFonts w:ascii="Calibri" w:cs="Calibri" w:eastAsia="Calibri" w:hAnsi="Calibri"/>
          <w:b/>
          <w:bCs/>
          <w:i/>
          <w:iCs/>
          <w:color w:val="000000"/>
          <w:sz w:val="18"/>
          <w:szCs w:val="18"/>
        </w:rPr>
        <w:t xml:space="preserve">Plots: </w:t>
      </w:r>
      <w:r>
        <w:rPr>
          <w:rFonts w:ascii="Calibri" w:cs="Calibri" w:eastAsia="Calibri" w:hAnsi="Calibri"/>
          <w:i/>
          <w:iCs/>
          <w:color w:val="000000"/>
          <w:sz w:val="18"/>
          <w:szCs w:val="18"/>
        </w:rPr>
        <w:t xml:space="preserve">heatmap of the NaN mask over the feature matrix; bar chart of NaN rate per descriptor family.</w:t>
      </w:r>
    </w:p>
    <w:p>
      <w:pPr>
        <w:pStyle w:val="Heading1"/>
        <w:keepNext/>
        <w:spacing w:after="50" w:before="125"/>
      </w:pPr>
      <w:r>
        <w:rPr>
          <w:rFonts w:ascii="Calibri" w:cs="Calibri" w:eastAsia="Calibri" w:hAnsi="Calibri"/>
          <w:b/>
          <w:bCs/>
          <w:color w:val="000000"/>
          <w:sz w:val="21"/>
          <w:szCs w:val="21"/>
        </w:rPr>
        <w:t xml:space="preserve">5. Preprocessing</w:t>
      </w:r>
    </w:p>
    <w:p>
      <w:pPr>
        <w:spacing w:after="55" w:line="228"/>
        <w:jc w:val="both"/>
      </w:pPr>
      <w:r>
        <w:rPr>
          <w:rFonts w:ascii="Calibri" w:cs="Calibri" w:eastAsia="Calibri" w:hAnsi="Calibri"/>
          <w:b/>
          <w:bCs/>
          <w:color w:val="000000"/>
          <w:sz w:val="18"/>
          <w:szCs w:val="18"/>
        </w:rPr>
        <w:t xml:space="preserve">Colour constancy.</w:t>
      </w:r>
      <w:r>
        <w:rPr>
          <w:rFonts w:ascii="Calibri" w:cs="Calibri" w:eastAsia="Calibri" w:hAnsi="Calibri"/>
          <w:color w:val="000000"/>
          <w:sz w:val="18"/>
          <w:szCs w:val="18"/>
        </w:rPr>
        <w:t xml:space="preserve"> Shades-of-Gray at Minkowski norm p = 6, with Gray-World as comparison. Non-optional. Images are captured under varied illumination on more than one device, and colour is the primary signal separating granulation tissue, slough, eschar and erythema; it also directly helps low-contrast ulcers (O1).</w:t>
      </w:r>
    </w:p>
    <w:p>
      <w:pPr>
        <w:spacing w:after="55" w:line="228"/>
        <w:jc w:val="both"/>
      </w:pPr>
      <w:r>
        <w:rPr>
          <w:rFonts w:ascii="Calibri" w:cs="Calibri" w:eastAsia="Calibri" w:hAnsi="Calibri"/>
          <w:b/>
          <w:bCs/>
          <w:color w:val="000000"/>
          <w:sz w:val="18"/>
          <w:szCs w:val="18"/>
        </w:rPr>
        <w:t xml:space="preserve">Denoising.</w:t>
      </w:r>
      <w:r>
        <w:rPr>
          <w:rFonts w:ascii="Calibri" w:cs="Calibri" w:eastAsia="Calibri" w:hAnsi="Calibri"/>
          <w:color w:val="000000"/>
          <w:sz w:val="18"/>
          <w:szCs w:val="18"/>
        </w:rPr>
        <w:t xml:space="preserve"> A light 3x3 median or Gaussian filter to suppress motion blur and sensor noise. The kernel stays small deliberately: heavier filtering destroys the texture that GLCM, LBP and the early ViT blocks depend on, and would blur ulcer boundaries. Ablated.</w:t>
      </w:r>
    </w:p>
    <w:p>
      <w:pPr>
        <w:spacing w:after="55" w:line="228"/>
        <w:jc w:val="both"/>
      </w:pPr>
      <w:r>
        <w:rPr>
          <w:rFonts w:ascii="Calibri" w:cs="Calibri" w:eastAsia="Calibri" w:hAnsi="Calibri"/>
          <w:b/>
          <w:bCs/>
          <w:color w:val="000000"/>
          <w:sz w:val="18"/>
          <w:szCs w:val="18"/>
        </w:rPr>
        <w:t xml:space="preserve">Contrast.</w:t>
      </w:r>
      <w:r>
        <w:rPr>
          <w:rFonts w:ascii="Calibri" w:cs="Calibri" w:eastAsia="Calibri" w:hAnsi="Calibri"/>
          <w:color w:val="000000"/>
          <w:sz w:val="18"/>
          <w:szCs w:val="18"/>
        </w:rPr>
        <w:t xml:space="preserve"> CLAHE on the L channel in LAB space, clip limit approximately 2.0, so luminance contrast improves without shifting chromaticity. Particularly relevant to low-contrast ulcer margins. Also ablated.</w:t>
      </w:r>
    </w:p>
    <w:p>
      <w:pPr>
        <w:spacing w:after="55" w:line="228"/>
        <w:jc w:val="both"/>
      </w:pPr>
      <w:r>
        <w:rPr>
          <w:rFonts w:ascii="Calibri" w:cs="Calibri" w:eastAsia="Calibri" w:hAnsi="Calibri"/>
          <w:b/>
          <w:bCs/>
          <w:color w:val="000000"/>
          <w:sz w:val="18"/>
          <w:szCs w:val="18"/>
        </w:rPr>
        <w:t xml:space="preserve">Resize.</w:t>
      </w:r>
      <w:r>
        <w:rPr>
          <w:rFonts w:ascii="Calibri" w:cs="Calibri" w:eastAsia="Calibri" w:hAnsi="Calibri"/>
          <w:color w:val="000000"/>
          <w:sz w:val="18"/>
          <w:szCs w:val="18"/>
        </w:rPr>
        <w:t xml:space="preserve"> Patches are already 224x224, matching ViT-B/16 natively, and the classification path stays at 224. The </w:t>
      </w:r>
      <w:r>
        <w:rPr>
          <w:rFonts w:ascii="Calibri" w:cs="Calibri" w:eastAsia="Calibri" w:hAnsi="Calibri"/>
          <w:b/>
          <w:bCs/>
          <w:color w:val="000000"/>
          <w:sz w:val="18"/>
          <w:szCs w:val="18"/>
        </w:rPr>
        <w:t xml:space="preserve">segmentation path uses 448x448 (512x512 attempted in the ablation)</w:t>
      </w:r>
      <w:r>
        <w:rPr>
          <w:rFonts w:ascii="Calibri" w:cs="Calibri" w:eastAsia="Calibri" w:hAnsi="Calibri"/>
          <w:color w:val="000000"/>
          <w:sz w:val="18"/>
          <w:szCs w:val="18"/>
        </w:rPr>
        <w:t xml:space="preserve"> with aspect-preserving resize and padding, because a 16-pixel patch stride at 224 resolution cannot represent small ulcers; the extra cost is offset by the lightweight student in Section 11. For the student, input size is itself a searched variable.</w:t>
      </w:r>
    </w:p>
    <w:p>
      <w:pPr>
        <w:spacing w:after="55" w:line="228"/>
        <w:jc w:val="both"/>
      </w:pPr>
      <w:r>
        <w:rPr>
          <w:rFonts w:ascii="Calibri" w:cs="Calibri" w:eastAsia="Calibri" w:hAnsi="Calibri"/>
          <w:b/>
          <w:bCs/>
          <w:color w:val="000000"/>
          <w:sz w:val="18"/>
          <w:szCs w:val="18"/>
        </w:rPr>
        <w:t xml:space="preserve">Normalisation.</w:t>
      </w:r>
      <w:r>
        <w:rPr>
          <w:rFonts w:ascii="Calibri" w:cs="Calibri" w:eastAsia="Calibri" w:hAnsi="Calibri"/>
          <w:color w:val="000000"/>
          <w:sz w:val="18"/>
          <w:szCs w:val="18"/>
        </w:rPr>
        <w:t xml:space="preserve"> ImageNet statistics, mean [0.485, 0.456, 0.406] and standard deviation [0.229, 0.224, 0.225], matching the pretraining of both the DINOv3 teacher and the ImageNet-pretrained CNN student. Substituting dataset-computed statistics under a pretrained encoder is a common and silently damaging mistake and is explicitly avoided.</w:t>
      </w:r>
    </w:p>
    <w:p>
      <w:pPr>
        <w:spacing w:after="55" w:line="228"/>
        <w:ind w:left="260"/>
        <w:jc w:val="both"/>
      </w:pPr>
      <w:r>
        <w:rPr>
          <w:rFonts w:ascii="Calibri" w:cs="Calibri" w:eastAsia="Calibri" w:hAnsi="Calibri"/>
          <w:b/>
          <w:bCs/>
          <w:i/>
          <w:iCs/>
          <w:color w:val="000000"/>
          <w:sz w:val="18"/>
          <w:szCs w:val="18"/>
        </w:rPr>
        <w:t xml:space="preserve">Plots: </w:t>
      </w:r>
      <w:r>
        <w:rPr>
          <w:rFonts w:ascii="Calibri" w:cs="Calibri" w:eastAsia="Calibri" w:hAnsi="Calibri"/>
          <w:i/>
          <w:iCs/>
          <w:color w:val="000000"/>
          <w:sz w:val="18"/>
          <w:szCs w:val="18"/>
        </w:rPr>
        <w:t xml:space="preserve">before/after image grid per stage; per-channel RGB histograms around colour constancy; LAB L-channel histogram around CLAHE; ablation bar chart with each stage disabled.</w:t>
      </w:r>
    </w:p>
    <w:p>
      <w:pPr>
        <w:pStyle w:val="Heading1"/>
        <w:keepNext/>
        <w:spacing w:after="50" w:before="125"/>
      </w:pPr>
      <w:r>
        <w:rPr>
          <w:rFonts w:ascii="Calibri" w:cs="Calibri" w:eastAsia="Calibri" w:hAnsi="Calibri"/>
          <w:b/>
          <w:bCs/>
          <w:color w:val="000000"/>
          <w:sz w:val="21"/>
          <w:szCs w:val="21"/>
        </w:rPr>
        <w:t xml:space="preserve">6. Augmentation</w:t>
      </w:r>
    </w:p>
    <w:p>
      <w:pPr>
        <w:spacing w:after="55" w:line="228"/>
        <w:jc w:val="both"/>
      </w:pPr>
      <w:r>
        <w:rPr>
          <w:rFonts w:ascii="Calibri" w:cs="Calibri" w:eastAsia="Calibri" w:hAnsi="Calibri"/>
          <w:color w:val="000000"/>
          <w:sz w:val="18"/>
          <w:szCs w:val="18"/>
        </w:rPr>
        <w:t xml:space="preserve">All augmentation is online, inside the dataloader, and never written to disk before the split. </w:t>
      </w:r>
      <w:r>
        <w:rPr>
          <w:rFonts w:ascii="Calibri" w:cs="Calibri" w:eastAsia="Calibri" w:hAnsi="Calibri"/>
          <w:b/>
          <w:bCs/>
          <w:color w:val="000000"/>
          <w:sz w:val="18"/>
          <w:szCs w:val="18"/>
        </w:rPr>
        <w:t xml:space="preserve">For segmentation, every geometric transform is applied identically to image and mask</w:t>
      </w:r>
      <w:r>
        <w:rPr>
          <w:rFonts w:ascii="Calibri" w:cs="Calibri" w:eastAsia="Calibri" w:hAnsi="Calibri"/>
          <w:color w:val="000000"/>
          <w:sz w:val="18"/>
          <w:szCs w:val="18"/>
        </w:rPr>
        <w:t xml:space="preserve"> (nearest-neighbour interpolation for masks), and photometric transforms touch the image only.</w:t>
      </w:r>
    </w:p>
    <w:p>
      <w:pPr>
        <w:pStyle w:val="ListParagraph"/>
        <w:numPr>
          <w:ilvl w:val="0"/>
          <w:numId w:val="1"/>
        </w:numPr>
        <w:spacing w:after="30" w:line="235"/>
        <w:jc w:val="both"/>
      </w:pPr>
      <w:r>
        <w:rPr>
          <w:rFonts w:ascii="Calibri" w:cs="Calibri" w:eastAsia="Calibri" w:hAnsi="Calibri"/>
          <w:b/>
          <w:bCs/>
          <w:color w:val="000000"/>
          <w:sz w:val="18"/>
          <w:szCs w:val="18"/>
        </w:rPr>
        <w:t xml:space="preserve">Geometric (aggressive).</w:t>
      </w:r>
      <w:r>
        <w:rPr>
          <w:rFonts w:ascii="Calibri" w:cs="Calibri" w:eastAsia="Calibri" w:hAnsi="Calibri"/>
          <w:color w:val="000000"/>
          <w:sz w:val="18"/>
          <w:szCs w:val="18"/>
        </w:rPr>
        <w:t xml:space="preserve"> Horizontal and vertical flip, rotation of plus or minus 30 degrees, RandomResizedCrop at scale 0.7-1.0 with a </w:t>
      </w:r>
      <w:r>
        <w:rPr>
          <w:rFonts w:ascii="Calibri" w:cs="Calibri" w:eastAsia="Calibri" w:hAnsi="Calibri"/>
          <w:b/>
          <w:bCs/>
          <w:color w:val="000000"/>
          <w:sz w:val="18"/>
          <w:szCs w:val="18"/>
        </w:rPr>
        <w:t xml:space="preserve">small-lesion guard</w:t>
      </w:r>
      <w:r>
        <w:rPr>
          <w:rFonts w:ascii="Calibri" w:cs="Calibri" w:eastAsia="Calibri" w:hAnsi="Calibri"/>
          <w:color w:val="000000"/>
          <w:sz w:val="18"/>
          <w:szCs w:val="18"/>
        </w:rPr>
        <w:t xml:space="preserve"> (crops that would remove the entire ulcer are rejected), affine shift and scale of plus or minus 10 percent, light elastic transform.</w:t>
      </w:r>
    </w:p>
    <w:p>
      <w:pPr>
        <w:pStyle w:val="ListParagraph"/>
        <w:numPr>
          <w:ilvl w:val="0"/>
          <w:numId w:val="1"/>
        </w:numPr>
        <w:spacing w:after="30" w:line="235"/>
        <w:jc w:val="both"/>
      </w:pPr>
      <w:r>
        <w:rPr>
          <w:rFonts w:ascii="Calibri" w:cs="Calibri" w:eastAsia="Calibri" w:hAnsi="Calibri"/>
          <w:b/>
          <w:bCs/>
          <w:color w:val="000000"/>
          <w:sz w:val="18"/>
          <w:szCs w:val="18"/>
        </w:rPr>
        <w:t xml:space="preserve">Photometric (conservative).</w:t>
      </w:r>
      <w:r>
        <w:rPr>
          <w:rFonts w:ascii="Calibri" w:cs="Calibri" w:eastAsia="Calibri" w:hAnsi="Calibri"/>
          <w:color w:val="000000"/>
          <w:sz w:val="18"/>
          <w:szCs w:val="18"/>
        </w:rPr>
        <w:t xml:space="preserve"> Brightness and contrast plus or minus 0.2, saturation plus or minus 0.15, hue plus or minus 0.02 only. Erythema, granulation tissue, slough and necrosis are separated primarily by hue; a default ColorJitter hue of 0.1 actively destroys that signal. This bound is fixed, not tuned.</w:t>
      </w:r>
    </w:p>
    <w:p>
      <w:pPr>
        <w:pStyle w:val="ListParagraph"/>
        <w:numPr>
          <w:ilvl w:val="0"/>
          <w:numId w:val="1"/>
        </w:numPr>
        <w:spacing w:after="30" w:line="235"/>
        <w:jc w:val="both"/>
      </w:pPr>
      <w:r>
        <w:rPr>
          <w:rFonts w:ascii="Calibri" w:cs="Calibri" w:eastAsia="Calibri" w:hAnsi="Calibri"/>
          <w:b/>
          <w:bCs/>
          <w:color w:val="000000"/>
          <w:sz w:val="18"/>
          <w:szCs w:val="18"/>
        </w:rPr>
        <w:t xml:space="preserve">Regularisation-style.</w:t>
      </w:r>
      <w:r>
        <w:rPr>
          <w:rFonts w:ascii="Calibri" w:cs="Calibri" w:eastAsia="Calibri" w:hAnsi="Calibri"/>
          <w:color w:val="000000"/>
          <w:sz w:val="18"/>
          <w:szCs w:val="18"/>
        </w:rPr>
        <w:t xml:space="preserve"> RandAugment (n = 2, m = 7) or TrivialAugmentWide; for classification, Mixup at alpha 0.2 with CutMix at alpha 1.0 using soft targets; RandomErasing at p = 0.25. CutMix and Mixup are </w:t>
      </w:r>
      <w:r>
        <w:rPr>
          <w:rFonts w:ascii="Calibri" w:cs="Calibri" w:eastAsia="Calibri" w:hAnsi="Calibri"/>
          <w:b/>
          <w:bCs/>
          <w:color w:val="000000"/>
          <w:sz w:val="18"/>
          <w:szCs w:val="18"/>
        </w:rPr>
        <w:t xml:space="preserve">not</w:t>
      </w:r>
      <w:r>
        <w:rPr>
          <w:rFonts w:ascii="Calibri" w:cs="Calibri" w:eastAsia="Calibri" w:hAnsi="Calibri"/>
          <w:color w:val="000000"/>
          <w:sz w:val="18"/>
          <w:szCs w:val="18"/>
        </w:rPr>
        <w:t xml:space="preserve"> applied to segmentation images, since they would corrupt mask semantics; copy-paste of ulcer regions onto healthy skin is evaluated as an optional segmentation-specific alternative.</w:t>
      </w:r>
    </w:p>
    <w:p>
      <w:pPr>
        <w:pStyle w:val="ListParagraph"/>
        <w:numPr>
          <w:ilvl w:val="0"/>
          <w:numId w:val="1"/>
        </w:numPr>
        <w:spacing w:after="30" w:line="235"/>
        <w:jc w:val="both"/>
      </w:pPr>
      <w:r>
        <w:rPr>
          <w:rFonts w:ascii="Calibri" w:cs="Calibri" w:eastAsia="Calibri" w:hAnsi="Calibri"/>
          <w:b/>
          <w:bCs/>
          <w:color w:val="000000"/>
          <w:sz w:val="18"/>
          <w:szCs w:val="18"/>
        </w:rPr>
        <w:t xml:space="preserve">Synthetic augmentation.</w:t>
      </w:r>
      <w:r>
        <w:rPr>
          <w:rFonts w:ascii="Calibri" w:cs="Calibri" w:eastAsia="Calibri" w:hAnsi="Calibri"/>
          <w:color w:val="000000"/>
          <w:sz w:val="18"/>
          <w:szCs w:val="18"/>
        </w:rPr>
        <w:t xml:space="preserve"> GAN-generated samples (Section 10) are a separate, controlled data source, added only to training folds and flagged in the manifest so they can always be excluded or counted.</w:t>
      </w:r>
    </w:p>
    <w:p>
      <w:pPr>
        <w:spacing w:after="55" w:line="228"/>
        <w:ind w:left="260"/>
        <w:jc w:val="both"/>
      </w:pPr>
      <w:r>
        <w:rPr>
          <w:rFonts w:ascii="Calibri" w:cs="Calibri" w:eastAsia="Calibri" w:hAnsi="Calibri"/>
          <w:b/>
          <w:bCs/>
          <w:i/>
          <w:iCs/>
          <w:color w:val="000000"/>
          <w:sz w:val="18"/>
          <w:szCs w:val="18"/>
        </w:rPr>
        <w:t xml:space="preserve">Plots: </w:t>
      </w:r>
      <w:r>
        <w:rPr>
          <w:rFonts w:ascii="Calibri" w:cs="Calibri" w:eastAsia="Calibri" w:hAnsi="Calibri"/>
          <w:i/>
          <w:iCs/>
          <w:color w:val="000000"/>
          <w:sz w:val="18"/>
          <w:szCs w:val="18"/>
        </w:rPr>
        <w:t xml:space="preserve">grid of augmented variants of one anchor image (with overlaid mask) per class; histogram of sampled augmentation parameters across an epoch to confirm the intended ranges are drawn.</w:t>
      </w:r>
    </w:p>
    <w:p>
      <w:pPr>
        <w:pStyle w:val="Heading1"/>
        <w:keepNext/>
        <w:spacing w:after="50" w:before="125"/>
      </w:pPr>
      <w:r>
        <w:rPr>
          <w:rFonts w:ascii="Calibri" w:cs="Calibri" w:eastAsia="Calibri" w:hAnsi="Calibri"/>
          <w:b/>
          <w:bCs/>
          <w:color w:val="000000"/>
          <w:sz w:val="21"/>
          <w:szCs w:val="21"/>
        </w:rPr>
        <w:t xml:space="preserve">7. Grouping and Train / Test Split Strategy</w:t>
      </w:r>
    </w:p>
    <w:p>
      <w:pPr>
        <w:spacing w:after="55" w:line="228"/>
        <w:jc w:val="both"/>
      </w:pPr>
      <w:r>
        <w:rPr>
          <w:rFonts w:ascii="Calibri" w:cs="Calibri" w:eastAsia="Calibri" w:hAnsi="Calibri"/>
          <w:color w:val="000000"/>
          <w:sz w:val="18"/>
          <w:szCs w:val="18"/>
        </w:rPr>
        <w:t xml:space="preserve">The Patches folder holds crops, and several patches originate from one foot photograph: 1,055 patches from 493 photographs averages more than two patches per foot, and healthy and ulcer patches are frequently cut from the same foot. If two crops of the same foot land on opposite sides of the split, the reported score measures memorisation rather than generalisation. This is the dominant source of inflated results in the published DFU literature, so the protocol is built around it. Grouping is first attempted from filename structure; if patch filenames encode the source photograph, that becomes the group key. If they do not, groups are recovered from the Original Images folder: each patch is matched back to its source photograph by multi-scale normalised cross-correlation template matching, confirmed with frozen DINOv3 embedding similarity, and every patch matched to the same photograph forms one group. Patches that fail to match fall back to agglomerative clustering on perceptual hashes and embeddings at a tight threshold. Group quality is verified by visual inspection of a random sample before use.</w:t>
      </w:r>
    </w:p>
    <w:p>
      <w:pPr>
        <w:spacing w:after="55" w:line="228"/>
        <w:jc w:val="both"/>
      </w:pPr>
      <w:r>
        <w:rPr>
          <w:rFonts w:ascii="Calibri" w:cs="Calibri" w:eastAsia="Calibri" w:hAnsi="Calibri"/>
          <w:b/>
          <w:bCs/>
          <w:color w:val="000000"/>
          <w:sz w:val="18"/>
          <w:szCs w:val="18"/>
        </w:rPr>
        <w:t xml:space="preserve">Classification split.</w:t>
      </w:r>
      <w:r>
        <w:rPr>
          <w:rFonts w:ascii="Calibri" w:cs="Calibri" w:eastAsia="Calibri" w:hAnsi="Calibri"/>
          <w:color w:val="000000"/>
          <w:sz w:val="18"/>
          <w:szCs w:val="18"/>
        </w:rPr>
        <w:t xml:space="preserve"> A stratified, group-aware hold-out test set of 15 percent is separated first and locked. The remaining 85 percent drives 5-fold StratifiedGroupKFold cross-validation repeated over three seeds, giving fifteen fits reported as mean plus or minus standard deviation. No augmentation, feature selection, imputer fitting or </w:t>
      </w:r>
      <w:r>
        <w:rPr>
          <w:rFonts w:ascii="Calibri" w:cs="Calibri" w:eastAsia="Calibri" w:hAnsi="Calibri"/>
          <w:b/>
          <w:bCs/>
          <w:color w:val="000000"/>
          <w:sz w:val="18"/>
          <w:szCs w:val="18"/>
        </w:rPr>
        <w:t xml:space="preserve">GAN training</w:t>
      </w:r>
      <w:r>
        <w:rPr>
          <w:rFonts w:ascii="Calibri" w:cs="Calibri" w:eastAsia="Calibri" w:hAnsi="Calibri"/>
          <w:color w:val="000000"/>
          <w:sz w:val="18"/>
          <w:szCs w:val="18"/>
        </w:rPr>
        <w:t xml:space="preserve"> occurs before the split.</w:t>
      </w:r>
    </w:p>
    <w:p>
      <w:pPr>
        <w:spacing w:after="55" w:line="228"/>
        <w:jc w:val="both"/>
      </w:pPr>
      <w:r>
        <w:rPr>
          <w:rFonts w:ascii="Calibri" w:cs="Calibri" w:eastAsia="Calibri" w:hAnsi="Calibri"/>
          <w:b/>
          <w:bCs/>
          <w:color w:val="000000"/>
          <w:sz w:val="18"/>
          <w:szCs w:val="18"/>
        </w:rPr>
        <w:t xml:space="preserve">Segmentation split.</w:t>
      </w:r>
      <w:r>
        <w:rPr>
          <w:rFonts w:ascii="Calibri" w:cs="Calibri" w:eastAsia="Calibri" w:hAnsi="Calibri"/>
          <w:color w:val="000000"/>
          <w:sz w:val="18"/>
          <w:szCs w:val="18"/>
        </w:rPr>
        <w:t xml:space="preserve"> The official FUSeg train/validation/test division is respected and the official test set is locked. Within the training portion, images are grouped by wound-photograph similarity (and by patient identifier where the release provides one) and split with 5-fold StratifiedGroupKFold, stratified by ulcer-size tertile so small, medium and large ulcers appear in every fold. The external dataset is never touched during development.</w:t>
      </w:r>
    </w:p>
    <w:p>
      <w:pPr>
        <w:spacing w:after="55" w:line="228"/>
        <w:jc w:val="both"/>
      </w:pPr>
      <w:r>
        <w:rPr>
          <w:rFonts w:ascii="Calibri" w:cs="Calibri" w:eastAsia="Calibri" w:hAnsi="Calibri"/>
          <w:b/>
          <w:bCs/>
          <w:color w:val="000000"/>
          <w:sz w:val="18"/>
          <w:szCs w:val="18"/>
        </w:rPr>
        <w:t xml:space="preserve">GAN protocol.</w:t>
      </w:r>
      <w:r>
        <w:rPr>
          <w:rFonts w:ascii="Calibri" w:cs="Calibri" w:eastAsia="Calibri" w:hAnsi="Calibri"/>
          <w:color w:val="000000"/>
          <w:sz w:val="18"/>
          <w:szCs w:val="18"/>
        </w:rPr>
        <w:t xml:space="preserve"> Generators are fitted only on the training portion of a fold; synthetic images never enter a validation or test fold, and synthetic images derived from a fold are discarded when another fold is evaluated. Because GAN training is costly, GAN arms use 5-fold cross-validation with a single seed, while non-GAN arms keep three seeds; this difference is declared wherever results are compared.</w:t>
      </w:r>
    </w:p>
    <w:p>
      <w:pPr>
        <w:spacing w:after="55" w:line="228"/>
        <w:ind w:left="260"/>
        <w:jc w:val="both"/>
      </w:pPr>
      <w:r>
        <w:rPr>
          <w:rFonts w:ascii="Calibri" w:cs="Calibri" w:eastAsia="Calibri" w:hAnsi="Calibri"/>
          <w:b/>
          <w:bCs/>
          <w:i/>
          <w:iCs/>
          <w:color w:val="000000"/>
          <w:sz w:val="18"/>
          <w:szCs w:val="18"/>
        </w:rPr>
        <w:t xml:space="preserve">Plots: </w:t>
      </w:r>
      <w:r>
        <w:rPr>
          <w:rFonts w:ascii="Calibri" w:cs="Calibri" w:eastAsia="Calibri" w:hAnsi="Calibri"/>
          <w:i/>
          <w:iCs/>
          <w:color w:val="000000"/>
          <w:sz w:val="18"/>
          <w:szCs w:val="18"/>
        </w:rPr>
        <w:t xml:space="preserve">group-size histogram; 2-D UMAP scatter of embeddings coloured by group and shaped by class; stacked bar chart of class composition and ulcer-size tertiles across train, validation and test to confirm stratification held.</w:t>
      </w:r>
    </w:p>
    <w:p>
      <w:pPr>
        <w:pStyle w:val="Heading1"/>
        <w:keepNext/>
        <w:spacing w:after="50" w:before="125"/>
      </w:pPr>
      <w:r>
        <w:rPr>
          <w:rFonts w:ascii="Calibri" w:cs="Calibri" w:eastAsia="Calibri" w:hAnsi="Calibri"/>
          <w:b/>
          <w:bCs/>
          <w:color w:val="000000"/>
          <w:sz w:val="21"/>
          <w:szCs w:val="21"/>
        </w:rPr>
        <w:t xml:space="preserve">8. Feature Engineering</w:t>
      </w:r>
    </w:p>
    <w:p>
      <w:pPr>
        <w:spacing w:after="55" w:line="228"/>
        <w:jc w:val="both"/>
      </w:pPr>
      <w:r>
        <w:rPr>
          <w:rFonts w:ascii="Calibri" w:cs="Calibri" w:eastAsia="Calibri" w:hAnsi="Calibri"/>
          <w:color w:val="000000"/>
          <w:sz w:val="18"/>
          <w:szCs w:val="18"/>
        </w:rPr>
        <w:t xml:space="preserve">For the transformer arm the representation is richer than the default CLS vector. The CLS token is concatenated with mean-pooled patch tokens to give a 1,536-dimensional descriptor for ViT-B for classification, and CLS tokens from the final four blocks are fused so mid-level texture is captured alongside high-level semantics. The classification head uses attentive pooling over patch tokens, and the output layer is a single-logit sigmoid trained with binary cross-entropy (a focal variant is ablated), with the operating threshold selected on the validation folds to satisfy a sensitivity floor for ulcer rather than fixed at 0.5.</w:t>
      </w:r>
    </w:p>
    <w:p>
      <w:pPr>
        <w:spacing w:after="55" w:line="228"/>
        <w:jc w:val="both"/>
      </w:pPr>
      <w:r>
        <w:rPr>
          <w:rFonts w:ascii="Calibri" w:cs="Calibri" w:eastAsia="Calibri" w:hAnsi="Calibri"/>
          <w:b/>
          <w:bCs/>
          <w:color w:val="000000"/>
          <w:sz w:val="18"/>
          <w:szCs w:val="18"/>
        </w:rPr>
        <w:t xml:space="preserve">For segmentation, patch tokens from blocks 3, 6, 9 and 12 are reshaped to feature maps and passed to a multi-scale decoder (Section 9).</w:t>
      </w:r>
      <w:r>
        <w:rPr>
          <w:rFonts w:ascii="Calibri" w:cs="Calibri" w:eastAsia="Calibri" w:hAnsi="Calibri"/>
          <w:color w:val="000000"/>
          <w:sz w:val="18"/>
          <w:szCs w:val="18"/>
        </w:rPr>
        <w:t xml:space="preserve"> Early blocks retain fine spatial detail needed for small ulcers and boundaries, while late blocks supply semantic context. Outlier and anomaly detection is intentionally excluded: deduplication and decodability checks already remove the failure modes that matter, and unsupervised outlier removal on a clinical dataset risks discarding rare but genuine atypical ulcer presentations.</w:t>
      </w:r>
    </w:p>
    <w:p>
      <w:pPr>
        <w:spacing w:after="55" w:line="228"/>
        <w:ind w:left="260"/>
        <w:jc w:val="both"/>
      </w:pPr>
      <w:r>
        <w:rPr>
          <w:rFonts w:ascii="Calibri" w:cs="Calibri" w:eastAsia="Calibri" w:hAnsi="Calibri"/>
          <w:b/>
          <w:bCs/>
          <w:i/>
          <w:iCs/>
          <w:color w:val="000000"/>
          <w:sz w:val="18"/>
          <w:szCs w:val="18"/>
        </w:rPr>
        <w:t xml:space="preserve">Plots: </w:t>
      </w:r>
      <w:r>
        <w:rPr>
          <w:rFonts w:ascii="Calibri" w:cs="Calibri" w:eastAsia="Calibri" w:hAnsi="Calibri"/>
          <w:i/>
          <w:iCs/>
          <w:color w:val="000000"/>
          <w:sz w:val="18"/>
          <w:szCs w:val="18"/>
        </w:rPr>
        <w:t xml:space="preserve">attention-rollout heatmap overlays per class; UMAP projection of the 1,536-dimensional descriptors coloured by class, showing separability before training; mean activation maps per ViT block showing where small ulcers are resolved.</w:t>
      </w:r>
    </w:p>
    <w:p>
      <w:pPr>
        <w:pStyle w:val="Heading1"/>
        <w:keepNext/>
        <w:spacing w:after="50" w:before="125"/>
      </w:pPr>
      <w:r>
        <w:rPr>
          <w:rFonts w:ascii="Calibri" w:cs="Calibri" w:eastAsia="Calibri" w:hAnsi="Calibri"/>
          <w:b/>
          <w:bCs/>
          <w:color w:val="000000"/>
          <w:sz w:val="21"/>
          <w:szCs w:val="21"/>
        </w:rPr>
        <w:t xml:space="preserve">9. Proposed Models: Teacher for Segmentation and Classification (O1)</w:t>
      </w:r>
    </w:p>
    <w:p>
      <w:pPr>
        <w:spacing w:after="55" w:line="228"/>
        <w:jc w:val="both"/>
      </w:pPr>
      <w:r>
        <w:rPr>
          <w:rFonts w:ascii="Calibri" w:cs="Calibri" w:eastAsia="Calibri" w:hAnsi="Calibri"/>
          <w:b/>
          <w:bCs/>
          <w:color w:val="000000"/>
          <w:sz w:val="18"/>
          <w:szCs w:val="18"/>
        </w:rPr>
        <w:t xml:space="preserve">Backbone.</w:t>
      </w:r>
      <w:r>
        <w:rPr>
          <w:rFonts w:ascii="Calibri" w:cs="Calibri" w:eastAsia="Calibri" w:hAnsi="Calibri"/>
          <w:color w:val="000000"/>
          <w:sz w:val="18"/>
          <w:szCs w:val="18"/>
        </w:rPr>
        <w:t xml:space="preserve"> DINOv3 ViT-B/16 is loaded with pretrained self-supervised weights and kept frozen. LoRA adapters are injected into the attention projections; only the adapters, the decoder and the heads are trainable. Scale is fixed at ViT-B rather than ViT-L or H+, because at this effective sample size larger variants overfit before they pay for their capacity, and the preference for LoRA over full fine-tuning is empirical: in data-scarce regimes low-rank adaptation of a strong self-supervised backbone stays stable and outperforms full fine-tuning, which becomes unstable and overwrites pretrained structure.</w:t>
      </w:r>
    </w:p>
    <w:p>
      <w:pPr>
        <w:spacing w:after="55" w:line="228"/>
        <w:jc w:val="both"/>
      </w:pPr>
      <w:r>
        <w:rPr>
          <w:rFonts w:ascii="Calibri" w:cs="Calibri" w:eastAsia="Calibri" w:hAnsi="Calibri"/>
          <w:b/>
          <w:bCs/>
          <w:color w:val="000000"/>
          <w:sz w:val="18"/>
          <w:szCs w:val="18"/>
        </w:rPr>
        <w:t xml:space="preserve">Segmentation decoder (core of O1).</w:t>
      </w:r>
      <w:r>
        <w:rPr>
          <w:rFonts w:ascii="Calibri" w:cs="Calibri" w:eastAsia="Calibri" w:hAnsi="Calibri"/>
          <w:color w:val="000000"/>
          <w:sz w:val="18"/>
          <w:szCs w:val="18"/>
        </w:rPr>
        <w:t xml:space="preserve"> A lightweight multi-scale decoder (ViT-Adapter / UPerNet-style feature pyramid) fuses tokens from blocks 3, 6, 9 and 12 with progressive upsampling to full resolution. A dedicated </w:t>
      </w:r>
      <w:r>
        <w:rPr>
          <w:rFonts w:ascii="Calibri" w:cs="Calibri" w:eastAsia="Calibri" w:hAnsi="Calibri"/>
          <w:b/>
          <w:bCs/>
          <w:color w:val="000000"/>
          <w:sz w:val="18"/>
          <w:szCs w:val="18"/>
        </w:rPr>
        <w:t xml:space="preserve">boundary-refinement branch</w:t>
      </w:r>
      <w:r>
        <w:rPr>
          <w:rFonts w:ascii="Calibri" w:cs="Calibri" w:eastAsia="Calibri" w:hAnsi="Calibri"/>
          <w:color w:val="000000"/>
          <w:sz w:val="18"/>
          <w:szCs w:val="18"/>
        </w:rPr>
        <w:t xml:space="preserve"> takes the earliest high-resolution features and an image-edge prior, and predicts a thin boundary map that sharpens irregular margins. Deep supervision is applied at intermediate scales.</w:t>
      </w:r>
    </w:p>
    <w:p>
      <w:pPr>
        <w:pStyle w:val="ListParagraph"/>
        <w:numPr>
          <w:ilvl w:val="0"/>
          <w:numId w:val="1"/>
        </w:numPr>
        <w:spacing w:after="30" w:line="235"/>
        <w:jc w:val="both"/>
      </w:pPr>
      <w:r>
        <w:rPr>
          <w:rFonts w:ascii="Calibri" w:cs="Calibri" w:eastAsia="Calibri" w:hAnsi="Calibri"/>
          <w:b/>
          <w:bCs/>
          <w:color w:val="000000"/>
          <w:sz w:val="18"/>
          <w:szCs w:val="18"/>
        </w:rPr>
        <w:t xml:space="preserve">Small ulcers.</w:t>
      </w:r>
      <w:r>
        <w:rPr>
          <w:rFonts w:ascii="Calibri" w:cs="Calibri" w:eastAsia="Calibri" w:hAnsi="Calibri"/>
          <w:color w:val="000000"/>
          <w:sz w:val="18"/>
          <w:szCs w:val="18"/>
        </w:rPr>
        <w:t xml:space="preserve"> Higher input resolution, early-block skip features, and a Focal-Tversky term (beta weighted toward recall) so that tiny regions are not swamped by background.</w:t>
      </w:r>
    </w:p>
    <w:p>
      <w:pPr>
        <w:pStyle w:val="ListParagraph"/>
        <w:numPr>
          <w:ilvl w:val="0"/>
          <w:numId w:val="1"/>
        </w:numPr>
        <w:spacing w:after="30" w:line="235"/>
        <w:jc w:val="both"/>
      </w:pPr>
      <w:r>
        <w:rPr>
          <w:rFonts w:ascii="Calibri" w:cs="Calibri" w:eastAsia="Calibri" w:hAnsi="Calibri"/>
          <w:b/>
          <w:bCs/>
          <w:color w:val="000000"/>
          <w:sz w:val="18"/>
          <w:szCs w:val="18"/>
        </w:rPr>
        <w:t xml:space="preserve">Irregular shapes.</w:t>
      </w:r>
      <w:r>
        <w:rPr>
          <w:rFonts w:ascii="Calibri" w:cs="Calibri" w:eastAsia="Calibri" w:hAnsi="Calibri"/>
          <w:color w:val="000000"/>
          <w:sz w:val="18"/>
          <w:szCs w:val="18"/>
        </w:rPr>
        <w:t xml:space="preserve"> Boundary loss and boundary-refinement branch; no shape prior is imposed, so non-convex wounds are not smoothed away.</w:t>
      </w:r>
    </w:p>
    <w:p>
      <w:pPr>
        <w:pStyle w:val="ListParagraph"/>
        <w:numPr>
          <w:ilvl w:val="0"/>
          <w:numId w:val="1"/>
        </w:numPr>
        <w:spacing w:after="30" w:line="235"/>
        <w:jc w:val="both"/>
      </w:pPr>
      <w:r>
        <w:rPr>
          <w:rFonts w:ascii="Calibri" w:cs="Calibri" w:eastAsia="Calibri" w:hAnsi="Calibri"/>
          <w:b/>
          <w:bCs/>
          <w:color w:val="000000"/>
          <w:sz w:val="18"/>
          <w:szCs w:val="18"/>
        </w:rPr>
        <w:t xml:space="preserve">Low-contrast ulcers.</w:t>
      </w:r>
      <w:r>
        <w:rPr>
          <w:rFonts w:ascii="Calibri" w:cs="Calibri" w:eastAsia="Calibri" w:hAnsi="Calibri"/>
          <w:color w:val="000000"/>
          <w:sz w:val="18"/>
          <w:szCs w:val="18"/>
        </w:rPr>
        <w:t xml:space="preserve"> Colour-constancy and CLAHE preprocessing, hue-preserving augmentation, and training emphasis on low-contrast cases through contrast-stratified sample weighting.</w:t>
      </w:r>
    </w:p>
    <w:p>
      <w:pPr>
        <w:spacing w:after="55" w:line="228"/>
        <w:jc w:val="both"/>
      </w:pPr>
      <w:r>
        <w:rPr>
          <w:rFonts w:ascii="Calibri" w:cs="Calibri" w:eastAsia="Calibri" w:hAnsi="Calibri"/>
          <w:b/>
          <w:bCs/>
          <w:color w:val="000000"/>
          <w:sz w:val="18"/>
          <w:szCs w:val="18"/>
        </w:rPr>
        <w:t xml:space="preserve">Loss.</w:t>
      </w:r>
      <w:r>
        <w:rPr>
          <w:rFonts w:ascii="Calibri" w:cs="Calibri" w:eastAsia="Calibri" w:hAnsi="Calibri"/>
          <w:color w:val="000000"/>
          <w:sz w:val="18"/>
          <w:szCs w:val="18"/>
        </w:rPr>
        <w:t xml:space="preserve"> L = Dice + Focal-Tversky + boundary loss + auxiliary deep-supervision terms (weights searched by ACO). </w:t>
      </w:r>
      <w:r>
        <w:rPr>
          <w:rFonts w:ascii="Calibri" w:cs="Calibri" w:eastAsia="Calibri" w:hAnsi="Calibri"/>
          <w:b/>
          <w:bCs/>
          <w:color w:val="000000"/>
          <w:sz w:val="18"/>
          <w:szCs w:val="18"/>
        </w:rPr>
        <w:t xml:space="preserve">Multi-task classification.</w:t>
      </w:r>
      <w:r>
        <w:rPr>
          <w:rFonts w:ascii="Calibri" w:cs="Calibri" w:eastAsia="Calibri" w:hAnsi="Calibri"/>
          <w:color w:val="000000"/>
          <w:sz w:val="18"/>
          <w:szCs w:val="18"/>
        </w:rPr>
        <w:t xml:space="preserve"> A shared-encoder classification head (Section 8) is trained on QUTNet patches in alternating batches with a small loss weight, so classification adds minimal parameters and compute; a pure-segmentation model is ablated to show whether the multi-task head helps or hurts Dice.</w:t>
      </w:r>
    </w:p>
    <w:p>
      <w:pPr>
        <w:spacing w:after="55" w:line="228"/>
        <w:jc w:val="both"/>
      </w:pPr>
      <w:r>
        <w:rPr>
          <w:rFonts w:ascii="Calibri" w:cs="Calibri" w:eastAsia="Calibri" w:hAnsi="Calibri"/>
          <w:b/>
          <w:bCs/>
          <w:color w:val="000000"/>
          <w:sz w:val="18"/>
          <w:szCs w:val="18"/>
        </w:rPr>
        <w:t xml:space="preserve">Training</w:t>
      </w:r>
      <w:r>
        <w:rPr>
          <w:rFonts w:ascii="Calibri" w:cs="Calibri" w:eastAsia="Calibri" w:hAnsi="Calibri"/>
          <w:color w:val="000000"/>
          <w:sz w:val="18"/>
          <w:szCs w:val="18"/>
        </w:rPr>
        <w:t xml:space="preserve"> is two-stage. Stage one trains the decoder and heads alone against the frozen backbone as a short warm-up, so no untrained module sends unusable gradients into the adapters. Stage two enables the adapters at a low learning rate with cosine decay and layer-wise learning-rate decay. Optimiser: AdamW with mixed precision, gradient clipping at 1.0, an exponential moving average of weights, and early stopping on validation Dice (segmentation) and Matthews correlation coefficient (classification). </w:t>
      </w:r>
      <w:r>
        <w:rPr>
          <w:rFonts w:ascii="Calibri" w:cs="Calibri" w:eastAsia="Calibri" w:hAnsi="Calibri"/>
          <w:b/>
          <w:bCs/>
          <w:color w:val="000000"/>
          <w:sz w:val="18"/>
          <w:szCs w:val="18"/>
        </w:rPr>
        <w:t xml:space="preserve">Inference</w:t>
      </w:r>
      <w:r>
        <w:rPr>
          <w:rFonts w:ascii="Calibri" w:cs="Calibri" w:eastAsia="Calibri" w:hAnsi="Calibri"/>
          <w:color w:val="000000"/>
          <w:sz w:val="18"/>
          <w:szCs w:val="18"/>
        </w:rPr>
        <w:t xml:space="preserve"> uses four-way test-time augmentation with probability averaging and removal of connected components below a minimum area, tuned on validation only.</w:t>
      </w:r>
    </w:p>
    <w:p>
      <w:pPr>
        <w:spacing w:after="55" w:line="228"/>
        <w:ind w:left="260"/>
        <w:jc w:val="both"/>
      </w:pPr>
      <w:r>
        <w:rPr>
          <w:rFonts w:ascii="Calibri" w:cs="Calibri" w:eastAsia="Calibri" w:hAnsi="Calibri"/>
          <w:b/>
          <w:bCs/>
          <w:i/>
          <w:iCs/>
          <w:color w:val="000000"/>
          <w:sz w:val="18"/>
          <w:szCs w:val="18"/>
        </w:rPr>
        <w:t xml:space="preserve">Plots: </w:t>
      </w:r>
      <w:r>
        <w:rPr>
          <w:rFonts w:ascii="Calibri" w:cs="Calibri" w:eastAsia="Calibri" w:hAnsi="Calibri"/>
          <w:i/>
          <w:iCs/>
          <w:color w:val="000000"/>
          <w:sz w:val="18"/>
          <w:szCs w:val="18"/>
        </w:rPr>
        <w:t xml:space="preserve">segmentation overlays (image, ground truth, prediction, error map) for small, irregular and low-contrast ulcers; decoder architecture diagram.</w:t>
      </w:r>
    </w:p>
    <w:p>
      <w:pPr>
        <w:pStyle w:val="Heading1"/>
        <w:keepNext/>
        <w:spacing w:after="50" w:before="125"/>
      </w:pPr>
      <w:r>
        <w:rPr>
          <w:rFonts w:ascii="Calibri" w:cs="Calibri" w:eastAsia="Calibri" w:hAnsi="Calibri"/>
          <w:b/>
          <w:bCs/>
          <w:color w:val="000000"/>
          <w:sz w:val="21"/>
          <w:szCs w:val="21"/>
        </w:rPr>
        <w:t xml:space="preserve">10. GAN-Based Class-Imbalance Handling (O3)</w:t>
      </w:r>
    </w:p>
    <w:p>
      <w:pPr>
        <w:spacing w:after="55" w:line="228"/>
        <w:jc w:val="both"/>
      </w:pPr>
      <w:r>
        <w:rPr>
          <w:rFonts w:ascii="Calibri" w:cs="Calibri" w:eastAsia="Calibri" w:hAnsi="Calibri"/>
          <w:color w:val="000000"/>
          <w:sz w:val="18"/>
          <w:szCs w:val="18"/>
        </w:rPr>
        <w:t xml:space="preserve">The QUTNet patch classes are near-balanced, so imbalance cannot be assumed; it is </w:t>
      </w:r>
      <w:r>
        <w:rPr>
          <w:rFonts w:ascii="Calibri" w:cs="Calibri" w:eastAsia="Calibri" w:hAnsi="Calibri"/>
          <w:b/>
          <w:bCs/>
          <w:color w:val="000000"/>
          <w:sz w:val="18"/>
          <w:szCs w:val="18"/>
        </w:rPr>
        <w:t xml:space="preserve">characterised, created in a controlled manner where needed, and then corrected</w:t>
      </w:r>
      <w:r>
        <w:rPr>
          <w:rFonts w:ascii="Calibri" w:cs="Calibri" w:eastAsia="Calibri" w:hAnsi="Calibri"/>
          <w:color w:val="000000"/>
          <w:sz w:val="18"/>
          <w:szCs w:val="18"/>
        </w:rPr>
        <w:t xml:space="preserve">. Three imbalance sources are addressed: (a) patch-level class imbalance after deduplication, (b) a </w:t>
      </w:r>
      <w:r>
        <w:rPr>
          <w:rFonts w:ascii="Calibri" w:cs="Calibri" w:eastAsia="Calibri" w:hAnsi="Calibri"/>
          <w:b/>
          <w:bCs/>
          <w:color w:val="000000"/>
          <w:sz w:val="18"/>
          <w:szCs w:val="18"/>
        </w:rPr>
        <w:t xml:space="preserve">size imbalance</w:t>
      </w:r>
      <w:r>
        <w:rPr>
          <w:rFonts w:ascii="Calibri" w:cs="Calibri" w:eastAsia="Calibri" w:hAnsi="Calibri"/>
          <w:color w:val="000000"/>
          <w:sz w:val="18"/>
          <w:szCs w:val="18"/>
        </w:rPr>
        <w:t xml:space="preserve"> in segmentation in which small and low-contrast ulcers are the minority stratum and are under-learned, and (c) a deliberately imposed imbalance used to test the GAN rigorously.</w:t>
      </w:r>
    </w:p>
    <w:p>
      <w:pPr>
        <w:pStyle w:val="ListParagraph"/>
        <w:numPr>
          <w:ilvl w:val="0"/>
          <w:numId w:val="1"/>
        </w:numPr>
        <w:spacing w:after="30" w:line="235"/>
        <w:jc w:val="both"/>
      </w:pPr>
      <w:r>
        <w:rPr>
          <w:rFonts w:ascii="Calibri" w:cs="Calibri" w:eastAsia="Calibri" w:hAnsi="Calibri"/>
          <w:b/>
          <w:bCs/>
          <w:color w:val="000000"/>
          <w:sz w:val="18"/>
          <w:szCs w:val="18"/>
        </w:rPr>
        <w:t xml:space="preserve">Controlled-imbalance protocol.</w:t>
      </w:r>
      <w:r>
        <w:rPr>
          <w:rFonts w:ascii="Calibri" w:cs="Calibri" w:eastAsia="Calibri" w:hAnsi="Calibri"/>
          <w:color w:val="000000"/>
          <w:sz w:val="18"/>
          <w:szCs w:val="18"/>
        </w:rPr>
        <w:t xml:space="preserve"> The minority (Abnormal) class of the training folds is subsampled to 1:2, 1:5 and 1:10 relative to Normal, with validation and test folds left untouched. Each ratio is run with and without GAN augmentation, and the benefit of the GAN is reported as a function of imbalance severity. The natural distribution is reported as a separate row.</w:t>
      </w:r>
    </w:p>
    <w:p>
      <w:pPr>
        <w:pStyle w:val="ListParagraph"/>
        <w:numPr>
          <w:ilvl w:val="0"/>
          <w:numId w:val="1"/>
        </w:numPr>
        <w:spacing w:after="30" w:line="235"/>
        <w:jc w:val="both"/>
      </w:pPr>
      <w:r>
        <w:rPr>
          <w:rFonts w:ascii="Calibri" w:cs="Calibri" w:eastAsia="Calibri" w:hAnsi="Calibri"/>
          <w:b/>
          <w:bCs/>
          <w:color w:val="000000"/>
          <w:sz w:val="18"/>
          <w:szCs w:val="18"/>
        </w:rPr>
        <w:t xml:space="preserve">Classification GAN.</w:t>
      </w:r>
      <w:r>
        <w:rPr>
          <w:rFonts w:ascii="Calibri" w:cs="Calibri" w:eastAsia="Calibri" w:hAnsi="Calibri"/>
          <w:color w:val="000000"/>
          <w:sz w:val="18"/>
          <w:szCs w:val="18"/>
        </w:rPr>
        <w:t xml:space="preserve"> A conditional StyleGAN2-ADA (adaptive discriminator augmentation suits datasets of this size) is trained on training-fold patches to generate minority-class patches at 224x224. Generated samples are filtered by a frozen DINOv3 classifier and discriminator confidence, and by perceptual-hash distance to real images to rule out memorisation.</w:t>
      </w:r>
    </w:p>
    <w:p>
      <w:pPr>
        <w:pStyle w:val="ListParagraph"/>
        <w:numPr>
          <w:ilvl w:val="0"/>
          <w:numId w:val="1"/>
        </w:numPr>
        <w:spacing w:after="30" w:line="235"/>
        <w:jc w:val="both"/>
      </w:pPr>
      <w:r>
        <w:rPr>
          <w:rFonts w:ascii="Calibri" w:cs="Calibri" w:eastAsia="Calibri" w:hAnsi="Calibri"/>
          <w:b/>
          <w:bCs/>
          <w:color w:val="000000"/>
          <w:sz w:val="18"/>
          <w:szCs w:val="18"/>
        </w:rPr>
        <w:t xml:space="preserve">Segmentation GAN.</w:t>
      </w:r>
      <w:r>
        <w:rPr>
          <w:rFonts w:ascii="Calibri" w:cs="Calibri" w:eastAsia="Calibri" w:hAnsi="Calibri"/>
          <w:color w:val="000000"/>
          <w:sz w:val="18"/>
          <w:szCs w:val="18"/>
        </w:rPr>
        <w:t xml:space="preserve"> A mask-conditioned SPADE-style generator synthesises ulcer images from ulcer masks. Training masks are resampled and perturbed (scaling, elastic warping, relocation, boundary erosion) with oversampling of the </w:t>
      </w:r>
      <w:r>
        <w:rPr>
          <w:rFonts w:ascii="Calibri" w:cs="Calibri" w:eastAsia="Calibri" w:hAnsi="Calibri"/>
          <w:b/>
          <w:bCs/>
          <w:color w:val="000000"/>
          <w:sz w:val="18"/>
          <w:szCs w:val="18"/>
        </w:rPr>
        <w:t xml:space="preserve">small-ulcer</w:t>
      </w:r>
      <w:r>
        <w:rPr>
          <w:rFonts w:ascii="Calibri" w:cs="Calibri" w:eastAsia="Calibri" w:hAnsi="Calibri"/>
          <w:color w:val="000000"/>
          <w:sz w:val="18"/>
          <w:szCs w:val="18"/>
        </w:rPr>
        <w:t xml:space="preserve"> tertile, and the generator is tuned for </w:t>
      </w:r>
      <w:r>
        <w:rPr>
          <w:rFonts w:ascii="Calibri" w:cs="Calibri" w:eastAsia="Calibri" w:hAnsi="Calibri"/>
          <w:b/>
          <w:bCs/>
          <w:color w:val="000000"/>
          <w:sz w:val="18"/>
          <w:szCs w:val="18"/>
        </w:rPr>
        <w:t xml:space="preserve">low-contrast</w:t>
      </w:r>
      <w:r>
        <w:rPr>
          <w:rFonts w:ascii="Calibri" w:cs="Calibri" w:eastAsia="Calibri" w:hAnsi="Calibri"/>
          <w:color w:val="000000"/>
          <w:sz w:val="18"/>
          <w:szCs w:val="18"/>
        </w:rPr>
        <w:t xml:space="preserve"> appearance by conditioning on a contrast-level code. Each synthetic image is paired with the mask that produced it, giving exact labels at no annotation cost.</w:t>
      </w:r>
    </w:p>
    <w:p>
      <w:pPr>
        <w:pStyle w:val="ListParagraph"/>
        <w:numPr>
          <w:ilvl w:val="0"/>
          <w:numId w:val="1"/>
        </w:numPr>
        <w:spacing w:after="30" w:line="235"/>
        <w:jc w:val="both"/>
      </w:pPr>
      <w:r>
        <w:rPr>
          <w:rFonts w:ascii="Calibri" w:cs="Calibri" w:eastAsia="Calibri" w:hAnsi="Calibri"/>
          <w:b/>
          <w:bCs/>
          <w:color w:val="000000"/>
          <w:sz w:val="18"/>
          <w:szCs w:val="18"/>
        </w:rPr>
        <w:t xml:space="preserve">Control of synthetic data.</w:t>
      </w:r>
      <w:r>
        <w:rPr>
          <w:rFonts w:ascii="Calibri" w:cs="Calibri" w:eastAsia="Calibri" w:hAnsi="Calibri"/>
          <w:color w:val="000000"/>
          <w:sz w:val="18"/>
          <w:szCs w:val="18"/>
        </w:rPr>
        <w:t xml:space="preserve"> Synthetic-to-real ratio is capped (at most 1:1) and treated as an ACO variable; synthetic samples are down-weighted in the loss; and every synthetic image is flagged. Real images alone are used for validation, thresholding, and testing.</w:t>
      </w:r>
    </w:p>
    <w:p>
      <w:pPr>
        <w:pStyle w:val="ListParagraph"/>
        <w:numPr>
          <w:ilvl w:val="0"/>
          <w:numId w:val="1"/>
        </w:numPr>
        <w:spacing w:after="30" w:line="235"/>
        <w:jc w:val="both"/>
      </w:pPr>
      <w:r>
        <w:rPr>
          <w:rFonts w:ascii="Calibri" w:cs="Calibri" w:eastAsia="Calibri" w:hAnsi="Calibri"/>
          <w:b/>
          <w:bCs/>
          <w:color w:val="000000"/>
          <w:sz w:val="18"/>
          <w:szCs w:val="18"/>
        </w:rPr>
        <w:t xml:space="preserve">Comparators.</w:t>
      </w:r>
      <w:r>
        <w:rPr>
          <w:rFonts w:ascii="Calibri" w:cs="Calibri" w:eastAsia="Calibri" w:hAnsi="Calibri"/>
          <w:color w:val="000000"/>
          <w:sz w:val="18"/>
          <w:szCs w:val="18"/>
        </w:rPr>
        <w:t xml:space="preserve"> Class-weighted loss, focal loss, random oversampling, SMOTE on embeddings, Mixup/CutMix, and a no-balancing baseline, all under identical folds, so the specific value of the GAN is isolated.</w:t>
      </w:r>
    </w:p>
    <w:p>
      <w:pPr>
        <w:pStyle w:val="ListParagraph"/>
        <w:numPr>
          <w:ilvl w:val="0"/>
          <w:numId w:val="1"/>
        </w:numPr>
        <w:spacing w:after="30" w:line="235"/>
        <w:jc w:val="both"/>
      </w:pPr>
      <w:r>
        <w:rPr>
          <w:rFonts w:ascii="Calibri" w:cs="Calibri" w:eastAsia="Calibri" w:hAnsi="Calibri"/>
          <w:b/>
          <w:bCs/>
          <w:color w:val="000000"/>
          <w:sz w:val="18"/>
          <w:szCs w:val="18"/>
        </w:rPr>
        <w:t xml:space="preserve">Generation quality.</w:t>
      </w:r>
      <w:r>
        <w:rPr>
          <w:rFonts w:ascii="Calibri" w:cs="Calibri" w:eastAsia="Calibri" w:hAnsi="Calibri"/>
          <w:color w:val="000000"/>
          <w:sz w:val="18"/>
          <w:szCs w:val="18"/>
        </w:rPr>
        <w:t xml:space="preserve"> FID and KID against held-out real images, precision and recall of the generated distribution, LPIPS diversity, and a nearest-neighbour memorisation check. Downstream utility, not visual realism, is the deciding evidence: minority-class recall, G-mean, balanced accuracy, and Dice on the small-ulcer stratum.</w:t>
      </w:r>
    </w:p>
    <w:p>
      <w:pPr>
        <w:spacing w:after="55" w:line="228"/>
        <w:ind w:left="260"/>
        <w:jc w:val="both"/>
      </w:pPr>
      <w:r>
        <w:rPr>
          <w:rFonts w:ascii="Calibri" w:cs="Calibri" w:eastAsia="Calibri" w:hAnsi="Calibri"/>
          <w:b/>
          <w:bCs/>
          <w:i/>
          <w:iCs/>
          <w:color w:val="000000"/>
          <w:sz w:val="18"/>
          <w:szCs w:val="18"/>
        </w:rPr>
        <w:t xml:space="preserve">Plots: </w:t>
      </w:r>
      <w:r>
        <w:rPr>
          <w:rFonts w:ascii="Calibri" w:cs="Calibri" w:eastAsia="Calibri" w:hAnsi="Calibri"/>
          <w:i/>
          <w:iCs/>
          <w:color w:val="000000"/>
          <w:sz w:val="18"/>
          <w:szCs w:val="18"/>
        </w:rPr>
        <w:t xml:space="preserve">grid of real versus synthetic patches and image-mask pairs; FID/KID versus training iteration; minority recall and G-mean versus imbalance ratio with and without GAN; small-ulcer Dice versus synthetic-to-real ratio; UMAP of real and synthetic embeddings.</w:t>
      </w:r>
    </w:p>
    <w:p>
      <w:pPr>
        <w:pStyle w:val="Heading1"/>
        <w:keepNext/>
        <w:spacing w:after="50" w:before="125"/>
      </w:pPr>
      <w:r>
        <w:rPr>
          <w:rFonts w:ascii="Calibri" w:cs="Calibri" w:eastAsia="Calibri" w:hAnsi="Calibri"/>
          <w:b/>
          <w:bCs/>
          <w:color w:val="000000"/>
          <w:sz w:val="21"/>
          <w:szCs w:val="21"/>
        </w:rPr>
        <w:t xml:space="preserve">11. Lightweight Student Model (O2)</w:t>
      </w:r>
    </w:p>
    <w:p>
      <w:pPr>
        <w:spacing w:after="55" w:line="228"/>
        <w:jc w:val="both"/>
      </w:pPr>
      <w:r>
        <w:rPr>
          <w:rFonts w:ascii="Calibri" w:cs="Calibri" w:eastAsia="Calibri" w:hAnsi="Calibri"/>
          <w:color w:val="000000"/>
          <w:sz w:val="18"/>
          <w:szCs w:val="18"/>
        </w:rPr>
        <w:t xml:space="preserve">Deployment-grade efficiency is achieved by transferring the teacher's knowledge into a compact CNN rather than shrinking the ViT. A CNN student is chosen because efficient CNNs run well on CPUs and mobile hardware, benefit from mature quantisation tooling, and remain strong transfer-learning backbones. Two ImageNet-pretrained students are compared: </w:t>
      </w:r>
      <w:r>
        <w:rPr>
          <w:rFonts w:ascii="Calibri" w:cs="Calibri" w:eastAsia="Calibri" w:hAnsi="Calibri"/>
          <w:b/>
          <w:bCs/>
          <w:color w:val="000000"/>
          <w:sz w:val="18"/>
          <w:szCs w:val="18"/>
        </w:rPr>
        <w:t xml:space="preserve">EfficientNet-B0</w:t>
      </w:r>
      <w:r>
        <w:rPr>
          <w:rFonts w:ascii="Calibri" w:cs="Calibri" w:eastAsia="Calibri" w:hAnsi="Calibri"/>
          <w:color w:val="000000"/>
          <w:sz w:val="18"/>
          <w:szCs w:val="18"/>
        </w:rPr>
        <w:t xml:space="preserve"> (or MobileNetV3-Large) as the primary lightweight model, and </w:t>
      </w:r>
      <w:r>
        <w:rPr>
          <w:rFonts w:ascii="Calibri" w:cs="Calibri" w:eastAsia="Calibri" w:hAnsi="Calibri"/>
          <w:b/>
          <w:bCs/>
          <w:color w:val="000000"/>
          <w:sz w:val="18"/>
          <w:szCs w:val="18"/>
        </w:rPr>
        <w:t xml:space="preserve">ConvNeXt-Tiny</w:t>
      </w:r>
      <w:r>
        <w:rPr>
          <w:rFonts w:ascii="Calibri" w:cs="Calibri" w:eastAsia="Calibri" w:hAnsi="Calibri"/>
          <w:color w:val="000000"/>
          <w:sz w:val="18"/>
          <w:szCs w:val="18"/>
        </w:rPr>
        <w:t xml:space="preserve">, an advanced modern CNN, as an accuracy-tier model, both with a depthwise-separable FPN decoder and the same classification head. The student is selected on the accuracy-versus-cost Pareto front rather than fixed in advance.</w:t>
      </w:r>
    </w:p>
    <w:p>
      <w:pPr>
        <w:pStyle w:val="ListParagraph"/>
        <w:numPr>
          <w:ilvl w:val="0"/>
          <w:numId w:val="1"/>
        </w:numPr>
        <w:spacing w:after="30" w:line="235"/>
        <w:jc w:val="both"/>
      </w:pPr>
      <w:r>
        <w:rPr>
          <w:rFonts w:ascii="Calibri" w:cs="Calibri" w:eastAsia="Calibri" w:hAnsi="Calibri"/>
          <w:b/>
          <w:bCs/>
          <w:color w:val="000000"/>
          <w:sz w:val="18"/>
          <w:szCs w:val="18"/>
        </w:rPr>
        <w:t xml:space="preserve">Distillation.</w:t>
      </w:r>
      <w:r>
        <w:rPr>
          <w:rFonts w:ascii="Calibri" w:cs="Calibri" w:eastAsia="Calibri" w:hAnsi="Calibri"/>
          <w:color w:val="000000"/>
          <w:sz w:val="18"/>
          <w:szCs w:val="18"/>
        </w:rPr>
        <w:t xml:space="preserve"> The student learns from ground truth and from the teacher through logit distillation (temperature searched), intermediate feature-map matching, and boundary-map distillation so that the student keeps the thin margins that matter for O1. Teacher predictions on GAN-generated images are also used as soft labels.</w:t>
      </w:r>
    </w:p>
    <w:p>
      <w:pPr>
        <w:pStyle w:val="ListParagraph"/>
        <w:numPr>
          <w:ilvl w:val="0"/>
          <w:numId w:val="1"/>
        </w:numPr>
        <w:spacing w:after="30" w:line="235"/>
        <w:jc w:val="both"/>
      </w:pPr>
      <w:r>
        <w:rPr>
          <w:rFonts w:ascii="Calibri" w:cs="Calibri" w:eastAsia="Calibri" w:hAnsi="Calibri"/>
          <w:b/>
          <w:bCs/>
          <w:color w:val="000000"/>
          <w:sz w:val="18"/>
          <w:szCs w:val="18"/>
        </w:rPr>
        <w:t xml:space="preserve">Compression.</w:t>
      </w:r>
      <w:r>
        <w:rPr>
          <w:rFonts w:ascii="Calibri" w:cs="Calibri" w:eastAsia="Calibri" w:hAnsi="Calibri"/>
          <w:color w:val="000000"/>
          <w:sz w:val="18"/>
          <w:szCs w:val="18"/>
        </w:rPr>
        <w:t xml:space="preserve"> Optional structured channel pruning followed by fine-tuning, then post-training INT8 quantisation (quantisation-aware training if accuracy loss exceeds a set tolerance), and ONNX export.</w:t>
      </w:r>
    </w:p>
    <w:p>
      <w:pPr>
        <w:pStyle w:val="ListParagraph"/>
        <w:numPr>
          <w:ilvl w:val="0"/>
          <w:numId w:val="1"/>
        </w:numPr>
        <w:spacing w:after="30" w:line="235"/>
        <w:jc w:val="both"/>
      </w:pPr>
      <w:r>
        <w:rPr>
          <w:rFonts w:ascii="Calibri" w:cs="Calibri" w:eastAsia="Calibri" w:hAnsi="Calibri"/>
          <w:b/>
          <w:bCs/>
          <w:color w:val="000000"/>
          <w:sz w:val="18"/>
          <w:szCs w:val="18"/>
        </w:rPr>
        <w:t xml:space="preserve">Reporting.</w:t>
      </w:r>
      <w:r>
        <w:rPr>
          <w:rFonts w:ascii="Calibri" w:cs="Calibri" w:eastAsia="Calibri" w:hAnsi="Calibri"/>
          <w:color w:val="000000"/>
          <w:sz w:val="18"/>
          <w:szCs w:val="18"/>
        </w:rPr>
        <w:t xml:space="preserve"> Parameters, GFLOPs and model size at the deployment resolution, CPU latency (single thread and multi-thread), GPU latency and throughput, peak memory, and the fraction of teacher Dice, balanced accuracy and MCC retained. The headline result is a Pareto plot of performance against compute, with the full DINOv3-LoRA teacher and the heavy segmentation baselines placed on the same axes.</w:t>
      </w:r>
    </w:p>
    <w:p>
      <w:pPr>
        <w:pStyle w:val="ListParagraph"/>
        <w:numPr>
          <w:ilvl w:val="0"/>
          <w:numId w:val="1"/>
        </w:numPr>
        <w:spacing w:after="30" w:line="235"/>
        <w:jc w:val="both"/>
      </w:pPr>
      <w:r>
        <w:rPr>
          <w:rFonts w:ascii="Calibri" w:cs="Calibri" w:eastAsia="Calibri" w:hAnsi="Calibri"/>
          <w:b/>
          <w:bCs/>
          <w:color w:val="000000"/>
          <w:sz w:val="18"/>
          <w:szCs w:val="18"/>
        </w:rPr>
        <w:t xml:space="preserve">Load control.</w:t>
      </w:r>
      <w:r>
        <w:rPr>
          <w:rFonts w:ascii="Calibri" w:cs="Calibri" w:eastAsia="Calibri" w:hAnsi="Calibri"/>
          <w:color w:val="000000"/>
          <w:sz w:val="18"/>
          <w:szCs w:val="18"/>
        </w:rPr>
        <w:t xml:space="preserve"> The classification head shares the student encoder, so the classification task adds negligible parameters and latency; if it measurably degrades segmentation efficiency it is removed from the deployed student and kept in the teacher only.</w:t>
      </w:r>
    </w:p>
    <w:p>
      <w:pPr>
        <w:spacing w:after="55" w:line="228"/>
        <w:ind w:left="260"/>
        <w:jc w:val="both"/>
      </w:pPr>
      <w:r>
        <w:rPr>
          <w:rFonts w:ascii="Calibri" w:cs="Calibri" w:eastAsia="Calibri" w:hAnsi="Calibri"/>
          <w:b/>
          <w:bCs/>
          <w:i/>
          <w:iCs/>
          <w:color w:val="000000"/>
          <w:sz w:val="18"/>
          <w:szCs w:val="18"/>
        </w:rPr>
        <w:t xml:space="preserve">Plots: </w:t>
      </w:r>
      <w:r>
        <w:rPr>
          <w:rFonts w:ascii="Calibri" w:cs="Calibri" w:eastAsia="Calibri" w:hAnsi="Calibri"/>
          <w:i/>
          <w:iCs/>
          <w:color w:val="000000"/>
          <w:sz w:val="18"/>
          <w:szCs w:val="18"/>
        </w:rPr>
        <w:t xml:space="preserve">accuracy-versus-GFLOPs and Dice-versus-latency Pareto plots; model size bar chart (FP32 versus INT8); retained-performance bar chart for each compression step.</w:t>
      </w:r>
    </w:p>
    <w:p>
      <w:pPr>
        <w:pStyle w:val="Heading1"/>
        <w:keepNext/>
        <w:spacing w:after="50" w:before="125"/>
      </w:pPr>
      <w:r>
        <w:rPr>
          <w:rFonts w:ascii="Calibri" w:cs="Calibri" w:eastAsia="Calibri" w:hAnsi="Calibri"/>
          <w:b/>
          <w:bCs/>
          <w:color w:val="000000"/>
          <w:sz w:val="21"/>
          <w:szCs w:val="21"/>
        </w:rPr>
        <w:t xml:space="preserve">12. Hyperparameter Tuning: Ant Colony Optimisation via mealpy</w:t>
      </w:r>
    </w:p>
    <w:p>
      <w:pPr>
        <w:spacing w:after="55" w:line="228"/>
        <w:jc w:val="both"/>
      </w:pPr>
      <w:r>
        <w:rPr>
          <w:rFonts w:ascii="Calibri" w:cs="Calibri" w:eastAsia="Calibri" w:hAnsi="Calibri"/>
          <w:color w:val="000000"/>
          <w:sz w:val="18"/>
          <w:szCs w:val="18"/>
        </w:rPr>
        <w:t xml:space="preserve">This is the single methodological substitution against a conventional pipeline: Bayesian and grid search are replaced by an Ant Colony Optimizer for continuous domains (ACOR) from mealpy. Each ant encodes one complete configuration as a position vector in a bounded continuous space; discrete choices such as LoRA rank or batch size occupy continuous coordinates and are decoded by rounding to the nearest admissible level. Pheromone-weighted Gaussian kernels built from the archive of best solutions bias sampling toward promising regions while archive diversity preserves exploration.</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900"/>
        <w:gridCol w:w="2380"/>
      </w:tblGrid>
      <w:tr>
        <w:trPr>
          <w:cantSplit/>
          <w:tblHeader/>
        </w:trPr>
        <w:tc>
          <w:tcPr>
            <w:tcW w:type="dxa" w:w="270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Parameter</w:t>
            </w:r>
          </w:p>
        </w:tc>
        <w:tc>
          <w:tcPr>
            <w:tcW w:type="dxa" w:w="230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Range</w:t>
            </w:r>
          </w:p>
        </w:tc>
        <w:tc>
          <w:tcPr>
            <w:tcW w:type="dxa" w:w="290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Parameter</w:t>
            </w:r>
          </w:p>
        </w:tc>
        <w:tc>
          <w:tcPr>
            <w:tcW w:type="dxa" w:w="238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Range</w:t>
            </w:r>
          </w:p>
        </w:tc>
      </w:tr>
      <w:tr>
        <w:trPr>
          <w:cantSplit/>
        </w:trPr>
        <w:tc>
          <w:tcPr>
            <w:tcW w:type="dxa" w:w="2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Head / decoder learning rate</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1e-4 to 5e-3 (log)</w:t>
            </w:r>
          </w:p>
        </w:tc>
        <w:tc>
          <w:tcPr>
            <w:tcW w:type="dxa" w:w="2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LoRA dropout</w:t>
            </w:r>
          </w:p>
        </w:tc>
        <w:tc>
          <w:tcPr>
            <w:tcW w:type="dxa" w:w="23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0.0 to 0.2</w:t>
            </w:r>
          </w:p>
        </w:tc>
      </w:tr>
      <w:tr>
        <w:trPr>
          <w:cantSplit/>
        </w:trPr>
        <w:tc>
          <w:tcPr>
            <w:tcW w:type="dxa" w:w="2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LoRA learning rate</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1e-6 to 5e-4 (log)</w:t>
            </w:r>
          </w:p>
        </w:tc>
        <w:tc>
          <w:tcPr>
            <w:tcW w:type="dxa" w:w="2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Batch size</w:t>
            </w:r>
          </w:p>
        </w:tc>
        <w:tc>
          <w:tcPr>
            <w:tcW w:type="dxa" w:w="23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8 / 16 / 32</w:t>
            </w:r>
          </w:p>
        </w:tc>
      </w:tr>
      <w:tr>
        <w:trPr>
          <w:cantSplit/>
        </w:trPr>
        <w:tc>
          <w:tcPr>
            <w:tcW w:type="dxa" w:w="2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Layer-wise LR decay</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0.65 to 0.95</w:t>
            </w:r>
          </w:p>
        </w:tc>
        <w:tc>
          <w:tcPr>
            <w:tcW w:type="dxa" w:w="2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Label smoothing (classification)</w:t>
            </w:r>
          </w:p>
        </w:tc>
        <w:tc>
          <w:tcPr>
            <w:tcW w:type="dxa" w:w="23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0.0 to 0.15</w:t>
            </w:r>
          </w:p>
        </w:tc>
      </w:tr>
      <w:tr>
        <w:trPr>
          <w:cantSplit/>
        </w:trPr>
        <w:tc>
          <w:tcPr>
            <w:tcW w:type="dxa" w:w="2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Weight decay</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0.01 to 0.30 (log)</w:t>
            </w:r>
          </w:p>
        </w:tc>
        <w:tc>
          <w:tcPr>
            <w:tcW w:type="dxa" w:w="2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Mixup alpha (classification)</w:t>
            </w:r>
          </w:p>
        </w:tc>
        <w:tc>
          <w:tcPr>
            <w:tcW w:type="dxa" w:w="23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0.0 to 0.4</w:t>
            </w:r>
          </w:p>
        </w:tc>
      </w:tr>
      <w:tr>
        <w:trPr>
          <w:cantSplit/>
        </w:trPr>
        <w:tc>
          <w:tcPr>
            <w:tcW w:type="dxa" w:w="2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LoRA rank r</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4 / 8 / 16 / 32</w:t>
            </w:r>
          </w:p>
        </w:tc>
        <w:tc>
          <w:tcPr>
            <w:tcW w:type="dxa" w:w="2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Drop-path rate</w:t>
            </w:r>
          </w:p>
        </w:tc>
        <w:tc>
          <w:tcPr>
            <w:tcW w:type="dxa" w:w="23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0.0 to 0.2</w:t>
            </w:r>
          </w:p>
        </w:tc>
      </w:tr>
      <w:tr>
        <w:trPr>
          <w:cantSplit/>
        </w:trPr>
        <w:tc>
          <w:tcPr>
            <w:tcW w:type="dxa" w:w="2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LoRA alpha</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8 / 16 / 32 / 64</w:t>
            </w:r>
          </w:p>
        </w:tc>
        <w:tc>
          <w:tcPr>
            <w:tcW w:type="dxa" w:w="2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Augment magnitude</w:t>
            </w:r>
          </w:p>
        </w:tc>
        <w:tc>
          <w:tcPr>
            <w:tcW w:type="dxa" w:w="23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5 to 12</w:t>
            </w:r>
          </w:p>
        </w:tc>
      </w:tr>
      <w:tr>
        <w:trPr>
          <w:cantSplit/>
        </w:trPr>
        <w:tc>
          <w:tcPr>
            <w:tcW w:type="dxa" w:w="2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Tversky beta (recall emphasis)</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0.5 to 0.9</w:t>
            </w:r>
          </w:p>
        </w:tc>
        <w:tc>
          <w:tcPr>
            <w:tcW w:type="dxa" w:w="2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Boundary-loss weight</w:t>
            </w:r>
          </w:p>
        </w:tc>
        <w:tc>
          <w:tcPr>
            <w:tcW w:type="dxa" w:w="23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0.0 to 1.0</w:t>
            </w:r>
          </w:p>
        </w:tc>
      </w:tr>
      <w:tr>
        <w:trPr>
          <w:cantSplit/>
        </w:trPr>
        <w:tc>
          <w:tcPr>
            <w:tcW w:type="dxa" w:w="2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Decoder channel width</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64 / 128 / 256</w:t>
            </w:r>
          </w:p>
        </w:tc>
        <w:tc>
          <w:tcPr>
            <w:tcW w:type="dxa" w:w="2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Segmentation input size</w:t>
            </w:r>
          </w:p>
        </w:tc>
        <w:tc>
          <w:tcPr>
            <w:tcW w:type="dxa" w:w="23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384 / 448 / 512</w:t>
            </w:r>
          </w:p>
        </w:tc>
      </w:tr>
      <w:tr>
        <w:trPr>
          <w:cantSplit/>
        </w:trPr>
        <w:tc>
          <w:tcPr>
            <w:tcW w:type="dxa" w:w="2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Synthetic-to-real ratio (GAN)</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0.0 to 1.0</w:t>
            </w:r>
          </w:p>
        </w:tc>
        <w:tc>
          <w:tcPr>
            <w:tcW w:type="dxa" w:w="2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Synthetic-sample loss weight</w:t>
            </w:r>
          </w:p>
        </w:tc>
        <w:tc>
          <w:tcPr>
            <w:tcW w:type="dxa" w:w="23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0.2 to 1.0</w:t>
            </w:r>
          </w:p>
        </w:tc>
      </w:tr>
      <w:tr>
        <w:trPr>
          <w:cantSplit/>
        </w:trPr>
        <w:tc>
          <w:tcPr>
            <w:tcW w:type="dxa" w:w="27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Distillation temperature</w:t>
            </w:r>
          </w:p>
        </w:tc>
        <w:tc>
          <w:tcPr>
            <w:tcW w:type="dxa" w:w="2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1 to 6</w:t>
            </w:r>
          </w:p>
        </w:tc>
        <w:tc>
          <w:tcPr>
            <w:tcW w:type="dxa" w:w="2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Distillation weight lambda</w:t>
            </w:r>
          </w:p>
        </w:tc>
        <w:tc>
          <w:tcPr>
            <w:tcW w:type="dxa" w:w="23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0.2 to 0.9</w:t>
            </w:r>
          </w:p>
        </w:tc>
      </w:tr>
    </w:tbl>
    <w:p>
      <w:pPr>
        <w:spacing w:after="40"/>
      </w:pPr>
    </w:p>
    <w:p>
      <w:pPr>
        <w:spacing w:after="55" w:line="228"/>
        <w:jc w:val="both"/>
      </w:pPr>
      <w:r>
        <w:rPr>
          <w:rFonts w:ascii="Calibri" w:cs="Calibri" w:eastAsia="Calibri" w:hAnsi="Calibri"/>
          <w:b/>
          <w:bCs/>
          <w:color w:val="000000"/>
          <w:sz w:val="18"/>
          <w:szCs w:val="18"/>
        </w:rPr>
        <w:t xml:space="preserve">Reduced budget.</w:t>
      </w:r>
      <w:r>
        <w:rPr>
          <w:rFonts w:ascii="Calibri" w:cs="Calibri" w:eastAsia="Calibri" w:hAnsi="Calibri"/>
          <w:color w:val="000000"/>
          <w:sz w:val="18"/>
          <w:szCs w:val="18"/>
        </w:rPr>
        <w:t xml:space="preserve"> The search runs on a fixed stratified subsample of the training folds (about 30 percent) for 6 to 8 epochs with early pruning of clearly failing ants, keeping a population of 20 ants over 15 iterations affordable. Reduced-budget fitness is only a proxy, so the top five configurations are re-scored at full budget before one is selected. The search is run in two stages: teacher parameters first, then the distillation and compression parameters for the student with the teacher frozen.</w:t>
      </w:r>
    </w:p>
    <w:p>
      <w:pPr>
        <w:spacing w:after="55" w:line="228"/>
        <w:jc w:val="both"/>
      </w:pPr>
      <w:r>
        <w:rPr>
          <w:rFonts w:ascii="Calibri" w:cs="Calibri" w:eastAsia="Calibri" w:hAnsi="Calibri"/>
          <w:b/>
          <w:bCs/>
          <w:color w:val="000000"/>
          <w:sz w:val="18"/>
          <w:szCs w:val="18"/>
        </w:rPr>
        <w:t xml:space="preserve">Fitness.</w:t>
      </w:r>
      <w:r>
        <w:rPr>
          <w:rFonts w:ascii="Calibri" w:cs="Calibri" w:eastAsia="Calibri" w:hAnsi="Calibri"/>
          <w:color w:val="000000"/>
          <w:sz w:val="18"/>
          <w:szCs w:val="18"/>
        </w:rPr>
        <w:t xml:space="preserve"> For the teacher, mean validation Dice (segmentation) combined with MCC (classification) across the inner folds, with a small penalty on the across-fold standard deviation. For the student, a </w:t>
      </w:r>
      <w:r>
        <w:rPr>
          <w:rFonts w:ascii="Calibri" w:cs="Calibri" w:eastAsia="Calibri" w:hAnsi="Calibri"/>
          <w:b/>
          <w:bCs/>
          <w:color w:val="000000"/>
          <w:sz w:val="18"/>
          <w:szCs w:val="18"/>
        </w:rPr>
        <w:t xml:space="preserve">compute-penalised multi-objective fitness</w:t>
      </w:r>
      <w:r>
        <w:rPr>
          <w:rFonts w:ascii="Calibri" w:cs="Calibri" w:eastAsia="Calibri" w:hAnsi="Calibri"/>
          <w:color w:val="000000"/>
          <w:sz w:val="18"/>
          <w:szCs w:val="18"/>
        </w:rPr>
        <w:t xml:space="preserve">: validation Dice minus a weighted penalty on normalised GFLOPs and latency, which makes the colony search explicitly for the O2 trade-off. Optimising a fold mean rather than a single split stops the colony converging on a configuration that merely suits one partition.</w:t>
      </w:r>
    </w:p>
    <w:p>
      <w:pPr>
        <w:spacing w:after="55" w:line="228"/>
        <w:jc w:val="both"/>
      </w:pPr>
      <w:r>
        <w:rPr>
          <w:rFonts w:ascii="Calibri" w:cs="Calibri" w:eastAsia="Calibri" w:hAnsi="Calibri"/>
          <w:b/>
          <w:bCs/>
          <w:color w:val="000000"/>
          <w:sz w:val="18"/>
          <w:szCs w:val="18"/>
        </w:rPr>
        <w:t xml:space="preserve">Controls.</w:t>
      </w:r>
      <w:r>
        <w:rPr>
          <w:rFonts w:ascii="Calibri" w:cs="Calibri" w:eastAsia="Calibri" w:hAnsi="Calibri"/>
          <w:color w:val="000000"/>
          <w:sz w:val="18"/>
          <w:szCs w:val="18"/>
        </w:rPr>
        <w:t xml:space="preserve"> A Grey Wolf Optimizer run, also from mealpy, under an identical budget and search space isolates the contribution of ACO specifically from the contribution of using a metaheuristic at all; a random-search arm of equal evaluation count fixes the lower bound.</w:t>
      </w:r>
    </w:p>
    <w:p>
      <w:pPr>
        <w:spacing w:after="55" w:line="228"/>
        <w:ind w:left="260"/>
        <w:jc w:val="both"/>
      </w:pPr>
      <w:r>
        <w:rPr>
          <w:rFonts w:ascii="Calibri" w:cs="Calibri" w:eastAsia="Calibri" w:hAnsi="Calibri"/>
          <w:b/>
          <w:bCs/>
          <w:i/>
          <w:iCs/>
          <w:color w:val="000000"/>
          <w:sz w:val="18"/>
          <w:szCs w:val="18"/>
        </w:rPr>
        <w:t xml:space="preserve">Plots: </w:t>
      </w:r>
      <w:r>
        <w:rPr>
          <w:rFonts w:ascii="Calibri" w:cs="Calibri" w:eastAsia="Calibri" w:hAnsi="Calibri"/>
          <w:i/>
          <w:iCs/>
          <w:color w:val="000000"/>
          <w:sz w:val="18"/>
          <w:szCs w:val="18"/>
        </w:rPr>
        <w:t xml:space="preserve">ACO convergence curve of best and mean fitness per iteration with GWO and random search overlaid; parallel-coordinates plot of all evaluated configurations coloured by fitness; fitness-versus-parameter scatter plots for sensitivity; box plot of final fitness across the three optimisers; Pareto scatter of student candidates explored by the colony.</w:t>
      </w:r>
    </w:p>
    <w:p>
      <w:pPr>
        <w:pStyle w:val="Heading1"/>
        <w:keepNext/>
        <w:spacing w:after="50" w:before="125"/>
      </w:pPr>
      <w:r>
        <w:rPr>
          <w:rFonts w:ascii="Calibri" w:cs="Calibri" w:eastAsia="Calibri" w:hAnsi="Calibri"/>
          <w:b/>
          <w:bCs/>
          <w:color w:val="000000"/>
          <w:sz w:val="21"/>
          <w:szCs w:val="21"/>
        </w:rPr>
        <w:t xml:space="preserve">13. Final Training, Testing and Evaluation</w:t>
      </w:r>
    </w:p>
    <w:p>
      <w:pPr>
        <w:spacing w:after="55" w:line="228"/>
        <w:jc w:val="both"/>
      </w:pPr>
      <w:r>
        <w:rPr>
          <w:rFonts w:ascii="Calibri" w:cs="Calibri" w:eastAsia="Calibri" w:hAnsi="Calibri"/>
          <w:color w:val="000000"/>
          <w:sz w:val="18"/>
          <w:szCs w:val="18"/>
        </w:rPr>
        <w:t xml:space="preserve">The winning configuration is retrained at full budget on the whole development partition under the same group-aware cross-validation, then evaluated once on the locked hold-out set and, for segmentation, once on the external dataset. Out-of-fold predictions are retained for statistical testing. Four-way test-time augmentation (identity, horizontal flip, vertical flip, both) is applied with probability or logit averaging.</w:t>
      </w:r>
    </w:p>
    <w:p>
      <w:pPr>
        <w:spacing w:after="55" w:line="228"/>
        <w:jc w:val="both"/>
      </w:pPr>
      <w:r>
        <w:rPr>
          <w:rFonts w:ascii="Calibri" w:cs="Calibri" w:eastAsia="Calibri" w:hAnsi="Calibri"/>
          <w:b/>
          <w:bCs/>
          <w:color w:val="000000"/>
          <w:sz w:val="18"/>
          <w:szCs w:val="18"/>
        </w:rPr>
        <w:t xml:space="preserve">Segmentation metrics (O1).</w:t>
      </w:r>
      <w:r>
        <w:rPr>
          <w:rFonts w:ascii="Calibri" w:cs="Calibri" w:eastAsia="Calibri" w:hAnsi="Calibri"/>
          <w:color w:val="000000"/>
          <w:sz w:val="18"/>
          <w:szCs w:val="18"/>
        </w:rPr>
        <w:t xml:space="preserve"> Dice, IoU, precision, recall, 95th-percentile Hausdorff distance (HD95), boundary-F1 at a 2-pixel tolerance, and image-level detection rate. Results are reported overall and </w:t>
      </w:r>
      <w:r>
        <w:rPr>
          <w:rFonts w:ascii="Calibri" w:cs="Calibri" w:eastAsia="Calibri" w:hAnsi="Calibri"/>
          <w:b/>
          <w:bCs/>
          <w:color w:val="000000"/>
          <w:sz w:val="18"/>
          <w:szCs w:val="18"/>
        </w:rPr>
        <w:t xml:space="preserve">stratified by ulcer size (small, medium, large tertiles) and by lesion contrast (low, medium, high, measured as colour distance between ulcer and surrounding skin)</w:t>
      </w:r>
      <w:r>
        <w:rPr>
          <w:rFonts w:ascii="Calibri" w:cs="Calibri" w:eastAsia="Calibri" w:hAnsi="Calibri"/>
          <w:color w:val="000000"/>
          <w:sz w:val="18"/>
          <w:szCs w:val="18"/>
        </w:rPr>
        <w:t xml:space="preserve">, since the objective targets small and low-contrast ulcers. Per-image Dice distributions and the worst decile are shown rather than hidden behind a mean.</w:t>
      </w:r>
    </w:p>
    <w:p>
      <w:pPr>
        <w:spacing w:after="55" w:line="228"/>
        <w:jc w:val="both"/>
      </w:pPr>
      <w:r>
        <w:rPr>
          <w:rFonts w:ascii="Calibri" w:cs="Calibri" w:eastAsia="Calibri" w:hAnsi="Calibri"/>
          <w:b/>
          <w:bCs/>
          <w:color w:val="000000"/>
          <w:sz w:val="18"/>
          <w:szCs w:val="18"/>
        </w:rPr>
        <w:t xml:space="preserve">Classification metrics.</w:t>
      </w:r>
      <w:r>
        <w:rPr>
          <w:rFonts w:ascii="Calibri" w:cs="Calibri" w:eastAsia="Calibri" w:hAnsi="Calibri"/>
          <w:color w:val="000000"/>
          <w:sz w:val="18"/>
          <w:szCs w:val="18"/>
        </w:rPr>
        <w:t xml:space="preserve"> Accuracy, balanced accuracy, precision, recall/sensitivity, specificity, F1, Matthews correlation coefficient, Cohen's kappa, ROC-AUC, PR-AUC, sensitivity at 95 percent specificity, specificity at 95 percent sensitivity, G-mean, and the full two-by-two confusion matrix. Balanced accuracy, MCC and ROC-AUC lead every classification table; raw accuracy is reported but never headlined.</w:t>
      </w:r>
    </w:p>
    <w:p>
      <w:pPr>
        <w:spacing w:after="55" w:line="228"/>
        <w:jc w:val="both"/>
      </w:pPr>
      <w:r>
        <w:rPr>
          <w:rFonts w:ascii="Calibri" w:cs="Calibri" w:eastAsia="Calibri" w:hAnsi="Calibri"/>
          <w:b/>
          <w:bCs/>
          <w:color w:val="000000"/>
          <w:sz w:val="18"/>
          <w:szCs w:val="18"/>
        </w:rPr>
        <w:t xml:space="preserve">Efficiency and generation metrics (O2, O3).</w:t>
      </w:r>
      <w:r>
        <w:rPr>
          <w:rFonts w:ascii="Calibri" w:cs="Calibri" w:eastAsia="Calibri" w:hAnsi="Calibri"/>
          <w:color w:val="000000"/>
          <w:sz w:val="18"/>
          <w:szCs w:val="18"/>
        </w:rPr>
        <w:t xml:space="preserve"> Parameters, GFLOPs, size, latency, memory and retained performance (Section 11); FID, KID, generated-image precision/recall and LPIPS (Section 10).</w:t>
      </w:r>
    </w:p>
    <w:p>
      <w:pPr>
        <w:spacing w:after="55" w:line="228"/>
        <w:jc w:val="both"/>
      </w:pPr>
      <w:r>
        <w:rPr>
          <w:rFonts w:ascii="Calibri" w:cs="Calibri" w:eastAsia="Calibri" w:hAnsi="Calibri"/>
          <w:b/>
          <w:bCs/>
          <w:color w:val="000000"/>
          <w:sz w:val="18"/>
          <w:szCs w:val="18"/>
        </w:rPr>
        <w:t xml:space="preserve">Supporting analysis.</w:t>
      </w:r>
      <w:r>
        <w:rPr>
          <w:rFonts w:ascii="Calibri" w:cs="Calibri" w:eastAsia="Calibri" w:hAnsi="Calibri"/>
          <w:color w:val="000000"/>
          <w:sz w:val="18"/>
          <w:szCs w:val="18"/>
        </w:rPr>
        <w:t xml:space="preserve"> Bootstrap 95 percent confidence intervals over 2,000 resamples on every hold-out metric (resampling at group or image level); calibration via Brier score, expected calibration error and a reliability diagram, with post-hoc temperature scaling fitted on validation; McNemar, Wilcoxon signed-rank and paired-bootstrap tests for comparison, with Holm-Bonferroni correction.</w:t>
      </w:r>
    </w:p>
    <w:p>
      <w:pPr>
        <w:spacing w:after="55" w:line="228"/>
        <w:ind w:left="260"/>
        <w:jc w:val="both"/>
      </w:pPr>
      <w:r>
        <w:rPr>
          <w:rFonts w:ascii="Calibri" w:cs="Calibri" w:eastAsia="Calibri" w:hAnsi="Calibri"/>
          <w:b/>
          <w:bCs/>
          <w:i/>
          <w:iCs/>
          <w:color w:val="000000"/>
          <w:sz w:val="18"/>
          <w:szCs w:val="18"/>
        </w:rPr>
        <w:t xml:space="preserve">Plots: </w:t>
      </w:r>
      <w:r>
        <w:rPr>
          <w:rFonts w:ascii="Calibri" w:cs="Calibri" w:eastAsia="Calibri" w:hAnsi="Calibri"/>
          <w:i/>
          <w:iCs/>
          <w:color w:val="000000"/>
          <w:sz w:val="18"/>
          <w:szCs w:val="18"/>
        </w:rPr>
        <w:t xml:space="preserve">segmentation overlays and error maps stratified by size and contrast; Dice-versus-ulcer-size scatter; boxplots of per-image Dice; greyscale confusion matrix, raw and row-normalised; ROC and precision-recall curves with the selected operating point marked; per-fold loss, Dice and MCC curves; reliability diagram before and after temperature scaling; forest plot of metrics with bootstrap intervals.</w:t>
      </w:r>
    </w:p>
    <w:p>
      <w:pPr>
        <w:pStyle w:val="Heading1"/>
        <w:keepNext/>
        <w:spacing w:after="50" w:before="125"/>
      </w:pPr>
      <w:r>
        <w:rPr>
          <w:rFonts w:ascii="Calibri" w:cs="Calibri" w:eastAsia="Calibri" w:hAnsi="Calibri"/>
          <w:b/>
          <w:bCs/>
          <w:color w:val="000000"/>
          <w:sz w:val="21"/>
          <w:szCs w:val="21"/>
        </w:rPr>
        <w:t xml:space="preserve">14. Explainable AI and Validation (O4)</w:t>
      </w:r>
    </w:p>
    <w:p>
      <w:pPr>
        <w:spacing w:after="55" w:line="228"/>
        <w:jc w:val="both"/>
      </w:pPr>
      <w:r>
        <w:rPr>
          <w:rFonts w:ascii="Calibri" w:cs="Calibri" w:eastAsia="Calibri" w:hAnsi="Calibri"/>
          <w:color w:val="000000"/>
          <w:sz w:val="18"/>
          <w:szCs w:val="18"/>
        </w:rPr>
        <w:t xml:space="preserve">Explanations are produced for both tasks and for both teacher and student, and are </w:t>
      </w:r>
      <w:r>
        <w:rPr>
          <w:rFonts w:ascii="Calibri" w:cs="Calibri" w:eastAsia="Calibri" w:hAnsi="Calibri"/>
          <w:b/>
          <w:bCs/>
          <w:color w:val="000000"/>
          <w:sz w:val="18"/>
          <w:szCs w:val="18"/>
        </w:rPr>
        <w:t xml:space="preserve">measured rather than merely displayed</w:t>
      </w:r>
      <w:r>
        <w:rPr>
          <w:rFonts w:ascii="Calibri" w:cs="Calibri" w:eastAsia="Calibri" w:hAnsi="Calibri"/>
          <w:color w:val="000000"/>
          <w:sz w:val="18"/>
          <w:szCs w:val="18"/>
        </w:rPr>
        <w:t xml:space="preserve">. No prospective clinical reader study is part of this project; clinical validation is instead supported through quantitative faithfulness tests and comparison with the expert-annotated ulcer masks, which serve as the clinical reference standard.</w:t>
      </w:r>
    </w:p>
    <w:p>
      <w:pPr>
        <w:pStyle w:val="ListParagraph"/>
        <w:numPr>
          <w:ilvl w:val="0"/>
          <w:numId w:val="1"/>
        </w:numPr>
        <w:spacing w:after="30" w:line="235"/>
        <w:jc w:val="both"/>
      </w:pPr>
      <w:r>
        <w:rPr>
          <w:rFonts w:ascii="Calibri" w:cs="Calibri" w:eastAsia="Calibri" w:hAnsi="Calibri"/>
          <w:b/>
          <w:bCs/>
          <w:color w:val="000000"/>
          <w:sz w:val="18"/>
          <w:szCs w:val="18"/>
        </w:rPr>
        <w:t xml:space="preserve">Attribution methods.</w:t>
      </w:r>
      <w:r>
        <w:rPr>
          <w:rFonts w:ascii="Calibri" w:cs="Calibri" w:eastAsia="Calibri" w:hAnsi="Calibri"/>
          <w:color w:val="000000"/>
          <w:sz w:val="18"/>
          <w:szCs w:val="18"/>
        </w:rPr>
        <w:t xml:space="preserve"> Attention rollout and attention-flow for the ViT teacher; Grad-CAM, Grad-CAM++ and LayerCAM for the CNN student and decoder layers; Integrated Gradients for pixel-level attribution; Seg-Grad-CAM for per-region segmentation explanation; SHAP on the compact feature descriptors for the classical arm.</w:t>
      </w:r>
    </w:p>
    <w:p>
      <w:pPr>
        <w:pStyle w:val="ListParagraph"/>
        <w:numPr>
          <w:ilvl w:val="0"/>
          <w:numId w:val="1"/>
        </w:numPr>
        <w:spacing w:after="30" w:line="235"/>
        <w:jc w:val="both"/>
      </w:pPr>
      <w:r>
        <w:rPr>
          <w:rFonts w:ascii="Calibri" w:cs="Calibri" w:eastAsia="Calibri" w:hAnsi="Calibri"/>
          <w:b/>
          <w:bCs/>
          <w:color w:val="000000"/>
          <w:sz w:val="18"/>
          <w:szCs w:val="18"/>
        </w:rPr>
        <w:t xml:space="preserve">Uncertainty.</w:t>
      </w:r>
      <w:r>
        <w:rPr>
          <w:rFonts w:ascii="Calibri" w:cs="Calibri" w:eastAsia="Calibri" w:hAnsi="Calibri"/>
          <w:color w:val="000000"/>
          <w:sz w:val="18"/>
          <w:szCs w:val="18"/>
        </w:rPr>
        <w:t xml:space="preserve"> Test-time-augmentation and MC-dropout variance maps, flagging boundary regions and low-confidence predictions for human review.</w:t>
      </w:r>
    </w:p>
    <w:p>
      <w:pPr>
        <w:pStyle w:val="ListParagraph"/>
        <w:numPr>
          <w:ilvl w:val="0"/>
          <w:numId w:val="1"/>
        </w:numPr>
        <w:spacing w:after="30" w:line="235"/>
        <w:jc w:val="both"/>
      </w:pPr>
      <w:r>
        <w:rPr>
          <w:rFonts w:ascii="Calibri" w:cs="Calibri" w:eastAsia="Calibri" w:hAnsi="Calibri"/>
          <w:b/>
          <w:bCs/>
          <w:color w:val="000000"/>
          <w:sz w:val="18"/>
          <w:szCs w:val="18"/>
        </w:rPr>
        <w:t xml:space="preserve">Faithfulness.</w:t>
      </w:r>
      <w:r>
        <w:rPr>
          <w:rFonts w:ascii="Calibri" w:cs="Calibri" w:eastAsia="Calibri" w:hAnsi="Calibri"/>
          <w:color w:val="000000"/>
          <w:sz w:val="18"/>
          <w:szCs w:val="18"/>
        </w:rPr>
        <w:t xml:space="preserve"> Deletion and insertion AUC, and removal-based confidence drop, show whether highlighted regions truly drive the prediction.</w:t>
      </w:r>
    </w:p>
    <w:p>
      <w:pPr>
        <w:pStyle w:val="ListParagraph"/>
        <w:numPr>
          <w:ilvl w:val="0"/>
          <w:numId w:val="1"/>
        </w:numPr>
        <w:spacing w:after="30" w:line="235"/>
        <w:jc w:val="both"/>
      </w:pPr>
      <w:r>
        <w:rPr>
          <w:rFonts w:ascii="Calibri" w:cs="Calibri" w:eastAsia="Calibri" w:hAnsi="Calibri"/>
          <w:b/>
          <w:bCs/>
          <w:color w:val="000000"/>
          <w:sz w:val="18"/>
          <w:szCs w:val="18"/>
        </w:rPr>
        <w:t xml:space="preserve">Plausibility against clinical reference.</w:t>
      </w:r>
      <w:r>
        <w:rPr>
          <w:rFonts w:ascii="Calibri" w:cs="Calibri" w:eastAsia="Calibri" w:hAnsi="Calibri"/>
          <w:color w:val="000000"/>
          <w:sz w:val="18"/>
          <w:szCs w:val="18"/>
        </w:rPr>
        <w:t xml:space="preserve"> Pointing-game accuracy, energy-based pointing and saliency-to-mask overlap (IoU) quantify whether explanations fall on the expert-annotated ulcer rather than on background, rulers or skin markings. For segmentation, error maps are linked to uncertainty maps.</w:t>
      </w:r>
    </w:p>
    <w:p>
      <w:pPr>
        <w:pStyle w:val="ListParagraph"/>
        <w:numPr>
          <w:ilvl w:val="0"/>
          <w:numId w:val="1"/>
        </w:numPr>
        <w:spacing w:after="30" w:line="235"/>
        <w:jc w:val="both"/>
      </w:pPr>
      <w:r>
        <w:rPr>
          <w:rFonts w:ascii="Calibri" w:cs="Calibri" w:eastAsia="Calibri" w:hAnsi="Calibri"/>
          <w:b/>
          <w:bCs/>
          <w:color w:val="000000"/>
          <w:sz w:val="18"/>
          <w:szCs w:val="18"/>
        </w:rPr>
        <w:t xml:space="preserve">Reliability checks.</w:t>
      </w:r>
      <w:r>
        <w:rPr>
          <w:rFonts w:ascii="Calibri" w:cs="Calibri" w:eastAsia="Calibri" w:hAnsi="Calibri"/>
          <w:color w:val="000000"/>
          <w:sz w:val="18"/>
          <w:szCs w:val="18"/>
        </w:rPr>
        <w:t xml:space="preserve"> Model-parameter and label randomisation sanity checks, stability under small input perturbations, and a </w:t>
      </w:r>
      <w:r>
        <w:rPr>
          <w:rFonts w:ascii="Calibri" w:cs="Calibri" w:eastAsia="Calibri" w:hAnsi="Calibri"/>
          <w:b/>
          <w:bCs/>
          <w:color w:val="000000"/>
          <w:sz w:val="18"/>
          <w:szCs w:val="18"/>
        </w:rPr>
        <w:t xml:space="preserve">teacher-versus-student explanation agreement</w:t>
      </w:r>
      <w:r>
        <w:rPr>
          <w:rFonts w:ascii="Calibri" w:cs="Calibri" w:eastAsia="Calibri" w:hAnsi="Calibri"/>
          <w:color w:val="000000"/>
          <w:sz w:val="18"/>
          <w:szCs w:val="18"/>
        </w:rPr>
        <w:t xml:space="preserve"> score (rank correlation and SSIM) confirming that compression has not changed what the model relies on.</w:t>
      </w:r>
    </w:p>
    <w:p>
      <w:pPr>
        <w:pStyle w:val="ListParagraph"/>
        <w:numPr>
          <w:ilvl w:val="0"/>
          <w:numId w:val="1"/>
        </w:numPr>
        <w:spacing w:after="30" w:line="235"/>
        <w:jc w:val="both"/>
      </w:pPr>
      <w:r>
        <w:rPr>
          <w:rFonts w:ascii="Calibri" w:cs="Calibri" w:eastAsia="Calibri" w:hAnsi="Calibri"/>
          <w:b/>
          <w:bCs/>
          <w:color w:val="000000"/>
          <w:sz w:val="18"/>
          <w:szCs w:val="18"/>
        </w:rPr>
        <w:t xml:space="preserve">Failure analysis.</w:t>
      </w:r>
      <w:r>
        <w:rPr>
          <w:rFonts w:ascii="Calibri" w:cs="Calibri" w:eastAsia="Calibri" w:hAnsi="Calibri"/>
          <w:color w:val="000000"/>
          <w:sz w:val="18"/>
          <w:szCs w:val="18"/>
        </w:rPr>
        <w:t xml:space="preserve"> A structured taxonomy of false negatives, false positives and poor segmentations (very small ulcers, low contrast, specular glare, toe or nail confusion, shadow, dressings), with the explanation maps of the most confident errors, to expose shortcut learning. Prospective review by clinicians is stated as future work.</w:t>
      </w:r>
    </w:p>
    <w:p>
      <w:pPr>
        <w:spacing w:after="55" w:line="228"/>
        <w:ind w:left="260"/>
        <w:jc w:val="both"/>
      </w:pPr>
      <w:r>
        <w:rPr>
          <w:rFonts w:ascii="Calibri" w:cs="Calibri" w:eastAsia="Calibri" w:hAnsi="Calibri"/>
          <w:b/>
          <w:bCs/>
          <w:i/>
          <w:iCs/>
          <w:color w:val="000000"/>
          <w:sz w:val="18"/>
          <w:szCs w:val="18"/>
        </w:rPr>
        <w:t xml:space="preserve">Plots: </w:t>
      </w:r>
      <w:r>
        <w:rPr>
          <w:rFonts w:ascii="Calibri" w:cs="Calibri" w:eastAsia="Calibri" w:hAnsi="Calibri"/>
          <w:i/>
          <w:iCs/>
          <w:color w:val="000000"/>
          <w:sz w:val="18"/>
          <w:szCs w:val="18"/>
        </w:rPr>
        <w:t xml:space="preserve">explanation grid (rollout, Grad-CAM++, Integrated Gradients) for correct and incorrect cases; deletion and insertion curves; pointing-game and overlap bar charts per method; uncertainty maps beside error maps; teacher-versus-student explanation agreement plot.</w:t>
      </w:r>
    </w:p>
    <w:p>
      <w:pPr>
        <w:pStyle w:val="Heading1"/>
        <w:keepNext/>
        <w:spacing w:after="50" w:before="125"/>
      </w:pPr>
      <w:r>
        <w:rPr>
          <w:rFonts w:ascii="Calibri" w:cs="Calibri" w:eastAsia="Calibri" w:hAnsi="Calibri"/>
          <w:b/>
          <w:bCs/>
          <w:color w:val="000000"/>
          <w:sz w:val="21"/>
          <w:szCs w:val="21"/>
        </w:rPr>
        <w:t xml:space="preserve">15. Comparative Analysis</w:t>
      </w:r>
    </w:p>
    <w:p>
      <w:pPr>
        <w:spacing w:after="55" w:line="228"/>
        <w:jc w:val="both"/>
      </w:pPr>
      <w:r>
        <w:rPr>
          <w:rFonts w:ascii="Calibri" w:cs="Calibri" w:eastAsia="Calibri" w:hAnsi="Calibri"/>
          <w:b/>
          <w:bCs/>
          <w:color w:val="000000"/>
          <w:sz w:val="18"/>
          <w:szCs w:val="18"/>
        </w:rPr>
        <w:t xml:space="preserve">Classification versus classical machine learning.</w:t>
      </w:r>
      <w:r>
        <w:rPr>
          <w:rFonts w:ascii="Calibri" w:cs="Calibri" w:eastAsia="Calibri" w:hAnsi="Calibri"/>
          <w:color w:val="000000"/>
          <w:sz w:val="18"/>
          <w:szCs w:val="18"/>
        </w:rPr>
        <w:t xml:space="preserve"> Two feature tracks run through identical folds, seeds and locked test set, so any difference is attributable to representation and classifier rather than protocol. Track A uses handcrafted features: GLCM at multiple angles and distances, LBP histograms at several radii, colour moments in RGB, HSV and LAB, HOG, a Gabor filter bank, and multi-level discrete wavelet subband energies. Track B uses frozen DINOv3 embeddings at 768 or 1,536 dimensions with no fine-tuning.</w:t>
      </w:r>
    </w:p>
    <w:p>
      <w:pPr>
        <w:spacing w:after="55" w:line="228"/>
        <w:jc w:val="both"/>
      </w:pPr>
      <w:r>
        <w:rPr>
          <w:rFonts w:ascii="Calibri" w:cs="Calibri" w:eastAsia="Calibri" w:hAnsi="Calibri"/>
          <w:color w:val="000000"/>
          <w:sz w:val="18"/>
          <w:szCs w:val="18"/>
        </w:rPr>
        <w:t xml:space="preserve">Classifiers on both tracks: L1 and L2 logistic regression, linear SVM, RBF SVM, random forest, extra trees, XGBoost, LightGBM, CatBoost, k-nearest neighbours, Gaussian naive Bayes, gradient boosting, shallow MLP. Every classifier is reported at both the default 0.5 threshold and the validation-selected sensitivity-floor threshold, so the comparison with the deep arms is made at matched operating points. Every classical model is tuned inside the inner folds only, and feature selection (variance threshold, correlation filter, then mutual information or LightGBM importance) is fitted per fold. The expected and reportable finding is that Track B with an RBF SVM lands close to full LoRA fine-tuning at a fraction of the compute while Track A trails substantially.</w:t>
      </w:r>
    </w:p>
    <w:p>
      <w:pPr>
        <w:spacing w:after="55" w:line="228"/>
        <w:jc w:val="both"/>
      </w:pPr>
      <w:r>
        <w:rPr>
          <w:rFonts w:ascii="Calibri" w:cs="Calibri" w:eastAsia="Calibri" w:hAnsi="Calibri"/>
          <w:b/>
          <w:bCs/>
          <w:color w:val="000000"/>
          <w:sz w:val="18"/>
          <w:szCs w:val="18"/>
        </w:rPr>
        <w:t xml:space="preserve">Segmentation versus established architectures.</w:t>
      </w:r>
      <w:r>
        <w:rPr>
          <w:rFonts w:ascii="Calibri" w:cs="Calibri" w:eastAsia="Calibri" w:hAnsi="Calibri"/>
          <w:color w:val="000000"/>
          <w:sz w:val="18"/>
          <w:szCs w:val="18"/>
        </w:rPr>
        <w:t xml:space="preserve"> The proposed teacher and student are compared with U-Net, U-Net++, DeepLabV3+, TransUNet, SegFormer and Swin-UNet (ImageNet-pretrained where applicable) under the same folds, preprocessing, augmentation, loss budget and tuning effort, and with the DINOv3 encoder replaced by a standard supervised ViT-B to isolate the benefit of self-supervised pretraining. Comparison covers accuracy (Dice, IoU, HD95), efficiency (GFLOPs, latency, size) and size-stratified performance.</w:t>
      </w:r>
    </w:p>
    <w:p>
      <w:pPr>
        <w:spacing w:after="55" w:line="228"/>
        <w:ind w:left="260"/>
        <w:jc w:val="both"/>
      </w:pPr>
      <w:r>
        <w:rPr>
          <w:rFonts w:ascii="Calibri" w:cs="Calibri" w:eastAsia="Calibri" w:hAnsi="Calibri"/>
          <w:b/>
          <w:bCs/>
          <w:i/>
          <w:iCs/>
          <w:color w:val="000000"/>
          <w:sz w:val="18"/>
          <w:szCs w:val="18"/>
        </w:rPr>
        <w:t xml:space="preserve">Plots: </w:t>
      </w:r>
      <w:r>
        <w:rPr>
          <w:rFonts w:ascii="Calibri" w:cs="Calibri" w:eastAsia="Calibri" w:hAnsi="Calibri"/>
          <w:i/>
          <w:iCs/>
          <w:color w:val="000000"/>
          <w:sz w:val="18"/>
          <w:szCs w:val="18"/>
        </w:rPr>
        <w:t xml:space="preserve">grouped bar chart of balanced accuracy and MCC across all classification models split by track; segmentation Dice/IoU/HD95 bar chart across architectures; critical-difference diagram from fold-wise ranks; compute-versus-performance scatter with model labels; bar chart of top handcrafted features by importance.</w:t>
      </w:r>
    </w:p>
    <w:p>
      <w:pPr>
        <w:pStyle w:val="Heading1"/>
        <w:keepNext/>
        <w:spacing w:after="50" w:before="125"/>
      </w:pPr>
      <w:r>
        <w:rPr>
          <w:rFonts w:ascii="Calibri" w:cs="Calibri" w:eastAsia="Calibri" w:hAnsi="Calibri"/>
          <w:b/>
          <w:bCs/>
          <w:color w:val="000000"/>
          <w:sz w:val="21"/>
          <w:szCs w:val="21"/>
        </w:rPr>
        <w:t xml:space="preserve">16. Ablation Study</w:t>
      </w:r>
    </w:p>
    <w:p>
      <w:pPr>
        <w:spacing w:after="55" w:line="228"/>
        <w:jc w:val="both"/>
      </w:pPr>
      <w:r>
        <w:rPr>
          <w:rFonts w:ascii="Calibri" w:cs="Calibri" w:eastAsia="Calibri" w:hAnsi="Calibri"/>
          <w:color w:val="000000"/>
          <w:sz w:val="18"/>
          <w:szCs w:val="18"/>
        </w:rPr>
        <w:t xml:space="preserve">Each component is switched on and off against the same folds so that its contribution to the corresponding objective is measured, not assumed.</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1000"/>
        <w:gridCol w:w="2980"/>
      </w:tblGrid>
      <w:tr>
        <w:trPr>
          <w:cantSplit/>
          <w:tblHeader/>
        </w:trPr>
        <w:tc>
          <w:tcPr>
            <w:tcW w:type="dxa" w:w="190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Ablation</w:t>
            </w:r>
          </w:p>
        </w:tc>
        <w:tc>
          <w:tcPr>
            <w:tcW w:type="dxa" w:w="430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Variants compared</w:t>
            </w:r>
          </w:p>
        </w:tc>
        <w:tc>
          <w:tcPr>
            <w:tcW w:type="dxa" w:w="100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Objective</w:t>
            </w:r>
          </w:p>
        </w:tc>
        <w:tc>
          <w:tcPr>
            <w:tcW w:type="dxa" w:w="298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Primary metric</w:t>
            </w:r>
          </w:p>
        </w:tc>
      </w:tr>
      <w:tr>
        <w:trPr>
          <w:cantSplit/>
        </w:trPr>
        <w:tc>
          <w:tcPr>
            <w:tcW w:type="dxa" w:w="1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Resolution and decoder</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224 vs 448 vs 512 input; last-block only vs multi-block features; with/without boundary branch</w:t>
            </w:r>
          </w:p>
        </w:tc>
        <w:tc>
          <w:tcPr>
            <w:tcW w:type="dxa" w:w="10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O1</w:t>
            </w:r>
          </w:p>
        </w:tc>
        <w:tc>
          <w:tcPr>
            <w:tcW w:type="dxa" w:w="29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Dice on small ulcers, HD95</w:t>
            </w:r>
          </w:p>
        </w:tc>
      </w:tr>
      <w:tr>
        <w:trPr>
          <w:cantSplit/>
        </w:trPr>
        <w:tc>
          <w:tcPr>
            <w:tcW w:type="dxa" w:w="1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Loss design</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Dice only vs Dice+Focal-Tversky vs +boundary loss</w:t>
            </w:r>
          </w:p>
        </w:tc>
        <w:tc>
          <w:tcPr>
            <w:tcW w:type="dxa" w:w="10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O1</w:t>
            </w:r>
          </w:p>
        </w:tc>
        <w:tc>
          <w:tcPr>
            <w:tcW w:type="dxa" w:w="29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Boundary-F1, recall on small ulcers</w:t>
            </w:r>
          </w:p>
        </w:tc>
      </w:tr>
      <w:tr>
        <w:trPr>
          <w:cantSplit/>
        </w:trPr>
        <w:tc>
          <w:tcPr>
            <w:tcW w:type="dxa" w:w="1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Pre-processing</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Colour constancy, denoising, CLAHE each removed</w:t>
            </w:r>
          </w:p>
        </w:tc>
        <w:tc>
          <w:tcPr>
            <w:tcW w:type="dxa" w:w="10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O1</w:t>
            </w:r>
          </w:p>
        </w:tc>
        <w:tc>
          <w:tcPr>
            <w:tcW w:type="dxa" w:w="29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Dice on low-contrast ulcers</w:t>
            </w:r>
          </w:p>
        </w:tc>
      </w:tr>
      <w:tr>
        <w:trPr>
          <w:cantSplit/>
        </w:trPr>
        <w:tc>
          <w:tcPr>
            <w:tcW w:type="dxa" w:w="1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Pretraining</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DINOv3 vs supervised ViT-B vs random init</w:t>
            </w:r>
          </w:p>
        </w:tc>
        <w:tc>
          <w:tcPr>
            <w:tcW w:type="dxa" w:w="10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O1</w:t>
            </w:r>
          </w:p>
        </w:tc>
        <w:tc>
          <w:tcPr>
            <w:tcW w:type="dxa" w:w="29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Dice, IoU</w:t>
            </w:r>
          </w:p>
        </w:tc>
      </w:tr>
      <w:tr>
        <w:trPr>
          <w:cantSplit/>
        </w:trPr>
        <w:tc>
          <w:tcPr>
            <w:tcW w:type="dxa" w:w="1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Multi-task head</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Segmentation only vs segmentation + classification</w:t>
            </w:r>
          </w:p>
        </w:tc>
        <w:tc>
          <w:tcPr>
            <w:tcW w:type="dxa" w:w="10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O1, O2</w:t>
            </w:r>
          </w:p>
        </w:tc>
        <w:tc>
          <w:tcPr>
            <w:tcW w:type="dxa" w:w="29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Dice, MCC, latency</w:t>
            </w:r>
          </w:p>
        </w:tc>
      </w:tr>
      <w:tr>
        <w:trPr>
          <w:cantSplit/>
        </w:trPr>
        <w:tc>
          <w:tcPr>
            <w:tcW w:type="dxa" w:w="1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Compression</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Student from scratch vs transfer-learned vs distilled vs pruned vs INT8</w:t>
            </w:r>
          </w:p>
        </w:tc>
        <w:tc>
          <w:tcPr>
            <w:tcW w:type="dxa" w:w="10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O2</w:t>
            </w:r>
          </w:p>
        </w:tc>
        <w:tc>
          <w:tcPr>
            <w:tcW w:type="dxa" w:w="29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Retained Dice, GFLOPs, latency</w:t>
            </w:r>
          </w:p>
        </w:tc>
      </w:tr>
      <w:tr>
        <w:trPr>
          <w:cantSplit/>
        </w:trPr>
        <w:tc>
          <w:tcPr>
            <w:tcW w:type="dxa" w:w="1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Student family</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EfficientNet-B0 / MobileNetV3 vs ConvNeXt-Tiny</w:t>
            </w:r>
          </w:p>
        </w:tc>
        <w:tc>
          <w:tcPr>
            <w:tcW w:type="dxa" w:w="10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O2</w:t>
            </w:r>
          </w:p>
        </w:tc>
        <w:tc>
          <w:tcPr>
            <w:tcW w:type="dxa" w:w="29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Pareto position</w:t>
            </w:r>
          </w:p>
        </w:tc>
      </w:tr>
      <w:tr>
        <w:trPr>
          <w:cantSplit/>
        </w:trPr>
        <w:tc>
          <w:tcPr>
            <w:tcW w:type="dxa" w:w="1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Balancing method</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None, class weights, focal, oversampling, SMOTE, GAN; imbalance 1:2, 1:5, 1:10</w:t>
            </w:r>
          </w:p>
        </w:tc>
        <w:tc>
          <w:tcPr>
            <w:tcW w:type="dxa" w:w="10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O3</w:t>
            </w:r>
          </w:p>
        </w:tc>
        <w:tc>
          <w:tcPr>
            <w:tcW w:type="dxa" w:w="29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Minority recall, G-mean</w:t>
            </w:r>
          </w:p>
        </w:tc>
      </w:tr>
      <w:tr>
        <w:trPr>
          <w:cantSplit/>
        </w:trPr>
        <w:tc>
          <w:tcPr>
            <w:tcW w:type="dxa" w:w="1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GAN design</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Classification GAN vs mask-conditioned GAN vs both; synthetic ratio sweep</w:t>
            </w:r>
          </w:p>
        </w:tc>
        <w:tc>
          <w:tcPr>
            <w:tcW w:type="dxa" w:w="10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O3</w:t>
            </w:r>
          </w:p>
        </w:tc>
        <w:tc>
          <w:tcPr>
            <w:tcW w:type="dxa" w:w="29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Small-ulcer Dice, FID/KID</w:t>
            </w:r>
          </w:p>
        </w:tc>
      </w:tr>
      <w:tr>
        <w:trPr>
          <w:cantSplit/>
        </w:trPr>
        <w:tc>
          <w:tcPr>
            <w:tcW w:type="dxa" w:w="1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Explanation methods</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Rollout, Grad-CAM++, LayerCAM, IG compared</w:t>
            </w:r>
          </w:p>
        </w:tc>
        <w:tc>
          <w:tcPr>
            <w:tcW w:type="dxa" w:w="10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O4</w:t>
            </w:r>
          </w:p>
        </w:tc>
        <w:tc>
          <w:tcPr>
            <w:tcW w:type="dxa" w:w="29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Deletion/insertion AUC, pointing game</w:t>
            </w:r>
          </w:p>
        </w:tc>
      </w:tr>
      <w:tr>
        <w:trPr>
          <w:cantSplit/>
        </w:trPr>
        <w:tc>
          <w:tcPr>
            <w:tcW w:type="dxa" w:w="1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Optimiser</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ACO vs GWO vs random search</w:t>
            </w:r>
          </w:p>
        </w:tc>
        <w:tc>
          <w:tcPr>
            <w:tcW w:type="dxa" w:w="10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All</w:t>
            </w:r>
          </w:p>
        </w:tc>
        <w:tc>
          <w:tcPr>
            <w:tcW w:type="dxa" w:w="29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Fitness, best configuration quality</w:t>
            </w:r>
          </w:p>
        </w:tc>
      </w:tr>
      <w:tr>
        <w:trPr>
          <w:cantSplit/>
        </w:trPr>
        <w:tc>
          <w:tcPr>
            <w:tcW w:type="dxa" w:w="19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Split protocol</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Naive random split vs group-aware split on the same model</w:t>
            </w:r>
          </w:p>
        </w:tc>
        <w:tc>
          <w:tcPr>
            <w:tcW w:type="dxa" w:w="10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Integrity</w:t>
            </w:r>
          </w:p>
        </w:tc>
        <w:tc>
          <w:tcPr>
            <w:tcW w:type="dxa" w:w="29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Metric gap</w:t>
            </w:r>
          </w:p>
        </w:tc>
      </w:tr>
    </w:tbl>
    <w:p>
      <w:pPr>
        <w:spacing w:after="40"/>
      </w:pPr>
    </w:p>
    <w:p>
      <w:pPr>
        <w:pStyle w:val="Heading1"/>
        <w:keepNext/>
        <w:spacing w:after="50" w:before="125"/>
      </w:pPr>
      <w:r>
        <w:rPr>
          <w:rFonts w:ascii="Calibri" w:cs="Calibri" w:eastAsia="Calibri" w:hAnsi="Calibri"/>
          <w:b/>
          <w:bCs/>
          <w:color w:val="000000"/>
          <w:sz w:val="21"/>
          <w:szCs w:val="21"/>
        </w:rPr>
        <w:t xml:space="preserve">17. Expected Outcome, Integrity Note and Limitations</w:t>
      </w:r>
    </w:p>
    <w:p>
      <w:pPr>
        <w:spacing w:after="55" w:line="228"/>
        <w:jc w:val="both"/>
      </w:pPr>
      <w:r>
        <w:rPr>
          <w:rFonts w:ascii="Calibri" w:cs="Calibri" w:eastAsia="Calibri" w:hAnsi="Calibri"/>
          <w:b/>
          <w:bCs/>
          <w:color w:val="000000"/>
          <w:sz w:val="18"/>
          <w:szCs w:val="18"/>
        </w:rPr>
        <w:t xml:space="preserve">Expected outcomes.</w:t>
      </w:r>
      <w:r>
        <w:rPr>
          <w:rFonts w:ascii="Calibri" w:cs="Calibri" w:eastAsia="Calibri" w:hAnsi="Calibri"/>
          <w:color w:val="000000"/>
          <w:sz w:val="18"/>
          <w:szCs w:val="18"/>
        </w:rPr>
        <w:t xml:space="preserve"> The teacher is expected to exceed the CNN and transformer baselines on small and low-contrast ulcers, the student to retain most of the teacher's Dice at a small fraction of its parameters and latency, the GAN to deliver the largest gain at severe imbalance and on the small-ulcer stratum, and the XAI analysis to show that predictions rest on ulcer tissue rather than background cues. These are hypotheses to be tested; negative or null findings on any of them are reported as such.</w:t>
      </w:r>
    </w:p>
    <w:p>
      <w:pPr>
        <w:spacing w:after="55" w:line="228"/>
        <w:jc w:val="both"/>
      </w:pPr>
      <w:r>
        <w:rPr>
          <w:rFonts w:ascii="Calibri" w:cs="Calibri" w:eastAsia="Calibri" w:hAnsi="Calibri"/>
          <w:b/>
          <w:bCs/>
          <w:color w:val="000000"/>
          <w:sz w:val="18"/>
          <w:szCs w:val="18"/>
        </w:rPr>
        <w:t xml:space="preserve">Integrity.</w:t>
      </w:r>
      <w:r>
        <w:rPr>
          <w:rFonts w:ascii="Calibri" w:cs="Calibri" w:eastAsia="Calibri" w:hAnsi="Calibri"/>
          <w:color w:val="000000"/>
          <w:sz w:val="18"/>
          <w:szCs w:val="18"/>
        </w:rPr>
        <w:t xml:space="preserve"> Published results on this and similar public DFU patch datasets frequently sit between 98 and 100 percent, largely as artefacts of random splits over patches drawn from the same feet. Under group-aware splitting, deduplication and locked hold-out sets this project expects lower and considerably more trustworthy numbers. An explicit ablation contrasting a naive random split against the group-aware split on the identical model is included as a headline result rather than an appendix, because quantifying that gap is a more useful contribution than another incremental accuracy claim. Synthetic data never enters validation or test sets, and cross-dataset duplicates are removed.</w:t>
      </w:r>
    </w:p>
    <w:p>
      <w:pPr>
        <w:spacing w:after="55" w:line="228"/>
        <w:jc w:val="both"/>
      </w:pPr>
      <w:r>
        <w:rPr>
          <w:rFonts w:ascii="Calibri" w:cs="Calibri" w:eastAsia="Calibri" w:hAnsi="Calibri"/>
          <w:b/>
          <w:bCs/>
          <w:color w:val="000000"/>
          <w:sz w:val="18"/>
          <w:szCs w:val="18"/>
        </w:rPr>
        <w:t xml:space="preserve">Limitations.</w:t>
      </w:r>
      <w:r>
        <w:rPr>
          <w:rFonts w:ascii="Calibri" w:cs="Calibri" w:eastAsia="Calibri" w:hAnsi="Calibri"/>
          <w:color w:val="000000"/>
          <w:sz w:val="18"/>
          <w:szCs w:val="18"/>
        </w:rPr>
        <w:t xml:space="preserve"> Segmentation annotations come from a public release whose annotation protocol is outside this project's control, and masks from different annotators may differ at ulcer margins. The classification and segmentation datasets come from different populations and devices. GAN-generated images may not capture the full range of true ulcer appearance, which is why they are used as training supplements only. XAI is validated against expert masks and faithfulness tests, not against a prospective clinical study, and clinical deployment would require one. The project makes no claim about ulcer severity or Wagner grade.</w:t>
      </w:r>
    </w:p>
    <w:p>
      <w:pPr>
        <w:pStyle w:val="Heading1"/>
        <w:keepNext/>
        <w:spacing w:after="50" w:before="125"/>
      </w:pPr>
      <w:r>
        <w:rPr>
          <w:rFonts w:ascii="Calibri" w:cs="Calibri" w:eastAsia="Calibri" w:hAnsi="Calibri"/>
          <w:b/>
          <w:bCs/>
          <w:color w:val="000000"/>
          <w:sz w:val="21"/>
          <w:szCs w:val="21"/>
        </w:rPr>
        <w:t xml:space="preserve">18. Work Plan Mapped to Objectives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1300"/>
        <w:gridCol w:w="3180"/>
      </w:tblGrid>
      <w:tr>
        <w:trPr>
          <w:cantSplit/>
          <w:tblHeader/>
        </w:trPr>
        <w:tc>
          <w:tcPr>
            <w:tcW w:type="dxa" w:w="140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Phase</w:t>
            </w:r>
          </w:p>
        </w:tc>
        <w:tc>
          <w:tcPr>
            <w:tcW w:type="dxa" w:w="430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Activities</w:t>
            </w:r>
          </w:p>
        </w:tc>
        <w:tc>
          <w:tcPr>
            <w:tcW w:type="dxa" w:w="130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Objectives</w:t>
            </w:r>
          </w:p>
        </w:tc>
        <w:tc>
          <w:tcPr>
            <w:tcW w:type="dxa" w:w="3180"/>
            <w:tcBorders>
              <w:top w:val="single" w:color="000000" w:sz="3"/>
              <w:left w:val="single" w:color="000000" w:sz="3"/>
              <w:bottom w:val="single" w:color="000000" w:sz="3"/>
              <w:right w:val="single" w:color="000000" w:sz="3"/>
            </w:tcBorders>
            <w:shd w:val="clear" w:color="auto" w:fill="EDEDED"/>
            <w:tcMar>
              <w:top w:type="dxa" w:w="25"/>
              <w:left w:type="dxa" w:w="70"/>
              <w:bottom w:type="dxa" w:w="25"/>
              <w:right w:type="dxa" w:w="70"/>
            </w:tcMar>
          </w:tcPr>
          <w:p>
            <w:pPr>
              <w:spacing w:after="0" w:line="230"/>
            </w:pPr>
            <w:r>
              <w:rPr>
                <w:rFonts w:ascii="Calibri" w:cs="Calibri" w:eastAsia="Calibri" w:hAnsi="Calibri"/>
                <w:b/>
                <w:bCs/>
                <w:color w:val="000000"/>
                <w:sz w:val="16"/>
                <w:szCs w:val="16"/>
              </w:rPr>
              <w:t xml:space="preserve">Main outputs</w:t>
            </w:r>
          </w:p>
        </w:tc>
      </w:tr>
      <w:tr>
        <w:trPr>
          <w:cantSplit/>
        </w:trPr>
        <w:tc>
          <w:tcPr>
            <w:tcW w:type="dxa" w:w="14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1. Data</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Dataset acquisition and licence check, hygiene, grouping, splits, baseline classical models</w:t>
            </w:r>
          </w:p>
        </w:tc>
        <w:tc>
          <w:tcPr>
            <w:tcW w:type="dxa" w:w="1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All</w:t>
            </w:r>
          </w:p>
        </w:tc>
        <w:tc>
          <w:tcPr>
            <w:tcW w:type="dxa" w:w="31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Clean manifests, locked test sets, classical baseline</w:t>
            </w:r>
          </w:p>
        </w:tc>
      </w:tr>
      <w:tr>
        <w:trPr>
          <w:cantSplit/>
        </w:trPr>
        <w:tc>
          <w:tcPr>
            <w:tcW w:type="dxa" w:w="14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2. Teacher</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DINOv3-LoRA segmentation + classification, loss and resolution ablations, baseline architectures</w:t>
            </w:r>
          </w:p>
        </w:tc>
        <w:tc>
          <w:tcPr>
            <w:tcW w:type="dxa" w:w="1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O1</w:t>
            </w:r>
          </w:p>
        </w:tc>
        <w:tc>
          <w:tcPr>
            <w:tcW w:type="dxa" w:w="31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Teacher model, size- and contrast-stratified results</w:t>
            </w:r>
          </w:p>
        </w:tc>
      </w:tr>
      <w:tr>
        <w:trPr>
          <w:cantSplit/>
        </w:trPr>
        <w:tc>
          <w:tcPr>
            <w:tcW w:type="dxa" w:w="14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3. GAN</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Controlled-imbalance experiments, classification and mask-conditioned GANs, synthetic-ratio study</w:t>
            </w:r>
          </w:p>
        </w:tc>
        <w:tc>
          <w:tcPr>
            <w:tcW w:type="dxa" w:w="1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O3</w:t>
            </w:r>
          </w:p>
        </w:tc>
        <w:tc>
          <w:tcPr>
            <w:tcW w:type="dxa" w:w="31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Generators, FID/KID, balancing results</w:t>
            </w:r>
          </w:p>
        </w:tc>
      </w:tr>
      <w:tr>
        <w:trPr>
          <w:cantSplit/>
        </w:trPr>
        <w:tc>
          <w:tcPr>
            <w:tcW w:type="dxa" w:w="14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4. Lightweight</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Distillation, pruning, quantisation, latency benchmarking, student selection</w:t>
            </w:r>
          </w:p>
        </w:tc>
        <w:tc>
          <w:tcPr>
            <w:tcW w:type="dxa" w:w="1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O2</w:t>
            </w:r>
          </w:p>
        </w:tc>
        <w:tc>
          <w:tcPr>
            <w:tcW w:type="dxa" w:w="31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Deployable student, Pareto analysis</w:t>
            </w:r>
          </w:p>
        </w:tc>
      </w:tr>
      <w:tr>
        <w:trPr>
          <w:cantSplit/>
        </w:trPr>
        <w:tc>
          <w:tcPr>
            <w:tcW w:type="dxa" w:w="14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5. Tuning</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ACO, GWO and random search on teacher and student, compute-penalised fitness</w:t>
            </w:r>
          </w:p>
        </w:tc>
        <w:tc>
          <w:tcPr>
            <w:tcW w:type="dxa" w:w="1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O1, O2, O3</w:t>
            </w:r>
          </w:p>
        </w:tc>
        <w:tc>
          <w:tcPr>
            <w:tcW w:type="dxa" w:w="31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Optimised configurations, optimiser comparison</w:t>
            </w:r>
          </w:p>
        </w:tc>
      </w:tr>
      <w:tr>
        <w:trPr>
          <w:cantSplit/>
        </w:trPr>
        <w:tc>
          <w:tcPr>
            <w:tcW w:type="dxa" w:w="14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6. XAI</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Attribution, faithfulness, plausibility, uncertainty, failure analysis</w:t>
            </w:r>
          </w:p>
        </w:tc>
        <w:tc>
          <w:tcPr>
            <w:tcW w:type="dxa" w:w="1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O4</w:t>
            </w:r>
          </w:p>
        </w:tc>
        <w:tc>
          <w:tcPr>
            <w:tcW w:type="dxa" w:w="31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Explanation benchmark, failure taxonomy</w:t>
            </w:r>
          </w:p>
        </w:tc>
      </w:tr>
      <w:tr>
        <w:trPr>
          <w:cantSplit/>
        </w:trPr>
        <w:tc>
          <w:tcPr>
            <w:tcW w:type="dxa" w:w="14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7. Reporting</w:t>
            </w:r>
          </w:p>
        </w:tc>
        <w:tc>
          <w:tcPr>
            <w:tcW w:type="dxa" w:w="4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Final evaluation, statistical testing, external dataset, ablation tables, write-up</w:t>
            </w:r>
          </w:p>
        </w:tc>
        <w:tc>
          <w:tcPr>
            <w:tcW w:type="dxa" w:w="130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All</w:t>
            </w:r>
          </w:p>
        </w:tc>
        <w:tc>
          <w:tcPr>
            <w:tcW w:type="dxa" w:w="3180"/>
            <w:tcBorders>
              <w:top w:val="single" w:color="000000" w:sz="3"/>
              <w:left w:val="single" w:color="000000" w:sz="3"/>
              <w:bottom w:val="single" w:color="000000" w:sz="3"/>
              <w:right w:val="single" w:color="000000" w:sz="3"/>
            </w:tcBorders>
            <w:tcMar>
              <w:top w:type="dxa" w:w="25"/>
              <w:left w:type="dxa" w:w="70"/>
              <w:bottom w:type="dxa" w:w="25"/>
              <w:right w:type="dxa" w:w="70"/>
            </w:tcMar>
          </w:tcPr>
          <w:p>
            <w:pPr>
              <w:spacing w:after="0" w:line="230"/>
            </w:pPr>
            <w:r>
              <w:rPr>
                <w:rFonts w:ascii="Calibri" w:cs="Calibri" w:eastAsia="Calibri" w:hAnsi="Calibri"/>
                <w:color w:val="000000"/>
                <w:sz w:val="16"/>
                <w:szCs w:val="16"/>
              </w:rPr>
              <w:t xml:space="preserve">Final report and publications</w:t>
            </w:r>
          </w:p>
        </w:tc>
      </w:tr>
    </w:tbl>
    <w:p>
      <w:pPr>
        <w:spacing w:after="40"/>
      </w:pPr>
    </w:p>
    <w:sectPr>
      <w:pgSz w:w="12240" w:h="15840" w:orient="portrait"/>
      <w:pgMar w:top="820" w:right="980" w:bottom="82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2026-09-13T11:59:59.155Z</dcterms:created>
  <dcterms:modified xsi:type="dcterms:W3CDTF">2026-09-13T11:59:59.156Z</dcterms:modified>
</cp:coreProperties>
</file>

<file path=docProps/custom.xml><?xml version="1.0" encoding="utf-8"?>
<Properties xmlns="http://schemas.openxmlformats.org/officeDocument/2006/custom-properties" xmlns:vt="http://schemas.openxmlformats.org/officeDocument/2006/docPropsVTypes"/>
</file>