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4E79"/>
          <w:sz w:val="36"/>
          <w:szCs w:val="36"/>
        </w:rPr>
        <w:t xml:space="preserve">Hybrid Syntax-Aware DeBERTa-v3 for Multi-Aspect Multi-Sentiment Analysis</w:t>
      </w:r>
    </w:p>
    <w:p>
      <w:pPr>
        <w:spacing w:after="280" w:before="0"/>
        <w:jc w:val="center"/>
      </w:pPr>
      <w:r>
        <w:rPr>
          <w:i/>
          <w:iCs/>
          <w:color w:val="595959"/>
          <w:sz w:val="24"/>
          <w:szCs w:val="24"/>
        </w:rPr>
        <w:t xml:space="preserve">A Transformer Architecture with Lexicon and Dependency-Guided Attention Scaffolding, Benchmarked on the MAMS Dataset</w:t>
      </w:r>
    </w:p>
    <w:p>
      <w:pPr>
        <w:pStyle w:val="Heading1"/>
        <w:spacing w:after="160" w:before="320"/>
      </w:pPr>
      <w:r>
        <w:t xml:space="preserve">1. Problem Statement</w:t>
      </w:r>
    </w:p>
    <w:p>
      <w:pPr>
        <w:spacing w:after="120" w:before="0" w:line="300"/>
        <w:jc w:val="both"/>
      </w:pPr>
      <w:r>
        <w:rPr>
          <w:b w:val="false"/>
          <w:bCs w:val="false"/>
          <w:i w:val="false"/>
          <w:iCs w:val="false"/>
        </w:rPr>
        <w:t xml:space="preserve">Aspect-Based Sentiment Analysis (ABSA) seeks to identify the sentiment polarity expressed toward individual aspects mentioned in a text rather than collapsing an entire document to a single label. While research on ABSA has matured substantially over the past decade, the dominant benchmarks such as SemEval-2014 have effectively been saturated by large pre-trained language models, and the most well-known hybrid lexicon-plus-classical-ML pipelines (VADER + TF-IDF + SVM, SentiWordNet-augmented Random Forests) have been published repeatedly since 2015 and offer limited novelty today.</w:t>
      </w:r>
    </w:p>
    <w:p>
      <w:pPr>
        <w:spacing w:after="120" w:before="0" w:line="300"/>
        <w:jc w:val="both"/>
      </w:pPr>
      <w:r>
        <w:rPr>
          <w:b w:val="false"/>
          <w:bCs w:val="false"/>
          <w:i w:val="false"/>
          <w:iCs w:val="false"/>
        </w:rPr>
        <w:t xml:space="preserve">A harder and largely unresolved problem is multi-aspect multi-sentiment reasoning: sentences in which multiple aspects appear with conflicting polarities, such as "The food was excellent, but the service was dreadful." Standard ABSA models trained on SemEval-2014 frequently fail on such sentences because, in those corpora, fewer than 30 percent of sentences genuinely exhibit conflicting within-sentence polarity, which allows a model to achieve high accuracy by shortcutting to sentence-level sentiment classification rather than performing true aspect-level reasoning.</w:t>
      </w:r>
    </w:p>
    <w:p>
      <w:pPr>
        <w:spacing w:after="120" w:before="0" w:line="300"/>
        <w:jc w:val="both"/>
      </w:pPr>
      <w:r>
        <w:rPr>
          <w:b w:val="false"/>
          <w:bCs w:val="false"/>
          <w:i w:val="false"/>
          <w:iCs w:val="false"/>
        </w:rPr>
        <w:t xml:space="preserve">This proposal addresses the above gap along three dimensions. First, we adopt the MAMS (Multi-Aspect Multi-Sentiment) benchmark, in which every sentence contains at least two aspects with different polarities, making sentence-level shortcuts impossible. Second, we move the hybrid lexicon component away from being a feature generator for classical ML and reposition it as an attention-scaffolding signal inside a state-of-the-art transformer encoder (DeBERTa-v3). Third, we complement the quantitative study with ablations, error analysis, and saliency-based qualitative evaluation that explicitly verify whether the linguistic scaffolding improves model reasoning rather than merely inflating aggregate metrics.</w:t>
      </w:r>
    </w:p>
    <w:p>
      <w:pPr>
        <w:pStyle w:val="Heading1"/>
        <w:spacing w:after="160" w:before="320"/>
      </w:pPr>
      <w:r>
        <w:t xml:space="preserve">2. Related Work and Positioning</w:t>
      </w:r>
    </w:p>
    <w:p>
      <w:pPr>
        <w:spacing w:after="120" w:before="0" w:line="300"/>
        <w:jc w:val="both"/>
      </w:pPr>
      <w:r>
        <w:rPr>
          <w:b w:val="false"/>
          <w:bCs w:val="false"/>
          <w:i w:val="false"/>
          <w:iCs w:val="false"/>
        </w:rPr>
        <w:t xml:space="preserve">ABSA research has converged on three families of models: lexicon and rule-based systems (VADER, SentiWordNet, dependency-parse heuristics); classical machine learning over engineered features (SVM, Random Forest, XGBoost with TF-IDF); and fine-tuned transformer encoders (BERT, RoBERTa, DeBERTa, and architecture-augmented variants such as CapsNet-BERT, BERT-pair-QA-B, RoBERTa-TMM, LCF-BERT, and HAGNN-BERT). On the MAMS-ATSA benchmark, recent reported accuracies include approximately 83.4 percent for CapsNet-BERT, 82.9 percent for BERT-pair-QA-B, and 85.6 percent for RoBERTa-TMM, with more recent ensemble and syntax-aware methods pushing further.</w:t>
      </w:r>
    </w:p>
    <w:p>
      <w:pPr>
        <w:spacing w:after="120" w:before="0" w:line="300"/>
        <w:jc w:val="both"/>
      </w:pPr>
      <w:r>
        <w:rPr>
          <w:b w:val="false"/>
          <w:bCs w:val="false"/>
          <w:i w:val="false"/>
          <w:iCs w:val="false"/>
        </w:rPr>
        <w:t xml:space="preserve">Pure lexicon-plus-classical-ML hybrids have been extensively published and no longer represent a research frontier. Our contribution is instead to revive the useful inductive priors that lexicons and dependency trees encode, and to inject them into a transformer's attention computation as a soft syntactic bias — a direction that remains underexplored on the MAMS benchmark specifically.</w:t>
      </w:r>
    </w:p>
    <w:p>
      <w:pPr>
        <w:pStyle w:val="Heading1"/>
        <w:spacing w:after="160" w:before="320"/>
      </w:pPr>
      <w:r>
        <w:t xml:space="preserve">3. Proposed Solution</w:t>
      </w:r>
    </w:p>
    <w:p>
      <w:pPr>
        <w:spacing w:after="120" w:before="0" w:line="300"/>
        <w:jc w:val="both"/>
      </w:pPr>
      <w:r>
        <w:rPr>
          <w:b w:val="false"/>
          <w:bCs w:val="false"/>
          <w:i w:val="false"/>
          <w:iCs w:val="false"/>
        </w:rPr>
        <w:t xml:space="preserve">We propose a single end-to-end model, Syntax-Aware DeBERTa (SA-DeBERTa), that augments a DeBERTa-v3-base encoder with a lightweight, training-free scaffolding module built from lexicon lookups and dependency parses. The scaffolding produces two auxiliary signals used during training and inference:</w:t>
      </w:r>
    </w:p>
    <w:p>
      <w:pPr>
        <w:pStyle w:val="ListParagraph"/>
        <w:numPr>
          <w:ilvl w:val="0"/>
          <w:numId w:val="2"/>
        </w:numPr>
        <w:spacing w:after="80" w:before="0" w:line="300"/>
        <w:jc w:val="both"/>
      </w:pPr>
      <w:r>
        <w:rPr>
          <w:b/>
          <w:bCs/>
          <w:i w:val="false"/>
          <w:iCs w:val="false"/>
        </w:rPr>
        <w:t xml:space="preserve">Sentiment-Aware Attention Bias — </w:t>
      </w:r>
      <w:r>
        <w:rPr>
          <w:b w:val="false"/>
          <w:bCs w:val="false"/>
          <w:i w:val="false"/>
          <w:iCs w:val="false"/>
        </w:rPr>
        <w:t xml:space="preserve">a bias matrix added to DeBERTa's attention logits that upweights the attention paid by the [CLS] and aspect tokens to tokens that (a) lie on the shortest dependency path from the aspect and (b) carry non-neutral SentiWordNet polarity.</w:t>
      </w:r>
    </w:p>
    <w:p>
      <w:pPr>
        <w:pStyle w:val="ListParagraph"/>
        <w:numPr>
          <w:ilvl w:val="0"/>
          <w:numId w:val="2"/>
        </w:numPr>
        <w:spacing w:after="80" w:before="0" w:line="300"/>
        <w:jc w:val="both"/>
      </w:pPr>
      <w:r>
        <w:rPr>
          <w:b/>
          <w:bCs/>
          <w:i w:val="false"/>
          <w:iCs w:val="false"/>
        </w:rPr>
        <w:t xml:space="preserve">Dependency-Distance Features — </w:t>
      </w:r>
      <w:r>
        <w:rPr>
          <w:b w:val="false"/>
          <w:bCs w:val="false"/>
          <w:i w:val="false"/>
          <w:iCs w:val="false"/>
        </w:rPr>
        <w:t xml:space="preserve">the normalized inverse syntactic distance from each token to the target aspect, concatenated as an extra embedding channel.</w:t>
      </w:r>
    </w:p>
    <w:p>
      <w:pPr>
        <w:spacing w:after="120" w:before="0" w:line="300"/>
        <w:jc w:val="both"/>
      </w:pPr>
      <w:r>
        <w:rPr>
          <w:b w:val="false"/>
          <w:bCs w:val="false"/>
          <w:i w:val="false"/>
          <w:iCs w:val="false"/>
        </w:rPr>
        <w:t xml:space="preserve">Input is encoded in the standard ABSA pair format: [CLS] sentence [SEP] aspect [SEP]. The final hidden state of the [CLS] token is passed through a softmax classification head over three classes (positive, negative, neutral) for MAMS, with conflict reintroduced as a fourth class only on the SemEval-2014 cross-domain evaluation where that label is defined. This model design keeps the lexicon and syntactic signals differentiable as gradient-free priors while letting DeBERTa learn to trust or override them as appropriate.</w:t>
      </w:r>
    </w:p>
    <w:p>
      <w:pPr>
        <w:pStyle w:val="Heading1"/>
        <w:spacing w:after="160" w:before="320"/>
      </w:pPr>
      <w:r>
        <w:t xml:space="preserve">4. Algorithms and Justification</w:t>
      </w:r>
    </w:p>
    <w:p>
      <w:pPr>
        <w:pStyle w:val="Heading2"/>
        <w:spacing w:after="120" w:before="240"/>
      </w:pPr>
      <w:r>
        <w:t xml:space="preserve">4.1 Backbone: DeBERTa-v3-base</w:t>
      </w:r>
    </w:p>
    <w:p>
      <w:pPr>
        <w:spacing w:after="120" w:before="0" w:line="300"/>
        <w:jc w:val="both"/>
      </w:pPr>
      <w:r>
        <w:rPr>
          <w:b w:val="false"/>
          <w:bCs w:val="false"/>
          <w:i w:val="false"/>
          <w:iCs w:val="false"/>
        </w:rPr>
        <w:t xml:space="preserve">DeBERTa-v3 is selected for three reasons. First, its disentangled attention mechanism separately represents content and relative position, which is exactly the distinction required when an opinion word's effect depends on its syntactic distance from an aspect. Second, DeBERTa-v3 uses ELECTRA-style replaced-token-detection pre-training and consistently outperforms BERT and RoBERTa on NLU benchmarks at comparable parameter counts. Third, the base variant (approximately 184M parameters) is large enough to match published MAMS baselines while remaining trainable on a single mid-tier GPU, which is appropriate given the ~14k training examples in MAMS-ATSA.</w:t>
      </w:r>
    </w:p>
    <w:p>
      <w:pPr>
        <w:pStyle w:val="Heading2"/>
        <w:spacing w:after="120" w:before="240"/>
      </w:pPr>
      <w:r>
        <w:t xml:space="preserve">4.2 Lexicon and Dependency Scaffolding</w:t>
      </w:r>
    </w:p>
    <w:p>
      <w:pPr>
        <w:spacing w:after="120" w:before="0" w:line="300"/>
        <w:jc w:val="both"/>
      </w:pPr>
      <w:r>
        <w:rPr>
          <w:b w:val="false"/>
          <w:bCs w:val="false"/>
          <w:i w:val="false"/>
          <w:iCs w:val="false"/>
        </w:rPr>
        <w:t xml:space="preserve">For every (sentence, aspect) instance, a pre-processing pass runs once and emits two tensors. First, spaCy's transformer-based dependency parser constructs the dependency tree and computes the shortest path length d(t, a) from every token t to the aspect head a. Second, each token is looked up in SentiWordNet; the pos and neg scores from its most probable synset are retained, and a scalar sentiment magnitude s(t) = max(pos, neg) is computed. The scaffolding signal for token t relative to aspect a is defined as g(t, a) = s(t) / (1 + d(t, a)), which peaks on syntactically close sentiment-bearing tokens.</w:t>
      </w:r>
    </w:p>
    <w:p>
      <w:pPr>
        <w:spacing w:after="120" w:before="0" w:line="300"/>
        <w:jc w:val="both"/>
      </w:pPr>
      <w:r>
        <w:rPr>
          <w:b w:val="false"/>
          <w:bCs w:val="false"/>
          <w:i w:val="false"/>
          <w:iCs w:val="false"/>
        </w:rPr>
        <w:t xml:space="preserve">This signal is injected in two ways. (i) As an additive attention bias: for the heads of the last k layers, the attention logit from aspect token a to any token t is incremented by λ · g(t, a), where λ is a learned scalar initialized to a small positive value. (ii) As a token-level feature: g(t, a) is concatenated to the token embedding through a small linear projection, letting the model read the scaffolding magnitude directly.</w:t>
      </w:r>
    </w:p>
    <w:p>
      <w:pPr>
        <w:pStyle w:val="Heading2"/>
        <w:spacing w:after="120" w:before="240"/>
      </w:pPr>
      <w:r>
        <w:t xml:space="preserve">4.3 Classification Head</w:t>
      </w:r>
    </w:p>
    <w:p>
      <w:pPr>
        <w:spacing w:after="120" w:before="0" w:line="300"/>
        <w:jc w:val="both"/>
      </w:pPr>
      <w:r>
        <w:rPr>
          <w:b w:val="false"/>
          <w:bCs w:val="false"/>
          <w:i w:val="false"/>
          <w:iCs w:val="false"/>
        </w:rPr>
        <w:t xml:space="preserve">A two-layer feed-forward head (GeLU activation, dropout 0.1) maps the [CLS] representation to softmax logits over the class set. A label-smoothed cross-entropy loss (ε = 0.1) is used because the Neutral class in MAMS is both the hardest and the most systematically confused class in published baselines.</w:t>
      </w:r>
    </w:p>
    <w:p>
      <w:pPr>
        <w:pStyle w:val="Heading2"/>
        <w:spacing w:after="120" w:before="240"/>
      </w:pPr>
      <w:r>
        <w:t xml:space="preserve">4.4 Baselines and SOTA Comparators</w:t>
      </w:r>
    </w:p>
    <w:p>
      <w:pPr>
        <w:spacing w:after="120" w:before="0" w:line="300"/>
        <w:jc w:val="both"/>
      </w:pPr>
      <w:r>
        <w:rPr>
          <w:b w:val="false"/>
          <w:bCs w:val="false"/>
          <w:i w:val="false"/>
          <w:iCs w:val="false"/>
        </w:rPr>
        <w:t xml:space="preserve">To directly address the "No Comparison to SOTA" critique, we commit in advance to reporting numbers against the following comparators on the same MAMS-ATSA test split: a majority-class baseline, a VADER-threshold lexicon classifier, TF-IDF + SVM (as an anchor to the original proposal's approach), BERT-base fine-tuned with pair input, CapsNet-BERT as reported in Jiang et al. (EMNLP 2019), and RoBERTa-TMM as reported in the NLPCC 2020 task. Our target is to match or exceed 85 percent accuracy on MAMS-ATSA and to demonstrate that the hybrid scaffolding contributes a statistically significant improvement over a vanilla DeBERTa-v3-base baseline on the same training configuration.</w:t>
      </w:r>
    </w:p>
    <w:p>
      <w:pPr>
        <w:pStyle w:val="Heading1"/>
        <w:spacing w:after="160" w:before="320"/>
      </w:pPr>
      <w:r>
        <w:t xml:space="preserve">5. Dataset and Ingestion Plan</w:t>
      </w:r>
    </w:p>
    <w:p>
      <w:pPr>
        <w:pStyle w:val="Heading2"/>
        <w:spacing w:after="120" w:before="240"/>
      </w:pPr>
      <w:r>
        <w:t xml:space="preserve">5.1 Primary Dataset: MAMS</w:t>
      </w:r>
    </w:p>
    <w:p>
      <w:pPr>
        <w:spacing w:after="120" w:before="0" w:line="300"/>
        <w:jc w:val="both"/>
      </w:pPr>
      <w:r>
        <w:rPr>
          <w:b w:val="false"/>
          <w:bCs w:val="false"/>
          <w:i w:val="false"/>
          <w:iCs w:val="false"/>
        </w:rPr>
        <w:t xml:space="preserve">The Multi-Aspect Multi-Sentiment (MAMS) dataset, released with the EMNLP-IJCNLP 2019 paper by Jiang et al. and hosted at github.com/siat-nlp/MAMS-for-ABSA, is the principal training and evaluation corpus. MAMS ships in two versions — ATSA (aspect-term) and ACSA (aspect-category) — and every sentence contains at least two aspects with conflicting polarities. Published statistics are summarized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6"/>
        <w:gridCol w:w="2486"/>
        <w:gridCol w:w="248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Split</w:t>
            </w:r>
          </w:p>
        </w:tc>
        <w:tc>
          <w:tcPr>
            <w:tcW w:type="dxa" w:w="2486"/>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MAMS-ATSA (sentences)</w:t>
            </w:r>
          </w:p>
        </w:tc>
        <w:tc>
          <w:tcPr>
            <w:tcW w:type="dxa" w:w="2486"/>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MAMS-ACSA (sentences)</w:t>
            </w:r>
          </w:p>
        </w:tc>
        <w:tc>
          <w:tcPr>
            <w:tcW w:type="dxa" w:w="2488"/>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Avg. aspects / sentence</w:t>
            </w:r>
          </w:p>
        </w:tc>
      </w:tr>
      <w:tr>
        <w:tc>
          <w:tcPr>
            <w:tcW w:type="dxa" w:w="19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Train</w:t>
            </w:r>
          </w:p>
        </w:tc>
        <w:tc>
          <w:tcPr>
            <w:tcW w:type="dxa" w:w="2486"/>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~11,186</w:t>
            </w:r>
          </w:p>
        </w:tc>
        <w:tc>
          <w:tcPr>
            <w:tcW w:type="dxa" w:w="2486"/>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~7,090</w:t>
            </w:r>
          </w:p>
        </w:tc>
        <w:tc>
          <w:tcPr>
            <w:tcW w:type="dxa" w:w="2488"/>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2.62 (ATSA), 2.25 (ACSA)</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Validation</w:t>
            </w:r>
          </w:p>
        </w:tc>
        <w:tc>
          <w:tcPr>
            <w:tcW w:type="dxa" w:w="2486"/>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~1,332</w:t>
            </w:r>
          </w:p>
        </w:tc>
        <w:tc>
          <w:tcPr>
            <w:tcW w:type="dxa" w:w="2486"/>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~888</w:t>
            </w:r>
          </w:p>
        </w:tc>
        <w:tc>
          <w:tcPr>
            <w:tcW w:type="dxa" w:w="2488"/>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same</w:t>
            </w:r>
          </w:p>
        </w:tc>
      </w:tr>
      <w:tr>
        <w:tc>
          <w:tcPr>
            <w:tcW w:type="dxa" w:w="19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Test</w:t>
            </w:r>
          </w:p>
        </w:tc>
        <w:tc>
          <w:tcPr>
            <w:tcW w:type="dxa" w:w="2486"/>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~1,336</w:t>
            </w:r>
          </w:p>
        </w:tc>
        <w:tc>
          <w:tcPr>
            <w:tcW w:type="dxa" w:w="2486"/>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~901</w:t>
            </w:r>
          </w:p>
        </w:tc>
        <w:tc>
          <w:tcPr>
            <w:tcW w:type="dxa" w:w="2488"/>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same</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Total</w:t>
            </w:r>
          </w:p>
        </w:tc>
        <w:tc>
          <w:tcPr>
            <w:tcW w:type="dxa" w:w="2486"/>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~13,854</w:t>
            </w:r>
          </w:p>
        </w:tc>
        <w:tc>
          <w:tcPr>
            <w:tcW w:type="dxa" w:w="2486"/>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~8,879</w:t>
            </w:r>
          </w:p>
        </w:tc>
        <w:tc>
          <w:tcPr>
            <w:tcW w:type="dxa" w:w="2488"/>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w:t>
            </w:r>
          </w:p>
        </w:tc>
      </w:tr>
    </w:tbl>
    <w:p>
      <w:pPr>
        <w:spacing w:after="80" w:before="0"/>
      </w:pPr>
      <w:r>
        <w:t xml:space="preserve"/>
      </w:r>
    </w:p>
    <w:p>
      <w:pPr>
        <w:pStyle w:val="Heading2"/>
        <w:spacing w:after="120" w:before="240"/>
      </w:pPr>
      <w:r>
        <w:t xml:space="preserve">5.2 Secondary Dataset: SemEval-2014 Task 4 (for cross-domain and Conflict-class evaluation)</w:t>
      </w:r>
    </w:p>
    <w:p>
      <w:pPr>
        <w:spacing w:after="120" w:before="0" w:line="300"/>
        <w:jc w:val="both"/>
      </w:pPr>
      <w:r>
        <w:rPr>
          <w:b w:val="false"/>
          <w:bCs w:val="false"/>
          <w:i w:val="false"/>
          <w:iCs w:val="false"/>
        </w:rPr>
        <w:t xml:space="preserve">SemEval-2014 Task 4 Restaurants and Laptops are retained as secondary benchmarks for two specific purposes. First, they allow a legitimate cross-domain experiment: train on MAMS restaurant data, evaluate zero-shot on SemEval Laptops. Second, SemEval-2014 defines a Conflict polarity class (a single aspect receiving both positive and negative feedback), which MAMS does not include; the fourth class is therefore exercised only on this secondary corpus.</w:t>
      </w:r>
    </w:p>
    <w:p>
      <w:pPr>
        <w:pStyle w:val="Heading2"/>
        <w:spacing w:after="120" w:before="240"/>
      </w:pPr>
      <w:r>
        <w:t xml:space="preserve">5.3 Step-by-Step Ingestion of MAMS from GitHub</w:t>
      </w:r>
    </w:p>
    <w:p>
      <w:pPr>
        <w:spacing w:after="120" w:before="0" w:line="300"/>
        <w:jc w:val="both"/>
      </w:pPr>
      <w:r>
        <w:rPr>
          <w:b w:val="false"/>
          <w:bCs w:val="false"/>
          <w:i w:val="false"/>
          <w:iCs w:val="false"/>
        </w:rPr>
        <w:t xml:space="preserve">The MAMS repository is public and MIT/Apache-licensed. The following procedure will be executed verbatim in the implementation phase:</w:t>
      </w:r>
    </w:p>
    <w:p>
      <w:pPr>
        <w:pStyle w:val="ListParagraph"/>
        <w:numPr>
          <w:ilvl w:val="0"/>
          <w:numId w:val="2"/>
        </w:numPr>
        <w:spacing w:after="80" w:before="0" w:line="300"/>
        <w:jc w:val="both"/>
      </w:pPr>
      <w:r>
        <w:rPr>
          <w:b/>
          <w:bCs/>
          <w:i w:val="false"/>
          <w:iCs w:val="false"/>
        </w:rPr>
        <w:t xml:space="preserve">Step 1 — Clone. </w:t>
      </w:r>
      <w:r>
        <w:rPr>
          <w:b w:val="false"/>
          <w:bCs w:val="false"/>
          <w:i w:val="false"/>
          <w:iCs w:val="false"/>
        </w:rPr>
        <w:t xml:space="preserve">Run git clone https://github.com/siat-nlp/MAMS-for-ABSA.git. The repository contains four top-level code folders (data, data_process, src, train) and entry-point scripts (preprocess.py, train.py, test.py, config.yml).</w:t>
      </w:r>
    </w:p>
    <w:p>
      <w:pPr>
        <w:pStyle w:val="ListParagraph"/>
        <w:numPr>
          <w:ilvl w:val="0"/>
          <w:numId w:val="2"/>
        </w:numPr>
        <w:spacing w:after="80" w:before="0" w:line="300"/>
        <w:jc w:val="both"/>
      </w:pPr>
      <w:r>
        <w:rPr>
          <w:b/>
          <w:bCs/>
          <w:i w:val="false"/>
          <w:iCs w:val="false"/>
        </w:rPr>
        <w:t xml:space="preserve">Step 2 — Locate files. </w:t>
      </w:r>
      <w:r>
        <w:rPr>
          <w:b w:val="false"/>
          <w:bCs w:val="false"/>
          <w:i w:val="false"/>
          <w:iCs w:val="false"/>
        </w:rPr>
        <w:t xml:space="preserve">Inside data/ are two subfolders, MAMS-ATSA and MAMS-ACSA, each containing train.xml, val.xml, and test.xml in SemEval-2014-compatible XML format.</w:t>
      </w:r>
    </w:p>
    <w:p>
      <w:pPr>
        <w:pStyle w:val="ListParagraph"/>
        <w:numPr>
          <w:ilvl w:val="0"/>
          <w:numId w:val="2"/>
        </w:numPr>
        <w:spacing w:after="80" w:before="0" w:line="300"/>
        <w:jc w:val="both"/>
      </w:pPr>
      <w:r>
        <w:rPr>
          <w:b/>
          <w:bCs/>
          <w:i w:val="false"/>
          <w:iCs w:val="false"/>
        </w:rPr>
        <w:t xml:space="preserve">Step 3 — Parse with ElementTree. </w:t>
      </w:r>
      <w:r>
        <w:rPr>
          <w:b w:val="false"/>
          <w:bCs w:val="false"/>
          <w:i w:val="false"/>
          <w:iCs w:val="false"/>
        </w:rPr>
        <w:t xml:space="preserve">Each sentence element contains a text element and an aspectTerms (ATSA) or aspectCategories (ACSA) element. Each aspect child has attributes term, polarity, and character offsets from and to. A short Python routine converts the XML to a DataFrame of (text, aspect, polarity, from, to) rows.</w:t>
      </w:r>
    </w:p>
    <w:p>
      <w:pPr>
        <w:pStyle w:val="ListParagraph"/>
        <w:numPr>
          <w:ilvl w:val="0"/>
          <w:numId w:val="2"/>
        </w:numPr>
        <w:spacing w:after="80" w:before="0" w:line="300"/>
        <w:jc w:val="both"/>
      </w:pPr>
      <w:r>
        <w:rPr>
          <w:b/>
          <w:bCs/>
          <w:i w:val="false"/>
          <w:iCs w:val="false"/>
        </w:rPr>
        <w:t xml:space="preserve">Step 4 — Validate the multi-aspect property. </w:t>
      </w:r>
      <w:r>
        <w:rPr>
          <w:b w:val="false"/>
          <w:bCs w:val="false"/>
          <w:i w:val="false"/>
          <w:iCs w:val="false"/>
        </w:rPr>
        <w:t xml:space="preserve">Group the parsed training set by sentence text and confirm that nunique(polarity) &gt; 1 for approximately 100 percent of sentences. This sanity check rules out silent data corruption.</w:t>
      </w:r>
    </w:p>
    <w:p>
      <w:pPr>
        <w:pStyle w:val="ListParagraph"/>
        <w:numPr>
          <w:ilvl w:val="0"/>
          <w:numId w:val="2"/>
        </w:numPr>
        <w:spacing w:after="80" w:before="0" w:line="300"/>
        <w:jc w:val="both"/>
      </w:pPr>
      <w:r>
        <w:rPr>
          <w:b/>
          <w:bCs/>
          <w:i w:val="false"/>
          <w:iCs w:val="false"/>
        </w:rPr>
        <w:t xml:space="preserve">Step 5 — Tokenize with DeBERTa-v3. </w:t>
      </w:r>
      <w:r>
        <w:rPr>
          <w:b w:val="false"/>
          <w:bCs w:val="false"/>
          <w:i w:val="false"/>
          <w:iCs w:val="false"/>
        </w:rPr>
        <w:t xml:space="preserve">Use AutoTokenizer.from_pretrained('microsoft/deberta-v3-base') in HuggingFace Transformers, encoding each row as tokenizer(text, aspect, truncation=True, max_length=128, padding='max_length', return_offsets_mapping=True). The offset mapping is preserved because it is needed later to align spaCy token indices to DeBERTa sub-word positions.</w:t>
      </w:r>
    </w:p>
    <w:p>
      <w:pPr>
        <w:pStyle w:val="ListParagraph"/>
        <w:numPr>
          <w:ilvl w:val="0"/>
          <w:numId w:val="2"/>
        </w:numPr>
        <w:spacing w:after="80" w:before="0" w:line="300"/>
        <w:jc w:val="both"/>
      </w:pPr>
      <w:r>
        <w:rPr>
          <w:b/>
          <w:bCs/>
          <w:i w:val="false"/>
          <w:iCs w:val="false"/>
        </w:rPr>
        <w:t xml:space="preserve">Step 6 — Label mapping. </w:t>
      </w:r>
      <w:r>
        <w:rPr>
          <w:b w:val="false"/>
          <w:bCs w:val="false"/>
          <w:i w:val="false"/>
          <w:iCs w:val="false"/>
        </w:rPr>
        <w:t xml:space="preserve">MAMS uses three labels: {'positive': 0, 'negative': 1, 'neutral': 2}. No Conflict class.</w:t>
      </w:r>
    </w:p>
    <w:p>
      <w:pPr>
        <w:pStyle w:val="ListParagraph"/>
        <w:numPr>
          <w:ilvl w:val="0"/>
          <w:numId w:val="2"/>
        </w:numPr>
        <w:spacing w:after="80" w:before="0" w:line="300"/>
        <w:jc w:val="both"/>
      </w:pPr>
      <w:r>
        <w:rPr>
          <w:b/>
          <w:bCs/>
          <w:i w:val="false"/>
          <w:iCs w:val="false"/>
        </w:rPr>
        <w:t xml:space="preserve">Step 7 — Upgrade the dependency stack. </w:t>
      </w:r>
      <w:r>
        <w:rPr>
          <w:b w:val="false"/>
          <w:bCs w:val="false"/>
          <w:i w:val="false"/>
          <w:iCs w:val="false"/>
        </w:rPr>
        <w:t xml:space="preserve">The repository pins pytorch==1.1.0 and pytorch-pretrained-bert==0.6.2, both obsolete. We use only the dataset XML files and build on a modern stack: transformers ≥ 4.40, torch ≥ 2.1, spacy ≥ 3.7 (with en_core_web_trf), nltk, captum (for Integrated Gradients), scikit-learn, pandas.</w:t>
      </w:r>
    </w:p>
    <w:p>
      <w:pPr>
        <w:pStyle w:val="ListParagraph"/>
        <w:numPr>
          <w:ilvl w:val="0"/>
          <w:numId w:val="2"/>
        </w:numPr>
        <w:spacing w:after="80" w:before="0" w:line="300"/>
        <w:jc w:val="both"/>
      </w:pPr>
      <w:r>
        <w:rPr>
          <w:b/>
          <w:bCs/>
          <w:i w:val="false"/>
          <w:iCs w:val="false"/>
        </w:rPr>
        <w:t xml:space="preserve">Step 8 — Preprocess scaffolding. </w:t>
      </w:r>
      <w:r>
        <w:rPr>
          <w:b w:val="false"/>
          <w:bCs w:val="false"/>
          <w:i w:val="false"/>
          <w:iCs w:val="false"/>
        </w:rPr>
        <w:t xml:space="preserve">For each row, run spaCy once to build the dependency tree and compute per-token shortest-path distance to the aspect head; run SentiWordNet once per token to obtain (pos, neg) scores. Cache these arrays to disk so training does not re-parse.</w:t>
      </w:r>
    </w:p>
    <w:p>
      <w:pPr>
        <w:pStyle w:val="Heading1"/>
        <w:spacing w:after="160" w:before="320"/>
      </w:pPr>
      <w:r>
        <w:t xml:space="preserve">6. Data Preprocessing</w:t>
      </w:r>
    </w:p>
    <w:p>
      <w:pPr>
        <w:spacing w:after="120" w:before="0" w:line="300"/>
        <w:jc w:val="both"/>
      </w:pPr>
      <w:r>
        <w:rPr>
          <w:b w:val="false"/>
          <w:bCs w:val="false"/>
          <w:i w:val="false"/>
          <w:iCs w:val="false"/>
        </w:rPr>
        <w:t xml:space="preserve">Preprocessing is deliberately minimal because DeBERTa-v3 was pre-trained on near-raw text and aggressive normalization discards useful signal. The pipeline standardizes whitespace, strips HTML artifacts and URLs, lowercases only for SentiWordNet lookup (not for the DeBERTa input), and leaves punctuation intact. Tokenization for the model uses DeBERTa's SentencePiece tokenizer; tokenization for spaCy dependency parsing is handled separately by en_core_web_trf. Alignment between the two tokenizations is computed through character offsets. Negation handling is delegated to the attention scaffolding rather than to rule-based polarity flipping: a negator near an opinion word will itself receive a non-trivial SentiWordNet score and therefore participate in the bias signal.</w:t>
      </w:r>
    </w:p>
    <w:p>
      <w:pPr>
        <w:pStyle w:val="Heading1"/>
        <w:spacing w:after="160" w:before="320"/>
      </w:pPr>
      <w:r>
        <w:t xml:space="preserve">7. Feature Representation</w:t>
      </w:r>
    </w:p>
    <w:p>
      <w:pPr>
        <w:spacing w:after="120" w:before="0" w:line="300"/>
        <w:jc w:val="both"/>
      </w:pPr>
      <w:r>
        <w:rPr>
          <w:b w:val="false"/>
          <w:bCs w:val="false"/>
          <w:i w:val="false"/>
          <w:iCs w:val="false"/>
        </w:rPr>
        <w:t xml:space="preserve">Input to the model is the DeBERTa-encoded token sequence. The scaffolding adds two auxiliary tensors of shape (seq_len,): the SentiWordNet sentiment magnitude s(t) and the inverse syntactic distance 1 / (1 + d(t, a)) from each token to the aspect. Their elementwise product forms the bias signal g(t, a). No TF-IDF features, no hand-crafted POS ratios, and no ontology features are used; these were retained in the original proposal largely because the classical ML stage required them, and their empirical contribution on top of a transformer encoder is negligible and has been documented as such in recent literature.</w:t>
      </w:r>
    </w:p>
    <w:p>
      <w:pPr>
        <w:pStyle w:val="Heading1"/>
        <w:spacing w:after="160" w:before="320"/>
      </w:pPr>
      <w:r>
        <w:t xml:space="preserve">8. Train, Validation, and Test Strategy</w:t>
      </w:r>
    </w:p>
    <w:p>
      <w:pPr>
        <w:spacing w:after="120" w:before="0" w:line="300"/>
        <w:jc w:val="both"/>
      </w:pPr>
      <w:r>
        <w:rPr>
          <w:b w:val="false"/>
          <w:bCs w:val="false"/>
          <w:i w:val="false"/>
          <w:iCs w:val="false"/>
        </w:rPr>
        <w:t xml:space="preserve">MAMS ships with author-defined train, validation, and test splits. These splits are used verbatim so that results are directly comparable to every published MAMS number. For within-dataset evaluation, the model is trained on MAMS-ATSA train, hyperparameters are selected on MAMS-ATSA val, and final numbers are reported once on MAMS-ATSA test. Five random seeds are used, and we report mean accuracy and macro-F1 together with standard deviation. A paired bootstrap significance test (10,000 resamples) is used for every headline comparison against a baseline.</w:t>
      </w:r>
    </w:p>
    <w:p>
      <w:pPr>
        <w:spacing w:after="120" w:before="0" w:line="300"/>
        <w:jc w:val="both"/>
      </w:pPr>
      <w:r>
        <w:rPr>
          <w:b w:val="false"/>
          <w:bCs w:val="false"/>
          <w:i w:val="false"/>
          <w:iCs w:val="false"/>
        </w:rPr>
        <w:t xml:space="preserve">For cross-domain evaluation, the best SA-DeBERTa checkpoint trained on MAMS is evaluated zero-shot (no target-domain fine-tuning) on the SemEval-2014 Laptops test set. This quantifies generalization from restaurant-domain multi-aspect data to a different domain with simpler aspect structure, and preserves the cross-domain contribution that was the most defensible part of the original proposal.</w:t>
      </w:r>
    </w:p>
    <w:p>
      <w:pPr>
        <w:pStyle w:val="Heading1"/>
        <w:spacing w:after="160" w:before="320"/>
      </w:pPr>
      <w:r>
        <w:t xml:space="preserve">9. Hyperparameter Tuning</w:t>
      </w:r>
    </w:p>
    <w:p>
      <w:pPr>
        <w:spacing w:after="120" w:before="0" w:line="300"/>
        <w:jc w:val="both"/>
      </w:pPr>
      <w:r>
        <w:rPr>
          <w:b w:val="false"/>
          <w:bCs w:val="false"/>
          <w:i w:val="false"/>
          <w:iCs w:val="false"/>
        </w:rPr>
        <w:t xml:space="preserve">Hyperparameter search uses Bayesian optimization over the validation split (Optuna, 40 trials), which is more sample-efficient than GridSearchCV at this scale. The search space is as follows.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478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Hyperparameter</w:t>
            </w:r>
          </w:p>
        </w:tc>
        <w:tc>
          <w:tcPr>
            <w:tcW w:type="dxa" w:w="23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Search Range</w:t>
            </w:r>
          </w:p>
        </w:tc>
        <w:tc>
          <w:tcPr>
            <w:tcW w:type="dxa" w:w="47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Notes</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Learning rate</w:t>
            </w:r>
          </w:p>
        </w:tc>
        <w:tc>
          <w:tcPr>
            <w:tcW w:type="dxa" w:w="2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{1e-5, 2e-5, 3e-5, 5e-5}</w:t>
            </w:r>
          </w:p>
        </w:tc>
        <w:tc>
          <w:tcPr>
            <w:tcW w:type="dxa" w:w="47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log-uniform prior; 2e-5 is the common DeBERTa default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Batch size</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{16, 32}</w:t>
            </w:r>
          </w:p>
        </w:tc>
        <w:tc>
          <w:tcPr>
            <w:tcW w:type="dxa" w:w="47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gradient-accumulated where needed</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Max epochs</w:t>
            </w:r>
          </w:p>
        </w:tc>
        <w:tc>
          <w:tcPr>
            <w:tcW w:type="dxa" w:w="2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{3, 4, 5, 6}</w:t>
            </w:r>
          </w:p>
        </w:tc>
        <w:tc>
          <w:tcPr>
            <w:tcW w:type="dxa" w:w="47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early stopping on val macro-F1, patience = 2</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Weight decay</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{0.0, 0.01, 0.1}</w:t>
            </w:r>
          </w:p>
        </w:tc>
        <w:tc>
          <w:tcPr>
            <w:tcW w:type="dxa" w:w="47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AdamW</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Warmup ratio</w:t>
            </w:r>
          </w:p>
        </w:tc>
        <w:tc>
          <w:tcPr>
            <w:tcW w:type="dxa" w:w="2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{0.0, 0.06, 0.1}</w:t>
            </w:r>
          </w:p>
        </w:tc>
        <w:tc>
          <w:tcPr>
            <w:tcW w:type="dxa" w:w="47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linear warmup then linear decay</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Dropout (head)</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{0.1, 0.2, 0.3}</w:t>
            </w:r>
          </w:p>
        </w:tc>
        <w:tc>
          <w:tcPr>
            <w:tcW w:type="dxa" w:w="47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applied before final linear layer</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Scaffold scale λ</w:t>
            </w:r>
          </w:p>
        </w:tc>
        <w:tc>
          <w:tcPr>
            <w:tcW w:type="dxa" w:w="2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{0.0, 0.1, 0.5, 1.0}</w:t>
            </w:r>
          </w:p>
        </w:tc>
        <w:tc>
          <w:tcPr>
            <w:tcW w:type="dxa" w:w="47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initial value of the learned scaffolding weight; 0.0 reduces to vanilla DeBERTa</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Scaffold layers k</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{2, 4, 6, all}</w:t>
            </w:r>
          </w:p>
        </w:tc>
        <w:tc>
          <w:tcPr>
            <w:tcW w:type="dxa" w:w="47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number of final encoder layers that receive the attention bias</w:t>
            </w:r>
          </w:p>
        </w:tc>
      </w:tr>
      <w:tr>
        <w:tc>
          <w:tcPr>
            <w:tcW w:type="dxa" w:w="2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Label smoothing</w:t>
            </w:r>
          </w:p>
        </w:tc>
        <w:tc>
          <w:tcPr>
            <w:tcW w:type="dxa" w:w="2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{0.0, 0.05, 0.1}</w:t>
            </w:r>
          </w:p>
        </w:tc>
        <w:tc>
          <w:tcPr>
            <w:tcW w:type="dxa" w:w="47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helpful on the minority Neutral class</w:t>
            </w:r>
          </w:p>
        </w:tc>
      </w:tr>
    </w:tbl>
    <w:p>
      <w:pPr>
        <w:spacing w:after="80" w:before="0"/>
      </w:pPr>
      <w:r>
        <w:t xml:space="preserve"/>
      </w:r>
    </w:p>
    <w:p>
      <w:pPr>
        <w:spacing w:after="120" w:before="0" w:line="300"/>
        <w:jc w:val="both"/>
      </w:pPr>
      <w:r>
        <w:rPr>
          <w:b w:val="false"/>
          <w:bCs w:val="false"/>
          <w:i w:val="false"/>
          <w:iCs w:val="false"/>
        </w:rPr>
        <w:t xml:space="preserve">Selection criterion is macro-F1 on the MAMS-ATSA validation split. Once selected, hyperparameters are frozen and the final model is retrained from scratch with five seeds.</w:t>
      </w:r>
    </w:p>
    <w:p>
      <w:pPr>
        <w:pStyle w:val="Heading1"/>
        <w:spacing w:after="160" w:before="320"/>
      </w:pPr>
      <w:r>
        <w:t xml:space="preserve">10. Evaluation Methods and Performance Metrics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Metric</w:t>
            </w:r>
          </w:p>
        </w:tc>
        <w:tc>
          <w:tcPr>
            <w:tcW w:type="dxa" w:w="68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Purpose</w:t>
            </w:r>
          </w:p>
        </w:tc>
      </w:tr>
      <w:tr>
        <w:tc>
          <w:tcPr>
            <w:tcW w:type="dxa" w:w="25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Accuracy</w:t>
            </w:r>
          </w:p>
        </w:tc>
        <w:tc>
          <w:tcPr>
            <w:tcW w:type="dxa" w:w="68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Primary headline metric on MAMS; directly comparable to every published MAMS baseline.</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Macro-F1</w:t>
            </w:r>
          </w:p>
        </w:tc>
        <w:tc>
          <w:tcPr>
            <w:tcW w:type="dxa" w:w="68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Balances performance across Positive, Negative, and the minority Neutral class.</w:t>
            </w:r>
          </w:p>
        </w:tc>
      </w:tr>
      <w:tr>
        <w:tc>
          <w:tcPr>
            <w:tcW w:type="dxa" w:w="25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Per-class F1</w:t>
            </w:r>
          </w:p>
        </w:tc>
        <w:tc>
          <w:tcPr>
            <w:tcW w:type="dxa" w:w="68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Per-polarity performance; typically Neutral is the hardest and is where hybrid scaffolding is expected to help most.</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Multi-Aspect Agreement Rate</w:t>
            </w:r>
          </w:p>
        </w:tc>
        <w:tc>
          <w:tcPr>
            <w:tcW w:type="dxa" w:w="68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Fraction of sentences in which the model predicts at least two different polarities correctly when the gold sentence contains multi-polarity. Directly measures the property that MAMS was designed to test.</w:t>
            </w:r>
          </w:p>
        </w:tc>
      </w:tr>
      <w:tr>
        <w:tc>
          <w:tcPr>
            <w:tcW w:type="dxa" w:w="25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Cross-Domain Accuracy</w:t>
            </w:r>
          </w:p>
        </w:tc>
        <w:tc>
          <w:tcPr>
            <w:tcW w:type="dxa" w:w="68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Zero-shot accuracy on SemEval-2014 Laptops when trained on MAMS Restaurants; measures transfer.</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Paired Bootstrap p-value</w:t>
            </w:r>
          </w:p>
        </w:tc>
        <w:tc>
          <w:tcPr>
            <w:tcW w:type="dxa" w:w="68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Reported for every headline comparison; headline claims require p &lt; 0.05 on 10,000 resamples.</w:t>
            </w:r>
          </w:p>
        </w:tc>
      </w:tr>
    </w:tbl>
    <w:p>
      <w:pPr>
        <w:pStyle w:val="Heading1"/>
        <w:spacing w:after="160" w:before="320"/>
      </w:pPr>
      <w:r>
        <w:t xml:space="preserve">11. Ablation Study</w:t>
      </w:r>
    </w:p>
    <w:p>
      <w:pPr>
        <w:spacing w:after="120" w:before="0" w:line="300"/>
        <w:jc w:val="both"/>
      </w:pPr>
      <w:r>
        <w:rPr>
          <w:b w:val="false"/>
          <w:bCs w:val="false"/>
          <w:i w:val="false"/>
          <w:iCs w:val="false"/>
        </w:rPr>
        <w:t xml:space="preserve">The ablation study is the primary vehicle for demonstrating that "hybrid" is earning its place in the model name. Six configurations are trained and evaluated under identical conditions.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80"/>
        <w:gridCol w:w="438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ID</w:t>
            </w:r>
          </w:p>
        </w:tc>
        <w:tc>
          <w:tcPr>
            <w:tcW w:type="dxa" w:w="42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Configuration</w:t>
            </w:r>
          </w:p>
        </w:tc>
        <w:tc>
          <w:tcPr>
            <w:tcW w:type="dxa" w:w="43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Purpose</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A0</w:t>
            </w:r>
          </w:p>
        </w:tc>
        <w:tc>
          <w:tcPr>
            <w:tcW w:type="dxa" w:w="42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TF-IDF + SVM</w:t>
            </w:r>
          </w:p>
        </w:tc>
        <w:tc>
          <w:tcPr>
            <w:tcW w:type="dxa" w:w="4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Anchor to the original proposal's classical baseline.</w:t>
            </w:r>
          </w:p>
        </w:tc>
      </w:tr>
      <w:tr>
        <w:tc>
          <w:tcPr>
            <w:tcW w:type="dxa" w:w="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A1</w:t>
            </w:r>
          </w:p>
        </w:tc>
        <w:tc>
          <w:tcPr>
            <w:tcW w:type="dxa" w:w="42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VADER threshold classifier</w:t>
            </w:r>
          </w:p>
        </w:tc>
        <w:tc>
          <w:tcPr>
            <w:tcW w:type="dxa" w:w="4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Anchor to pure lexicon.</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A2</w:t>
            </w:r>
          </w:p>
        </w:tc>
        <w:tc>
          <w:tcPr>
            <w:tcW w:type="dxa" w:w="42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BERT-base pair input</w:t>
            </w:r>
          </w:p>
        </w:tc>
        <w:tc>
          <w:tcPr>
            <w:tcW w:type="dxa" w:w="4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Anchor to a mid-generation transformer baseline.</w:t>
            </w:r>
          </w:p>
        </w:tc>
      </w:tr>
      <w:tr>
        <w:tc>
          <w:tcPr>
            <w:tcW w:type="dxa" w:w="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A3</w:t>
            </w:r>
          </w:p>
        </w:tc>
        <w:tc>
          <w:tcPr>
            <w:tcW w:type="dxa" w:w="42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DeBERTa-v3-base pair input (vanilla)</w:t>
            </w:r>
          </w:p>
        </w:tc>
        <w:tc>
          <w:tcPr>
            <w:tcW w:type="dxa" w:w="4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The neural ablation: no scaffolding at all.</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A4</w:t>
            </w:r>
          </w:p>
        </w:tc>
        <w:tc>
          <w:tcPr>
            <w:tcW w:type="dxa" w:w="42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DeBERTa-v3-base + dependency-distance features only</w:t>
            </w:r>
          </w:p>
        </w:tc>
        <w:tc>
          <w:tcPr>
            <w:tcW w:type="dxa" w:w="4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Isolates the syntactic contribution.</w:t>
            </w:r>
          </w:p>
        </w:tc>
      </w:tr>
      <w:tr>
        <w:tc>
          <w:tcPr>
            <w:tcW w:type="dxa" w:w="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A5</w:t>
            </w:r>
          </w:p>
        </w:tc>
        <w:tc>
          <w:tcPr>
            <w:tcW w:type="dxa" w:w="42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DeBERTa-v3-base + SentiWordNet features only</w:t>
            </w:r>
          </w:p>
        </w:tc>
        <w:tc>
          <w:tcPr>
            <w:tcW w:type="dxa" w:w="43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Isolates the lexicon contribution.</w:t>
            </w:r>
          </w:p>
        </w:tc>
      </w:tr>
      <w:tr>
        <w:tc>
          <w:tcPr>
            <w:tcW w:type="dxa" w:w="7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A6</w:t>
            </w:r>
          </w:p>
        </w:tc>
        <w:tc>
          <w:tcPr>
            <w:tcW w:type="dxa" w:w="42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SA-DeBERTa (full model)</w:t>
            </w:r>
          </w:p>
        </w:tc>
        <w:tc>
          <w:tcPr>
            <w:tcW w:type="dxa" w:w="438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The proposed hybrid system.</w:t>
            </w:r>
          </w:p>
        </w:tc>
      </w:tr>
    </w:tbl>
    <w:p>
      <w:pPr>
        <w:spacing w:after="80" w:before="0"/>
      </w:pPr>
      <w:r>
        <w:t xml:space="preserve"/>
      </w:r>
    </w:p>
    <w:p>
      <w:pPr>
        <w:spacing w:after="120" w:before="0" w:line="300"/>
        <w:jc w:val="both"/>
      </w:pPr>
      <w:r>
        <w:rPr>
          <w:b w:val="false"/>
          <w:bCs w:val="false"/>
          <w:i w:val="false"/>
          <w:iCs w:val="false"/>
        </w:rPr>
        <w:t xml:space="preserve">A claim of novelty is credible only if A6 significantly outperforms A3, and if A4 and A5 each explain part but not all of the gap. The ablation is therefore specifically designed to falsify the proposal's central hypothesis, not merely to confirm it.</w:t>
      </w:r>
    </w:p>
    <w:p>
      <w:pPr>
        <w:pStyle w:val="Heading1"/>
        <w:spacing w:after="160" w:before="320"/>
      </w:pPr>
      <w:r>
        <w:t xml:space="preserve">12. Error Analysis and Qualitative Evaluation</w:t>
      </w:r>
    </w:p>
    <w:p>
      <w:pPr>
        <w:spacing w:after="120" w:before="0" w:line="300"/>
        <w:jc w:val="both"/>
      </w:pPr>
      <w:r>
        <w:rPr>
          <w:b w:val="false"/>
          <w:bCs w:val="false"/>
          <w:i w:val="false"/>
          <w:iCs w:val="false"/>
        </w:rPr>
        <w:t xml:space="preserve">Three distinct qualitative analyses are produced, each explicitly addressing the client feedback on this point.</w:t>
      </w:r>
    </w:p>
    <w:p>
      <w:pPr>
        <w:pStyle w:val="ListParagraph"/>
        <w:numPr>
          <w:ilvl w:val="0"/>
          <w:numId w:val="2"/>
        </w:numPr>
        <w:spacing w:after="80" w:before="0" w:line="300"/>
        <w:jc w:val="both"/>
      </w:pPr>
      <w:r>
        <w:rPr>
          <w:b/>
          <w:bCs/>
          <w:i w:val="false"/>
          <w:iCs w:val="false"/>
        </w:rPr>
        <w:t xml:space="preserve">Integrated Gradients saliency maps. </w:t>
      </w:r>
      <w:r>
        <w:rPr>
          <w:b w:val="false"/>
          <w:bCs w:val="false"/>
          <w:i w:val="false"/>
          <w:iCs w:val="false"/>
        </w:rPr>
        <w:t xml:space="preserve">For a stratified sample of 300 test sentences (100 per class), the Captum library is used to compute per-token attribution scores on the predicted logit. Heatmaps are rendered with the aspect token marked in bold. For a correctly classified "Negative" prediction on the aspect 'service', the heatmap is expected to concentrate on words such as 'slow' or 'rude' rather than on the content words tied to the other aspect. This directly shows that the model is reasoning at the aspect level and not merely echoing the sentence-level sentiment.</w:t>
      </w:r>
    </w:p>
    <w:p>
      <w:pPr>
        <w:pStyle w:val="ListParagraph"/>
        <w:numPr>
          <w:ilvl w:val="0"/>
          <w:numId w:val="2"/>
        </w:numPr>
        <w:spacing w:after="80" w:before="0" w:line="300"/>
        <w:jc w:val="both"/>
      </w:pPr>
      <w:r>
        <w:rPr>
          <w:b/>
          <w:bCs/>
          <w:i w:val="false"/>
          <w:iCs w:val="false"/>
        </w:rPr>
        <w:t xml:space="preserve">Confusion-matrix error taxonomy. </w:t>
      </w:r>
      <w:r>
        <w:rPr>
          <w:b w:val="false"/>
          <w:bCs w:val="false"/>
          <w:i w:val="false"/>
          <w:iCs w:val="false"/>
        </w:rPr>
        <w:t xml:space="preserve">Every misclassification on the MAMS-ATSA test set is manually categorized into one of six error types: cross-aspect sentiment bleed, sarcasm, implicit/world-knowledge sentiment, rare-term failure, tokenizer-boundary failure, and annotation disagreement. Error rates per category are reported for the vanilla DeBERTa baseline versus SA-DeBERTa, so we can point to specific error categories that the scaffolding actually reduces.</w:t>
      </w:r>
    </w:p>
    <w:p>
      <w:pPr>
        <w:pStyle w:val="ListParagraph"/>
        <w:numPr>
          <w:ilvl w:val="0"/>
          <w:numId w:val="2"/>
        </w:numPr>
        <w:spacing w:after="80" w:before="0" w:line="300"/>
        <w:jc w:val="both"/>
      </w:pPr>
      <w:r>
        <w:rPr>
          <w:b/>
          <w:bCs/>
          <w:i w:val="false"/>
          <w:iCs w:val="false"/>
        </w:rPr>
        <w:t xml:space="preserve">Attention-bias inspection. </w:t>
      </w:r>
      <w:r>
        <w:rPr>
          <w:b w:val="false"/>
          <w:bCs w:val="false"/>
          <w:i w:val="false"/>
          <w:iCs w:val="false"/>
        </w:rPr>
        <w:t xml:space="preserve">For each of the 300 saliency-sampled sentences, the scaffolding bias g(t, a) is visualized alongside the final model attention. This diagnoses whether the learned λ is doing real work or has collapsed to zero, and it lets us point to concrete cases where the syntactic prior rescues a sentence that vanilla DeBERTa gets wrong.</w:t>
      </w:r>
    </w:p>
    <w:p>
      <w:pPr>
        <w:pStyle w:val="Heading1"/>
        <w:spacing w:after="160" w:before="320"/>
      </w:pPr>
      <w:r>
        <w:t xml:space="preserve">13. Model Comparison Framework</w:t>
      </w:r>
    </w:p>
    <w:p>
      <w:pPr>
        <w:spacing w:after="120" w:before="0" w:line="300"/>
        <w:jc w:val="both"/>
      </w:pPr>
      <w:r>
        <w:rPr>
          <w:b w:val="false"/>
          <w:bCs w:val="false"/>
          <w:i w:val="false"/>
          <w:iCs w:val="false"/>
        </w:rPr>
        <w:t xml:space="preserve">Results are reported in two primary tables. The first reproduces the standard MAMS leaderboard format (test accuracy and macro-F1 on MAMS-ATSA) with our full ablation ladder inserted alongside published numbers for CapsNet-BERT, BERT-pair-QA-B, and RoBERTa-TMM. The second reports zero-shot cross-domain accuracy on SemEval-2014 Laptops. Supporting figures include per-class F1 bar charts, a Multi-Aspect Agreement Rate plot, a heatmap of confusion-matrix differences between vanilla DeBERTa and SA-DeBERTa, Integrated Gradients saliency panels, and a learning-curve plot that verifies that the scaffolding helps most in the low-data regime.</w:t>
      </w:r>
    </w:p>
    <w:p>
      <w:pPr>
        <w:pStyle w:val="Heading1"/>
        <w:spacing w:after="160" w:before="320"/>
      </w:pPr>
      <w:r>
        <w:t xml:space="preserve">14. Response to Prior Client Feedback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Original Critique</w:t>
            </w:r>
          </w:p>
        </w:tc>
        <w:tc>
          <w:tcPr>
            <w:tcW w:type="dxa" w:w="5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How This Revised Proposal Addresses It</w:t>
            </w:r>
          </w:p>
        </w:tc>
      </w:tr>
      <w:tr>
        <w:tc>
          <w:tcPr>
            <w:tcW w:type="dxa" w:w="37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Zero Novelty (many papers already exist on Hybrid Lexicon + ML)</w:t>
            </w:r>
          </w:p>
        </w:tc>
        <w:tc>
          <w:tcPr>
            <w:tcW w:type="dxa" w:w="56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The hybrid component is repositioned from a classical ML feature generator to a soft attention-bias scaffolding inside DeBERTa-v3. The empirical claim — that training-free lexicon and dependency priors measurably improve a modern transformer on multi-aspect multi-sentiment data — is the specific, falsifiable contribution.</w:t>
            </w:r>
          </w:p>
        </w:tc>
      </w:tr>
      <w:tr>
        <w:tc>
          <w:tcPr>
            <w:tcW w:type="dxa" w:w="3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No Comparison to SOTA</w:t>
            </w:r>
          </w:p>
        </w:tc>
        <w:tc>
          <w:tcPr>
            <w:tcW w:type="dxa" w:w="5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We commit to direct numerical comparison with CapsNet-BERT, BERT-pair-QA-B, RoBERTa-TMM, and BERT-base on the identical MAMS-ATSA test split, using the authors' own splits.</w:t>
            </w:r>
          </w:p>
        </w:tc>
      </w:tr>
      <w:tr>
        <w:tc>
          <w:tcPr>
            <w:tcW w:type="dxa" w:w="37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Datasets Are Too Old and Small</w:t>
            </w:r>
          </w:p>
        </w:tc>
        <w:tc>
          <w:tcPr>
            <w:tcW w:type="dxa" w:w="56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SemEval-2014 and the Blitzer Multi-Domain corpus are replaced with MAMS (13,854 ATSA sentences, 8,879 ACSA sentences), the current challenge benchmark for true multi-aspect multi-sentiment reasoning. SemEval-2014 is retained only as a secondary cross-domain test.</w:t>
            </w:r>
          </w:p>
        </w:tc>
      </w:tr>
      <w:tr>
        <w:tc>
          <w:tcPr>
            <w:tcW w:type="dxa" w:w="3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No Deep Learning or Transformer Component</w:t>
            </w:r>
          </w:p>
        </w:tc>
        <w:tc>
          <w:tcPr>
            <w:tcW w:type="dxa" w:w="5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DeBERTa-v3-base is the backbone; its disentangled attention mechanism is directly relevant to the aspect–opinion distance problem.</w:t>
            </w:r>
          </w:p>
        </w:tc>
      </w:tr>
      <w:tr>
        <w:tc>
          <w:tcPr>
            <w:tcW w:type="dxa" w:w="37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No Error Analysis or Qualitative Evaluation</w:t>
            </w:r>
          </w:p>
        </w:tc>
        <w:tc>
          <w:tcPr>
            <w:tcW w:type="dxa" w:w="56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Three distinct qualitative artifacts are produced: Integrated Gradients saliency maps (Captum), a manually coded six-category error taxonomy, and an attention-bias inspection pass.</w:t>
            </w:r>
          </w:p>
        </w:tc>
      </w:tr>
    </w:tbl>
    <w:p>
      <w:pPr>
        <w:pStyle w:val="Heading1"/>
        <w:spacing w:after="160" w:before="320"/>
      </w:pPr>
      <w:r>
        <w:t xml:space="preserve">15. Expected Outcomes and Deliverables</w:t>
      </w:r>
    </w:p>
    <w:p>
      <w:pPr>
        <w:spacing w:after="120" w:before="0" w:line="300"/>
        <w:jc w:val="both"/>
      </w:pPr>
      <w:r>
        <w:rPr>
          <w:b w:val="false"/>
          <w:bCs w:val="false"/>
          <w:i w:val="false"/>
          <w:iCs w:val="false"/>
        </w:rPr>
        <w:t xml:space="preserve">The project will deliver: (a) a reproducible PyTorch implementation of SA-DeBERTa together with data-loading and scaffolding code for MAMS; (b) a report that presents MAMS-ATSA accuracy and macro-F1 against all listed baselines including published SOTA comparators, with significance testing; (c) a full ablation ladder isolating the contributions of the SentiWordNet and dependency components; (d) a zero-shot cross-domain transfer measurement from MAMS to SemEval-2014 Laptops; and (e) a qualitative evaluation pack containing Integrated Gradients saliency panels, a coded error taxonomy, and attention-bias visualizations. The practical outcome is a concrete answer to the question: on a dataset that cannot be solved by sentence-level shortcuts, do lightweight symbolic linguistic priors still help a modern transformer?</w:t>
      </w:r>
    </w:p>
    <w:p>
      <w:pPr>
        <w:pStyle w:val="Heading1"/>
        <w:spacing w:after="160" w:before="320"/>
      </w:pPr>
      <w:r>
        <w:t xml:space="preserve">16. Timeline and Risks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Phase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Duration</w:t>
            </w:r>
          </w:p>
        </w:tc>
        <w:tc>
          <w:tcPr>
            <w:tcW w:type="dxa" w:w="4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rPr>
              <w:t xml:space="preserve">Key Deliverables</w:t>
            </w:r>
          </w:p>
        </w:tc>
      </w:tr>
      <w:tr>
        <w:tc>
          <w:tcPr>
            <w:tcW w:type="dxa" w:w="3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Data ingestion and scaffolding pre-compute</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1 week</w:t>
            </w:r>
          </w:p>
        </w:tc>
        <w:tc>
          <w:tcPr>
            <w:tcW w:type="dxa" w:w="46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Parsed MAMS DataFrames, cached SentiWordNet and dependency arrays, sanity-check report</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Baseline reproduction (A0–A3)</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1 week</w:t>
            </w:r>
          </w:p>
        </w:tc>
        <w:tc>
          <w:tcPr>
            <w:tcW w:type="dxa" w:w="4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Reproduced numbers for TF-IDF+SVM, VADER, BERT, vanilla DeBERTa</w:t>
            </w:r>
          </w:p>
        </w:tc>
      </w:tr>
      <w:tr>
        <w:tc>
          <w:tcPr>
            <w:tcW w:type="dxa" w:w="3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SA-DeBERTa implementation and training</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2 weeks</w:t>
            </w:r>
          </w:p>
        </w:tc>
        <w:tc>
          <w:tcPr>
            <w:tcW w:type="dxa" w:w="46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Trained A4, A5, A6 over five seeds with full hyperparameter sweep</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Cross-domain and qualitative evaluation</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1 week</w:t>
            </w:r>
          </w:p>
        </w:tc>
        <w:tc>
          <w:tcPr>
            <w:tcW w:type="dxa" w:w="4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line="280"/>
              <w:jc w:val="left"/>
            </w:pPr>
            <w:r>
              <w:rPr>
                <w:b w:val="false"/>
                <w:bCs w:val="false"/>
              </w:rPr>
              <w:t xml:space="preserve">SemEval-2014 zero-shot numbers; Captum saliency panels; error taxonomy</w:t>
            </w:r>
          </w:p>
        </w:tc>
      </w:tr>
      <w:tr>
        <w:tc>
          <w:tcPr>
            <w:tcW w:type="dxa" w:w="32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Reporting and writeup</w:t>
            </w:r>
          </w:p>
        </w:tc>
        <w:tc>
          <w:tcPr>
            <w:tcW w:type="dxa" w:w="150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1 week</w:t>
            </w:r>
          </w:p>
        </w:tc>
        <w:tc>
          <w:tcPr>
            <w:tcW w:type="dxa" w:w="4660"/>
            <w:tcBorders>
              <w:top w:val="single" w:color="BFBFBF" w:sz="4"/>
              <w:left w:val="single" w:color="BFBFBF" w:sz="4"/>
              <w:bottom w:val="single" w:color="BFBFBF" w:sz="4"/>
              <w:right w:val="single" w:color="BFBFBF" w:sz="4"/>
            </w:tcBorders>
            <w:shd w:fill="F7F9FC" w:color="auto" w:val="clear"/>
            <w:tcMar>
              <w:top w:type="dxa" w:w="80"/>
              <w:left w:type="dxa" w:w="140"/>
              <w:bottom w:type="dxa" w:w="80"/>
              <w:right w:type="dxa" w:w="140"/>
            </w:tcMar>
          </w:tcPr>
          <w:p>
            <w:pPr>
              <w:spacing w:line="280"/>
              <w:jc w:val="left"/>
            </w:pPr>
            <w:r>
              <w:rPr>
                <w:b w:val="false"/>
                <w:bCs w:val="false"/>
              </w:rPr>
              <w:t xml:space="preserve">Final report with all tables, significance tests, and figures</w:t>
            </w:r>
          </w:p>
        </w:tc>
      </w:tr>
    </w:tbl>
    <w:p>
      <w:pPr>
        <w:spacing w:after="80" w:before="0"/>
      </w:pPr>
      <w:r>
        <w:t xml:space="preserve"/>
      </w:r>
    </w:p>
    <w:p>
      <w:pPr>
        <w:spacing w:after="120" w:before="0" w:line="300"/>
        <w:jc w:val="both"/>
      </w:pPr>
      <w:r>
        <w:rPr>
          <w:b w:val="false"/>
          <w:bCs w:val="false"/>
          <w:i w:val="false"/>
          <w:iCs w:val="false"/>
        </w:rPr>
        <w:t xml:space="preserve">Principal risks are (i) that the scaffolding contribution is not statistically significant on top of DeBERTa-v3 — in which case the ablation result itself becomes the reportable scientific finding — and (ii) that en_core_web_trf dependency parses disagree systematically with SentencePiece sub-word boundaries, which is mitigated by the explicit character-offset alignment step in Section 5.3.</w:t>
      </w:r>
    </w:p>
    <w:p>
      <w:pPr>
        <w:pStyle w:val="Heading1"/>
        <w:spacing w:after="160" w:before="320"/>
      </w:pPr>
      <w:r>
        <w:t xml:space="preserve">17. References</w:t>
      </w:r>
    </w:p>
    <w:p>
      <w:pPr>
        <w:spacing w:after="120" w:before="0" w:line="300"/>
        <w:jc w:val="both"/>
      </w:pPr>
      <w:r>
        <w:rPr>
          <w:b w:val="false"/>
          <w:bCs w:val="false"/>
          <w:i w:val="false"/>
          <w:iCs w:val="false"/>
        </w:rPr>
        <w:t xml:space="preserve">Jiang, Q., Chen, L., Xu, R., Ao, X., and Yang, M. (2019). A Challenge Dataset and Effective Models for Aspect-Based Sentiment Analysis. EMNLP-IJCNLP 2019.</w:t>
      </w:r>
    </w:p>
    <w:p>
      <w:pPr>
        <w:spacing w:after="120" w:before="0" w:line="300"/>
        <w:jc w:val="both"/>
      </w:pPr>
      <w:r>
        <w:rPr>
          <w:b w:val="false"/>
          <w:bCs w:val="false"/>
          <w:i w:val="false"/>
          <w:iCs w:val="false"/>
        </w:rPr>
        <w:t xml:space="preserve">He, P., Gao, J., and Chen, W. (2021). DeBERTaV3: Improving DeBERTa using ELECTRA-Style Pre-Training with Gradient-Disentangled Embedding Sharing.</w:t>
      </w:r>
    </w:p>
    <w:p>
      <w:pPr>
        <w:spacing w:after="120" w:before="0" w:line="300"/>
        <w:jc w:val="both"/>
      </w:pPr>
      <w:r>
        <w:rPr>
          <w:b w:val="false"/>
          <w:bCs w:val="false"/>
          <w:i w:val="false"/>
          <w:iCs w:val="false"/>
        </w:rPr>
        <w:t xml:space="preserve">Pontiki, M., Galanis, D., Pavlopoulos, J., Papageorgiou, H., Androutsopoulos, I., and Manandhar, S. (2014). SemEval-2014 Task 4: Aspect Based Sentiment Analysis. SemEval 2014.</w:t>
      </w:r>
    </w:p>
    <w:p>
      <w:pPr>
        <w:spacing w:after="120" w:before="0" w:line="300"/>
        <w:jc w:val="both"/>
      </w:pPr>
      <w:r>
        <w:rPr>
          <w:b w:val="false"/>
          <w:bCs w:val="false"/>
          <w:i w:val="false"/>
          <w:iCs w:val="false"/>
        </w:rPr>
        <w:t xml:space="preserve">Kokkinos, F. and Potamianos, A. (2020). Transformer-based Multi-Aspect Modeling for Multi-Aspect Multi-Sentiment Analysis. NLPCC 2020.</w:t>
      </w:r>
    </w:p>
    <w:p>
      <w:pPr>
        <w:spacing w:after="120" w:before="0" w:line="300"/>
        <w:jc w:val="both"/>
      </w:pPr>
      <w:r>
        <w:rPr>
          <w:b w:val="false"/>
          <w:bCs w:val="false"/>
          <w:i w:val="false"/>
          <w:iCs w:val="false"/>
        </w:rPr>
        <w:t xml:space="preserve">Sundararajan, M., Taly, A., and Yan, Q. (2017). Axiomatic Attribution for Deep Networks. ICML 2017.</w:t>
      </w:r>
    </w:p>
    <w:p>
      <w:pPr>
        <w:spacing w:after="120" w:before="0" w:line="300"/>
        <w:jc w:val="both"/>
      </w:pPr>
      <w:r>
        <w:rPr>
          <w:b w:val="false"/>
          <w:bCs w:val="false"/>
          <w:i w:val="false"/>
          <w:iCs w:val="false"/>
        </w:rPr>
        <w:t xml:space="preserve">Hutto, C. and Gilbert, E. (2014). VADER: A Parsimonious Rule-based Model for Sentiment Analysis of Social Media Text. ICWSM 2014.</w:t>
      </w:r>
    </w:p>
    <w:p>
      <w:pPr>
        <w:spacing w:after="120" w:before="0" w:line="300"/>
        <w:jc w:val="both"/>
      </w:pPr>
      <w:r>
        <w:rPr>
          <w:b w:val="false"/>
          <w:bCs w:val="false"/>
          <w:i w:val="false"/>
          <w:iCs w:val="false"/>
        </w:rPr>
        <w:t xml:space="preserve">Baccianella, S., Esuli, A., and Sebastiani, F. (2010). SentiWordNet 3.0: An Enhanced Lexical Resource for Sentiment Analysis and Opinion Mining. LREC 2010.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Syntax-Aware DeBERTa-v3 for Multi-Aspect Multi-Sentiment Analysis</dc:title>
  <dc:creator>Project Team</dc:creator>
  <cp:lastModifiedBy>Un-named</cp:lastModifiedBy>
  <cp:revision>1</cp:revision>
  <dcterms:created xsi:type="dcterms:W3CDTF">2026-04-18T16:53:14.610Z</dcterms:created>
  <dcterms:modified xsi:type="dcterms:W3CDTF">2026-04-18T16:53:14.615Z</dcterms:modified>
</cp:coreProperties>
</file>

<file path=docProps/custom.xml><?xml version="1.0" encoding="utf-8"?>
<Properties xmlns="http://schemas.openxmlformats.org/officeDocument/2006/custom-properties" xmlns:vt="http://schemas.openxmlformats.org/officeDocument/2006/docPropsVTypes"/>
</file>