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Northwind Health — Data Retention and Deletion Standard</w:t>
      </w:r>
    </w:p>
    <w:p>
      <w:r>
        <w:t xml:space="preserve">Version 2.0</w:t>
      </w:r>
    </w:p>
    <w:p>
      <w:r>
        <w:t xml:space="preserve">Effective: 2026-03-01</w:t>
      </w:r>
    </w:p>
    <w:p>
      <w:r>
        <w:t xml:space="preserve">Review Date: 2027-03-01</w:t>
      </w:r>
    </w:p>
    <w:p>
      <w:r>
        <w:t xml:space="preserve">Owner: dpo@northwind.example</w:t>
      </w:r>
    </w:p>
    <w:p>
      <w:r>
        <w:t xml:space="preserve">Customer data is deleted within 30 days of contract termination, including all backup copies. Deletion is verified by the Data Protection Officer and a certificate of deletion is issued on request.</w:t>
      </w:r>
    </w:p>
    <w:p>
      <w:r>
        <w:t xml:space="preserve">Operational logs are retained for 400 days. Security telemetry is retained for 13 months in the SIEM.</w:t>
      </w:r>
    </w:p>
    <w:p>
      <w:r>
        <w:t xml:space="preserve">Encryption at rest uses AES-256. Keys are managed in AWS KMS with annual rotation.</w:t>
      </w:r>
    </w:p>
  </w:body>
</w:document>
</file>