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83A6" w14:textId="05AF84E7" w:rsidR="007D72C2" w:rsidRPr="009A1FC6" w:rsidRDefault="00A537D1" w:rsidP="009A1FC6">
      <w:pPr>
        <w:pStyle w:val="Title"/>
        <w:jc w:val="center"/>
        <w:rPr>
          <w:rFonts w:asciiTheme="minorHAnsi" w:hAnsiTheme="minorHAnsi" w:cs="Arial"/>
          <w:color w:val="000000" w:themeColor="text1"/>
          <w:sz w:val="48"/>
          <w:u w:val="double"/>
        </w:rPr>
      </w:pPr>
      <w:r w:rsidRPr="009A1FC6">
        <w:rPr>
          <w:rFonts w:asciiTheme="minorHAnsi" w:hAnsiTheme="minorHAnsi" w:cs="Arial"/>
          <w:color w:val="000000" w:themeColor="text1"/>
          <w:sz w:val="48"/>
          <w:u w:val="double"/>
        </w:rPr>
        <w:t>Business Summary Report:</w:t>
      </w:r>
      <w:r w:rsidR="00D646E1" w:rsidRPr="009A1FC6">
        <w:rPr>
          <w:rFonts w:asciiTheme="minorHAnsi" w:hAnsiTheme="minorHAnsi" w:cs="Arial"/>
          <w:color w:val="000000" w:themeColor="text1"/>
          <w:sz w:val="48"/>
          <w:u w:val="double"/>
        </w:rPr>
        <w:t xml:space="preserve"> </w:t>
      </w:r>
      <w:r w:rsidRPr="009A1FC6">
        <w:rPr>
          <w:rFonts w:asciiTheme="minorHAnsi" w:hAnsiTheme="minorHAnsi" w:cs="Arial"/>
          <w:color w:val="000000" w:themeColor="text1"/>
          <w:sz w:val="48"/>
          <w:u w:val="double"/>
        </w:rPr>
        <w:t>Predictive Insights for Collections Strategy</w:t>
      </w:r>
    </w:p>
    <w:p w14:paraId="55E04F0E" w14:textId="0708AC53" w:rsidR="002F49E4" w:rsidRPr="009A1FC6" w:rsidRDefault="002F49E4">
      <w:pPr>
        <w:pStyle w:val="Heading1"/>
        <w:rPr>
          <w:rFonts w:asciiTheme="minorHAnsi" w:hAnsiTheme="minorHAnsi" w:cs="Arial"/>
          <w:color w:val="000000" w:themeColor="text1"/>
          <w:szCs w:val="32"/>
          <w:u w:val="dotted"/>
        </w:rPr>
      </w:pPr>
      <w:r w:rsidRPr="009A1FC6">
        <w:rPr>
          <w:rFonts w:asciiTheme="minorHAnsi" w:hAnsiTheme="minorHAnsi" w:cs="Arial"/>
          <w:color w:val="000000" w:themeColor="text1"/>
          <w:szCs w:val="32"/>
          <w:u w:val="dotted"/>
        </w:rPr>
        <w:t>Introduction</w:t>
      </w:r>
    </w:p>
    <w:p w14:paraId="72C7980F" w14:textId="2657E838" w:rsidR="002F49E4" w:rsidRPr="009A1FC6" w:rsidRDefault="002F49E4" w:rsidP="002F49E4">
      <w:pPr>
        <w:rPr>
          <w:szCs w:val="24"/>
        </w:rPr>
      </w:pPr>
      <w:r w:rsidRPr="009A1FC6">
        <w:rPr>
          <w:szCs w:val="24"/>
        </w:rPr>
        <w:t xml:space="preserve">This report translates </w:t>
      </w:r>
      <w:proofErr w:type="spellStart"/>
      <w:r w:rsidRPr="009A1FC6">
        <w:rPr>
          <w:szCs w:val="24"/>
        </w:rPr>
        <w:t>Geldium’s</w:t>
      </w:r>
      <w:proofErr w:type="spellEnd"/>
      <w:r w:rsidRPr="009A1FC6">
        <w:rPr>
          <w:szCs w:val="24"/>
        </w:rPr>
        <w:t xml:space="preserve"> delinquency-risk model into actionable insights for the Collections team.</w:t>
      </w:r>
    </w:p>
    <w:p w14:paraId="157477B9" w14:textId="25CFC532" w:rsidR="002F49E4" w:rsidRPr="009A1FC6" w:rsidRDefault="002F49E4" w:rsidP="002F49E4">
      <w:pPr>
        <w:rPr>
          <w:szCs w:val="24"/>
        </w:rPr>
      </w:pPr>
      <w:r w:rsidRPr="009A1FC6">
        <w:rPr>
          <w:szCs w:val="24"/>
        </w:rPr>
        <w:t>It highlights the key drivers of customer delinquency, recommends a targeted intervention strategy based on model finding, and outlines ethical safeguards to ensure responsible, explainable AI-driven decision-making.</w:t>
      </w:r>
    </w:p>
    <w:p w14:paraId="2F4337BF" w14:textId="39DC5CC9" w:rsidR="007D72C2" w:rsidRPr="009A1FC6" w:rsidRDefault="00A537D1">
      <w:pPr>
        <w:pStyle w:val="Heading1"/>
        <w:rPr>
          <w:rFonts w:asciiTheme="minorHAnsi" w:hAnsiTheme="minorHAnsi" w:cs="Arial"/>
          <w:color w:val="000000" w:themeColor="text1"/>
          <w:szCs w:val="32"/>
          <w:u w:val="dotted"/>
        </w:rPr>
      </w:pPr>
      <w:r w:rsidRPr="009A1FC6">
        <w:rPr>
          <w:rFonts w:asciiTheme="minorHAnsi" w:hAnsiTheme="minorHAnsi" w:cs="Arial"/>
          <w:color w:val="000000" w:themeColor="text1"/>
          <w:szCs w:val="32"/>
          <w:u w:val="dotted"/>
        </w:rPr>
        <w:t>1. Summary of Predictive Insights</w:t>
      </w:r>
    </w:p>
    <w:p w14:paraId="3370299F" w14:textId="02950260" w:rsidR="007A254B" w:rsidRPr="009A1FC6" w:rsidRDefault="007A254B" w:rsidP="009F6C9D">
      <w:pPr>
        <w:pStyle w:val="NormalWeb"/>
        <w:rPr>
          <w:rFonts w:asciiTheme="minorHAnsi" w:hAnsiTheme="minorHAnsi"/>
          <w:sz w:val="22"/>
        </w:rPr>
      </w:pPr>
      <w:r w:rsidRPr="009A1FC6">
        <w:rPr>
          <w:rFonts w:asciiTheme="minorHAnsi" w:hAnsiTheme="minorHAnsi"/>
          <w:sz w:val="22"/>
        </w:rPr>
        <w:t xml:space="preserve">Our analysis from Task 2 confirmed that customer delinquency is driven by a combination of historical </w:t>
      </w:r>
      <w:bookmarkStart w:id="0" w:name="_GoBack"/>
      <w:bookmarkEnd w:id="0"/>
      <w:r w:rsidRPr="009A1FC6">
        <w:rPr>
          <w:rFonts w:asciiTheme="minorHAnsi" w:hAnsiTheme="minorHAnsi"/>
          <w:sz w:val="22"/>
        </w:rPr>
        <w:t xml:space="preserve">payment </w:t>
      </w:r>
      <w:proofErr w:type="spellStart"/>
      <w:r w:rsidRPr="009A1FC6">
        <w:rPr>
          <w:rFonts w:asciiTheme="minorHAnsi" w:hAnsiTheme="minorHAnsi"/>
          <w:sz w:val="22"/>
        </w:rPr>
        <w:t>behavior</w:t>
      </w:r>
      <w:proofErr w:type="spellEnd"/>
      <w:r w:rsidRPr="009A1FC6">
        <w:rPr>
          <w:rFonts w:asciiTheme="minorHAnsi" w:hAnsiTheme="minorHAnsi"/>
          <w:sz w:val="22"/>
        </w:rPr>
        <w:t>, credit dependency, and overall financial</w:t>
      </w:r>
      <w:r w:rsidR="009F6C9D" w:rsidRPr="009A1FC6">
        <w:rPr>
          <w:rFonts w:asciiTheme="minorHAnsi" w:hAnsiTheme="minorHAnsi"/>
          <w:sz w:val="22"/>
        </w:rPr>
        <w:t xml:space="preserve"> </w:t>
      </w:r>
      <w:r w:rsidRPr="009A1FC6">
        <w:rPr>
          <w:rFonts w:asciiTheme="minorHAnsi" w:hAnsiTheme="minorHAnsi"/>
          <w:sz w:val="22"/>
        </w:rPr>
        <w:t>health.</w:t>
      </w:r>
      <w:r w:rsidRPr="009A1FC6">
        <w:rPr>
          <w:rFonts w:asciiTheme="minorHAnsi" w:hAnsiTheme="minorHAnsi"/>
          <w:sz w:val="22"/>
        </w:rPr>
        <w:br/>
        <w:t>The Decision Tree model achieved strong recall and moderate precision, meaning it effectively identifies most at-risk customers for proactive support while remaining transparent and interpretable.</w:t>
      </w:r>
    </w:p>
    <w:p w14:paraId="5DB2877B" w14:textId="5DCDB9BC" w:rsidR="007A254B" w:rsidRPr="009A1FC6" w:rsidRDefault="007A254B" w:rsidP="00D646E1">
      <w:pPr>
        <w:pStyle w:val="NormalWeb"/>
        <w:jc w:val="both"/>
        <w:rPr>
          <w:rFonts w:asciiTheme="minorHAnsi" w:hAnsiTheme="minorHAnsi"/>
          <w:sz w:val="22"/>
        </w:rPr>
      </w:pPr>
      <w:r w:rsidRPr="009A1FC6">
        <w:rPr>
          <w:rStyle w:val="Strong"/>
          <w:rFonts w:asciiTheme="minorHAnsi" w:hAnsiTheme="minorHAnsi"/>
          <w:b w:val="0"/>
          <w:bCs w:val="0"/>
          <w:sz w:val="22"/>
        </w:rPr>
        <w:t>Top 3 Risk Factors</w:t>
      </w:r>
      <w:r w:rsidRPr="009A1FC6">
        <w:rPr>
          <w:rStyle w:val="Strong"/>
          <w:rFonts w:asciiTheme="minorHAnsi" w:hAnsiTheme="minorHAnsi"/>
          <w:b w:val="0"/>
          <w:bCs w:val="0"/>
          <w:sz w:val="22"/>
        </w:rPr>
        <w:t>:</w:t>
      </w:r>
    </w:p>
    <w:p w14:paraId="25046728" w14:textId="77777777" w:rsidR="007A254B" w:rsidRPr="009A1FC6" w:rsidRDefault="007A254B" w:rsidP="00D646E1">
      <w:pPr>
        <w:pStyle w:val="NormalWeb"/>
        <w:numPr>
          <w:ilvl w:val="0"/>
          <w:numId w:val="29"/>
        </w:numPr>
        <w:jc w:val="both"/>
        <w:rPr>
          <w:rFonts w:asciiTheme="minorHAnsi" w:hAnsiTheme="minorHAnsi"/>
          <w:sz w:val="22"/>
        </w:rPr>
      </w:pPr>
      <w:r w:rsidRPr="009A1FC6">
        <w:rPr>
          <w:rStyle w:val="Strong"/>
          <w:rFonts w:asciiTheme="minorHAnsi" w:hAnsiTheme="minorHAnsi"/>
          <w:b w:val="0"/>
          <w:sz w:val="22"/>
          <w:u w:val="dash"/>
        </w:rPr>
        <w:t xml:space="preserve">Past Payment </w:t>
      </w:r>
      <w:proofErr w:type="spellStart"/>
      <w:r w:rsidRPr="009A1FC6">
        <w:rPr>
          <w:rStyle w:val="Strong"/>
          <w:rFonts w:asciiTheme="minorHAnsi" w:hAnsiTheme="minorHAnsi"/>
          <w:b w:val="0"/>
          <w:sz w:val="22"/>
          <w:u w:val="dash"/>
        </w:rPr>
        <w:t>Behavior</w:t>
      </w:r>
      <w:proofErr w:type="spellEnd"/>
      <w:r w:rsidRPr="009A1FC6">
        <w:rPr>
          <w:rStyle w:val="Strong"/>
          <w:rFonts w:asciiTheme="minorHAnsi" w:hAnsiTheme="minorHAnsi"/>
          <w:b w:val="0"/>
          <w:sz w:val="22"/>
          <w:u w:val="dash"/>
        </w:rPr>
        <w:t xml:space="preserve"> (Missed Payments)</w:t>
      </w:r>
      <w:r w:rsidRPr="009A1FC6">
        <w:rPr>
          <w:rStyle w:val="Strong"/>
          <w:rFonts w:asciiTheme="minorHAnsi" w:hAnsiTheme="minorHAnsi"/>
          <w:b w:val="0"/>
          <w:sz w:val="22"/>
        </w:rPr>
        <w:t>:</w:t>
      </w:r>
      <w:r w:rsidRPr="009A1FC6">
        <w:rPr>
          <w:rFonts w:asciiTheme="minorHAnsi" w:hAnsiTheme="minorHAnsi"/>
          <w:sz w:val="22"/>
        </w:rPr>
        <w:t xml:space="preserve"> Customers with a record of missed payments are several times more likely to become delinquent. This remains the strongest single predictor.</w:t>
      </w:r>
    </w:p>
    <w:p w14:paraId="34F62B78" w14:textId="77777777" w:rsidR="007A254B" w:rsidRPr="009A1FC6" w:rsidRDefault="007A254B" w:rsidP="00D646E1">
      <w:pPr>
        <w:pStyle w:val="NormalWeb"/>
        <w:numPr>
          <w:ilvl w:val="0"/>
          <w:numId w:val="29"/>
        </w:numPr>
        <w:jc w:val="both"/>
        <w:rPr>
          <w:rFonts w:asciiTheme="minorHAnsi" w:hAnsiTheme="minorHAnsi"/>
          <w:sz w:val="22"/>
        </w:rPr>
      </w:pPr>
      <w:r w:rsidRPr="009A1FC6">
        <w:rPr>
          <w:rStyle w:val="Strong"/>
          <w:rFonts w:asciiTheme="minorHAnsi" w:hAnsiTheme="minorHAnsi"/>
          <w:b w:val="0"/>
          <w:sz w:val="22"/>
          <w:u w:val="dash"/>
        </w:rPr>
        <w:t>Low Credit Score (Credit Score)</w:t>
      </w:r>
      <w:r w:rsidRPr="009A1FC6">
        <w:rPr>
          <w:rStyle w:val="Strong"/>
          <w:rFonts w:asciiTheme="minorHAnsi" w:hAnsiTheme="minorHAnsi"/>
          <w:b w:val="0"/>
          <w:sz w:val="22"/>
        </w:rPr>
        <w:t>:</w:t>
      </w:r>
      <w:r w:rsidRPr="009A1FC6">
        <w:rPr>
          <w:rFonts w:asciiTheme="minorHAnsi" w:hAnsiTheme="minorHAnsi"/>
          <w:sz w:val="22"/>
        </w:rPr>
        <w:t xml:space="preserve"> Lower credit scores show a strong negative correlation with repayment reliability, serving as a high-level indicator of baseline risk.</w:t>
      </w:r>
    </w:p>
    <w:p w14:paraId="62EE6E70" w14:textId="77777777" w:rsidR="007A254B" w:rsidRPr="009A1FC6" w:rsidRDefault="007A254B" w:rsidP="00D646E1">
      <w:pPr>
        <w:pStyle w:val="NormalWeb"/>
        <w:numPr>
          <w:ilvl w:val="0"/>
          <w:numId w:val="29"/>
        </w:numPr>
        <w:jc w:val="both"/>
        <w:rPr>
          <w:rFonts w:asciiTheme="minorHAnsi" w:hAnsiTheme="minorHAnsi"/>
          <w:sz w:val="22"/>
        </w:rPr>
      </w:pPr>
      <w:r w:rsidRPr="009A1FC6">
        <w:rPr>
          <w:rStyle w:val="Strong"/>
          <w:rFonts w:asciiTheme="minorHAnsi" w:hAnsiTheme="minorHAnsi"/>
          <w:b w:val="0"/>
          <w:sz w:val="22"/>
          <w:u w:val="dash"/>
        </w:rPr>
        <w:t>High Credit Utilization (Credit Utilization)</w:t>
      </w:r>
      <w:r w:rsidRPr="009A1FC6">
        <w:rPr>
          <w:rStyle w:val="Strong"/>
          <w:rFonts w:asciiTheme="minorHAnsi" w:hAnsiTheme="minorHAnsi"/>
          <w:b w:val="0"/>
          <w:sz w:val="22"/>
        </w:rPr>
        <w:t>:</w:t>
      </w:r>
      <w:r w:rsidRPr="009A1FC6">
        <w:rPr>
          <w:rFonts w:asciiTheme="minorHAnsi" w:hAnsiTheme="minorHAnsi"/>
          <w:sz w:val="22"/>
        </w:rPr>
        <w:t xml:space="preserve"> Customers using more than 80 % of their available credit are significantly more likely to default. This </w:t>
      </w:r>
      <w:proofErr w:type="spellStart"/>
      <w:r w:rsidRPr="009A1FC6">
        <w:rPr>
          <w:rFonts w:asciiTheme="minorHAnsi" w:hAnsiTheme="minorHAnsi"/>
          <w:sz w:val="22"/>
        </w:rPr>
        <w:t>behavioral</w:t>
      </w:r>
      <w:proofErr w:type="spellEnd"/>
      <w:r w:rsidRPr="009A1FC6">
        <w:rPr>
          <w:rFonts w:asciiTheme="minorHAnsi" w:hAnsiTheme="minorHAnsi"/>
          <w:sz w:val="22"/>
        </w:rPr>
        <w:t xml:space="preserve"> sign often appears </w:t>
      </w:r>
      <w:r w:rsidRPr="009A1FC6">
        <w:rPr>
          <w:rStyle w:val="Emphasis"/>
          <w:rFonts w:asciiTheme="minorHAnsi" w:hAnsiTheme="minorHAnsi"/>
          <w:sz w:val="22"/>
        </w:rPr>
        <w:t>before</w:t>
      </w:r>
      <w:r w:rsidRPr="009A1FC6">
        <w:rPr>
          <w:rFonts w:asciiTheme="minorHAnsi" w:hAnsiTheme="minorHAnsi"/>
          <w:sz w:val="22"/>
        </w:rPr>
        <w:t xml:space="preserve"> an actual missed payment.</w:t>
      </w:r>
    </w:p>
    <w:tbl>
      <w:tblPr>
        <w:tblStyle w:val="PlainTable1"/>
        <w:tblW w:w="10632" w:type="dxa"/>
        <w:tblLook w:val="0000" w:firstRow="0" w:lastRow="0" w:firstColumn="0" w:lastColumn="0" w:noHBand="0" w:noVBand="0"/>
      </w:tblPr>
      <w:tblGrid>
        <w:gridCol w:w="1985"/>
        <w:gridCol w:w="2835"/>
        <w:gridCol w:w="2126"/>
        <w:gridCol w:w="3686"/>
      </w:tblGrid>
      <w:tr w:rsidR="009A1FC6" w:rsidRPr="009A1FC6" w14:paraId="36311A05" w14:textId="77777777" w:rsidTr="009A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0CD6A7EA" w14:textId="77777777" w:rsidR="00A537D1" w:rsidRPr="009A1FC6" w:rsidRDefault="00A537D1" w:rsidP="00A537D1">
            <w:pPr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Key Insight</w:t>
            </w:r>
          </w:p>
        </w:tc>
        <w:tc>
          <w:tcPr>
            <w:tcW w:w="2835" w:type="dxa"/>
          </w:tcPr>
          <w:p w14:paraId="21F469F1" w14:textId="77777777" w:rsidR="00A537D1" w:rsidRPr="009A1FC6" w:rsidRDefault="00A537D1" w:rsidP="00A53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Customer Segment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3891034A" w14:textId="77777777" w:rsidR="00A537D1" w:rsidRPr="009A1FC6" w:rsidRDefault="00A537D1" w:rsidP="00A537D1">
            <w:pPr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Influencing Variables</w:t>
            </w:r>
          </w:p>
        </w:tc>
        <w:tc>
          <w:tcPr>
            <w:tcW w:w="3686" w:type="dxa"/>
          </w:tcPr>
          <w:p w14:paraId="2E380553" w14:textId="77777777" w:rsidR="00A537D1" w:rsidRPr="009A1FC6" w:rsidRDefault="00A537D1" w:rsidP="00A53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Potential Impact</w:t>
            </w:r>
          </w:p>
        </w:tc>
      </w:tr>
      <w:tr w:rsidR="00A537D1" w:rsidRPr="009A1FC6" w14:paraId="4217145F" w14:textId="77777777" w:rsidTr="009A1FC6">
        <w:trPr>
          <w:trHeight w:val="1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14BFF5A1" w14:textId="2F980DA7" w:rsidR="00A537D1" w:rsidRPr="009A1FC6" w:rsidRDefault="007A254B" w:rsidP="00A537D1">
            <w:pPr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High credit utilization is a powerful early-warning sign of delinquency.</w:t>
            </w:r>
          </w:p>
        </w:tc>
        <w:tc>
          <w:tcPr>
            <w:tcW w:w="2835" w:type="dxa"/>
          </w:tcPr>
          <w:p w14:paraId="233EE3BA" w14:textId="1907D18C" w:rsidR="00A537D1" w:rsidRPr="009A1FC6" w:rsidRDefault="007A254B" w:rsidP="00A53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Customers who are finally stretched (using &gt; 80% of credit limit) but not yet delinquent.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3EB31FED" w14:textId="0180290C" w:rsidR="00A537D1" w:rsidRPr="009A1FC6" w:rsidRDefault="007A254B" w:rsidP="00A537D1">
            <w:pPr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Credit Utilization, Credit, Score</w:t>
            </w:r>
          </w:p>
        </w:tc>
        <w:tc>
          <w:tcPr>
            <w:tcW w:w="3686" w:type="dxa"/>
          </w:tcPr>
          <w:p w14:paraId="78DC9A44" w14:textId="124661BA" w:rsidR="00A537D1" w:rsidRPr="009A1FC6" w:rsidRDefault="007A254B" w:rsidP="00A53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  <w:lang w:val="en-GB"/>
              </w:rPr>
            </w:pPr>
            <w:r w:rsidRPr="009A1FC6">
              <w:rPr>
                <w:rFonts w:cs="Arial"/>
                <w:color w:val="000000" w:themeColor="text1"/>
                <w:szCs w:val="24"/>
                <w:lang w:val="en-GB"/>
              </w:rPr>
              <w:t>Allows proactive engagement with supportive, lower-cost interventions before payments are missed, reducing delinquency and strengthening trust.</w:t>
            </w:r>
          </w:p>
        </w:tc>
      </w:tr>
    </w:tbl>
    <w:p w14:paraId="5F1D7501" w14:textId="081E9968" w:rsidR="00D646E1" w:rsidRPr="009A1FC6" w:rsidRDefault="00A537D1" w:rsidP="00D646E1">
      <w:pPr>
        <w:pStyle w:val="Heading1"/>
        <w:rPr>
          <w:rFonts w:asciiTheme="minorHAnsi" w:hAnsiTheme="minorHAnsi" w:cs="Arial"/>
          <w:color w:val="000000" w:themeColor="text1"/>
          <w:szCs w:val="32"/>
          <w:u w:val="dotted"/>
        </w:rPr>
      </w:pPr>
      <w:r w:rsidRPr="009A1FC6">
        <w:rPr>
          <w:rFonts w:asciiTheme="minorHAnsi" w:hAnsiTheme="minorHAnsi" w:cs="Arial"/>
          <w:color w:val="000000" w:themeColor="text1"/>
          <w:szCs w:val="32"/>
          <w:u w:val="dotted"/>
        </w:rPr>
        <w:t>2. Recommendation Framework</w:t>
      </w:r>
    </w:p>
    <w:p w14:paraId="6F7BBC13" w14:textId="77777777" w:rsidR="00D646E1" w:rsidRPr="009A1FC6" w:rsidRDefault="00D646E1" w:rsidP="00D646E1">
      <w:pPr>
        <w:rPr>
          <w:szCs w:val="24"/>
        </w:rPr>
      </w:pPr>
      <w:r w:rsidRPr="009A1FC6">
        <w:rPr>
          <w:i/>
          <w:szCs w:val="24"/>
        </w:rPr>
        <w:t>Strategic Goal</w:t>
      </w:r>
      <w:r w:rsidRPr="009A1FC6">
        <w:rPr>
          <w:szCs w:val="24"/>
        </w:rPr>
        <w:t xml:space="preserve">: </w:t>
      </w:r>
    </w:p>
    <w:p w14:paraId="17D2B140" w14:textId="5E72A6F4" w:rsidR="007D72C2" w:rsidRPr="009A1FC6" w:rsidRDefault="007A254B" w:rsidP="00D646E1">
      <w:pPr>
        <w:jc w:val="both"/>
        <w:rPr>
          <w:szCs w:val="24"/>
        </w:rPr>
      </w:pPr>
      <w:r w:rsidRPr="009A1FC6">
        <w:rPr>
          <w:szCs w:val="24"/>
        </w:rPr>
        <w:t>Reduce delinquency rates by prioritizing early, supportive outreach to customers who show high-risk financial behaviors, while maintaining fairness and transparency.</w:t>
      </w:r>
    </w:p>
    <w:tbl>
      <w:tblPr>
        <w:tblStyle w:val="PlainTable1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5"/>
        <w:gridCol w:w="8348"/>
      </w:tblGrid>
      <w:tr w:rsidR="00D646E1" w:rsidRPr="00D646E1" w14:paraId="4FAD6652" w14:textId="77777777" w:rsidTr="009A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601562CE" w14:textId="77777777" w:rsidR="00D646E1" w:rsidRPr="00D646E1" w:rsidRDefault="00D646E1" w:rsidP="00D646E1">
            <w:pPr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lastRenderedPageBreak/>
              <w:t>Element</w:t>
            </w:r>
          </w:p>
        </w:tc>
        <w:tc>
          <w:tcPr>
            <w:tcW w:w="8348" w:type="dxa"/>
            <w:hideMark/>
          </w:tcPr>
          <w:p w14:paraId="2F7C53F3" w14:textId="77777777" w:rsidR="00D646E1" w:rsidRPr="00D646E1" w:rsidRDefault="00D646E1" w:rsidP="00D6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Recommendation</w:t>
            </w:r>
          </w:p>
        </w:tc>
      </w:tr>
      <w:tr w:rsidR="00D646E1" w:rsidRPr="00D646E1" w14:paraId="3EE5B636" w14:textId="77777777" w:rsidTr="009A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4A3B37D9" w14:textId="77777777" w:rsidR="00D646E1" w:rsidRPr="00D646E1" w:rsidRDefault="00D646E1" w:rsidP="00D646E1">
            <w:pPr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Specific</w:t>
            </w:r>
          </w:p>
        </w:tc>
        <w:tc>
          <w:tcPr>
            <w:tcW w:w="8348" w:type="dxa"/>
            <w:hideMark/>
          </w:tcPr>
          <w:p w14:paraId="5CDA546D" w14:textId="77777777" w:rsidR="00D646E1" w:rsidRPr="00D646E1" w:rsidRDefault="00D646E1" w:rsidP="00D64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Target customers in the top 10 % of delinquency risk with ≥ 2 missed payments and &gt; 80 % credit utilization.</w:t>
            </w:r>
          </w:p>
        </w:tc>
      </w:tr>
      <w:tr w:rsidR="00D646E1" w:rsidRPr="00D646E1" w14:paraId="2430D44B" w14:textId="77777777" w:rsidTr="009A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0D8BFC94" w14:textId="77777777" w:rsidR="00D646E1" w:rsidRPr="00D646E1" w:rsidRDefault="00D646E1" w:rsidP="00D646E1">
            <w:pPr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Measurable</w:t>
            </w:r>
          </w:p>
        </w:tc>
        <w:tc>
          <w:tcPr>
            <w:tcW w:w="8348" w:type="dxa"/>
            <w:hideMark/>
          </w:tcPr>
          <w:p w14:paraId="4E656DC4" w14:textId="77777777" w:rsidR="00D646E1" w:rsidRPr="00D646E1" w:rsidRDefault="00D646E1" w:rsidP="00D64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 xml:space="preserve">Aim to cut 30-day delinquency rates by </w:t>
            </w:r>
            <w:r w:rsidRPr="009A1FC6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10 %</w:t>
            </w: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 xml:space="preserve"> within the next quarter through early outreach and repayment-support programs.</w:t>
            </w:r>
          </w:p>
        </w:tc>
      </w:tr>
      <w:tr w:rsidR="00D646E1" w:rsidRPr="00D646E1" w14:paraId="353C53E7" w14:textId="77777777" w:rsidTr="009A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004CFDCB" w14:textId="77777777" w:rsidR="00D646E1" w:rsidRPr="00D646E1" w:rsidRDefault="00D646E1" w:rsidP="00D646E1">
            <w:pPr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Actionable</w:t>
            </w:r>
          </w:p>
        </w:tc>
        <w:tc>
          <w:tcPr>
            <w:tcW w:w="8348" w:type="dxa"/>
            <w:hideMark/>
          </w:tcPr>
          <w:p w14:paraId="526A2476" w14:textId="77777777" w:rsidR="00D646E1" w:rsidRPr="009A1FC6" w:rsidRDefault="00D646E1" w:rsidP="00D64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 xml:space="preserve">Launch a 90-day </w:t>
            </w:r>
            <w:r w:rsidRPr="009A1FC6">
              <w:rPr>
                <w:rFonts w:eastAsia="Times New Roman" w:cs="Times New Roman"/>
                <w:b/>
                <w:bCs/>
                <w:szCs w:val="24"/>
                <w:lang w:val="en-IN" w:eastAsia="en-IN"/>
              </w:rPr>
              <w:t>Proactive Support Pilot</w:t>
            </w: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:</w:t>
            </w:r>
          </w:p>
          <w:p w14:paraId="3CF7B202" w14:textId="77777777" w:rsidR="00D646E1" w:rsidRPr="009A1FC6" w:rsidRDefault="00D646E1" w:rsidP="00D646E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Automated reminders within 5 days of a missed payment.</w:t>
            </w:r>
          </w:p>
          <w:p w14:paraId="4F085A1B" w14:textId="42C93B60" w:rsidR="00D646E1" w:rsidRPr="009A1FC6" w:rsidRDefault="00D646E1" w:rsidP="00D646E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Offer flexible repayment or partial-payment options.</w:t>
            </w:r>
          </w:p>
          <w:p w14:paraId="24B0FF3C" w14:textId="0D534846" w:rsidR="00D646E1" w:rsidRPr="009A1FC6" w:rsidRDefault="00D646E1" w:rsidP="00D646E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Assign relationship officers to high-risk accounts.</w:t>
            </w:r>
          </w:p>
        </w:tc>
      </w:tr>
      <w:tr w:rsidR="00D646E1" w:rsidRPr="00D646E1" w14:paraId="64356AF5" w14:textId="77777777" w:rsidTr="009A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666B8222" w14:textId="77777777" w:rsidR="00D646E1" w:rsidRPr="00D646E1" w:rsidRDefault="00D646E1" w:rsidP="00D646E1">
            <w:pPr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Relevant</w:t>
            </w:r>
          </w:p>
        </w:tc>
        <w:tc>
          <w:tcPr>
            <w:tcW w:w="8348" w:type="dxa"/>
            <w:hideMark/>
          </w:tcPr>
          <w:p w14:paraId="456C3B8D" w14:textId="2633EDDF" w:rsidR="00D646E1" w:rsidRPr="00D646E1" w:rsidRDefault="00D646E1" w:rsidP="00D64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 xml:space="preserve">Directly aligns with </w:t>
            </w:r>
            <w:proofErr w:type="spellStart"/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Geldium</w:t>
            </w: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’</w:t>
            </w: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s</w:t>
            </w:r>
            <w:proofErr w:type="spellEnd"/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 xml:space="preserve"> </w:t>
            </w: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goal of improving recoveries and maintaining customer-centric credit practices.</w:t>
            </w:r>
          </w:p>
        </w:tc>
      </w:tr>
      <w:tr w:rsidR="00D646E1" w:rsidRPr="00D646E1" w14:paraId="58D8906B" w14:textId="77777777" w:rsidTr="009A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705537EE" w14:textId="77777777" w:rsidR="00D646E1" w:rsidRPr="00D646E1" w:rsidRDefault="00D646E1" w:rsidP="00D646E1">
            <w:pPr>
              <w:rPr>
                <w:rFonts w:eastAsia="Times New Roman" w:cs="Times New Roman"/>
                <w:szCs w:val="24"/>
                <w:lang w:val="en-IN" w:eastAsia="en-IN"/>
              </w:rPr>
            </w:pPr>
            <w:r w:rsidRPr="009A1FC6">
              <w:rPr>
                <w:rFonts w:eastAsia="Times New Roman" w:cs="Times New Roman"/>
                <w:szCs w:val="24"/>
                <w:lang w:val="en-IN" w:eastAsia="en-IN"/>
              </w:rPr>
              <w:t>Time-bound</w:t>
            </w:r>
          </w:p>
        </w:tc>
        <w:tc>
          <w:tcPr>
            <w:tcW w:w="8348" w:type="dxa"/>
            <w:hideMark/>
          </w:tcPr>
          <w:p w14:paraId="104F9A21" w14:textId="77777777" w:rsidR="00D646E1" w:rsidRPr="00D646E1" w:rsidRDefault="00D646E1" w:rsidP="00D64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IN" w:eastAsia="en-IN"/>
              </w:rPr>
            </w:pPr>
            <w:r w:rsidRPr="00D646E1">
              <w:rPr>
                <w:rFonts w:eastAsia="Times New Roman" w:cs="Times New Roman"/>
                <w:szCs w:val="24"/>
                <w:lang w:val="en-IN" w:eastAsia="en-IN"/>
              </w:rPr>
              <w:t>Pilot for 3 months, evaluate in Month 4, and refine based on response and recovery data.</w:t>
            </w:r>
          </w:p>
        </w:tc>
      </w:tr>
    </w:tbl>
    <w:p w14:paraId="46910082" w14:textId="74AA5F1D" w:rsidR="00D646E1" w:rsidRPr="009A1FC6" w:rsidRDefault="00D646E1" w:rsidP="00D646E1">
      <w:pPr>
        <w:pStyle w:val="NormalWeb"/>
        <w:rPr>
          <w:rFonts w:asciiTheme="minorHAnsi" w:hAnsiTheme="minorHAnsi"/>
          <w:b/>
          <w:sz w:val="28"/>
          <w:szCs w:val="30"/>
        </w:rPr>
      </w:pPr>
      <w:r w:rsidRPr="009A1FC6">
        <w:rPr>
          <w:rFonts w:asciiTheme="minorHAnsi" w:hAnsiTheme="minorHAnsi"/>
          <w:b/>
          <w:sz w:val="28"/>
          <w:szCs w:val="30"/>
        </w:rPr>
        <w:t>Business Rational</w:t>
      </w:r>
    </w:p>
    <w:p w14:paraId="1A6C5BB0" w14:textId="4A061EE4" w:rsidR="009A1FC6" w:rsidRPr="009A1FC6" w:rsidRDefault="00D646E1" w:rsidP="009F6C9D">
      <w:pPr>
        <w:pStyle w:val="NormalWeb"/>
        <w:rPr>
          <w:rFonts w:asciiTheme="minorHAnsi" w:hAnsiTheme="minorHAnsi"/>
          <w:sz w:val="22"/>
        </w:rPr>
      </w:pPr>
      <w:r w:rsidRPr="009A1FC6">
        <w:rPr>
          <w:rFonts w:asciiTheme="minorHAnsi" w:hAnsiTheme="minorHAnsi"/>
          <w:sz w:val="22"/>
        </w:rPr>
        <w:t>Roughly 20 % of customers account for most future delinquency risk.</w:t>
      </w:r>
      <w:r w:rsidR="009F6C9D" w:rsidRPr="009A1FC6">
        <w:rPr>
          <w:rFonts w:asciiTheme="minorHAnsi" w:hAnsiTheme="minorHAnsi"/>
          <w:sz w:val="22"/>
        </w:rPr>
        <w:t xml:space="preserve"> </w:t>
      </w:r>
      <w:r w:rsidRPr="009A1FC6">
        <w:rPr>
          <w:rFonts w:asciiTheme="minorHAnsi" w:hAnsiTheme="minorHAnsi"/>
          <w:sz w:val="22"/>
        </w:rPr>
        <w:t>Prioritizing these cases enables the Collections team to allocate resources efficiently and engage customers before financial stress escalates.</w:t>
      </w:r>
      <w:r w:rsidR="009F6C9D" w:rsidRPr="009A1FC6">
        <w:rPr>
          <w:rFonts w:asciiTheme="minorHAnsi" w:hAnsiTheme="minorHAnsi"/>
          <w:sz w:val="22"/>
        </w:rPr>
        <w:t xml:space="preserve"> </w:t>
      </w:r>
      <w:r w:rsidRPr="009A1FC6">
        <w:rPr>
          <w:rFonts w:asciiTheme="minorHAnsi" w:hAnsiTheme="minorHAnsi"/>
          <w:sz w:val="22"/>
        </w:rPr>
        <w:t xml:space="preserve">This proactive, empathetic strategy not only reduces default rates but also preserves customer relationships and upholds </w:t>
      </w:r>
      <w:proofErr w:type="spellStart"/>
      <w:r w:rsidRPr="009A1FC6">
        <w:rPr>
          <w:rFonts w:asciiTheme="minorHAnsi" w:hAnsiTheme="minorHAnsi"/>
          <w:sz w:val="22"/>
        </w:rPr>
        <w:t>Geldium’s</w:t>
      </w:r>
      <w:proofErr w:type="spellEnd"/>
      <w:r w:rsidRPr="009A1FC6">
        <w:rPr>
          <w:rFonts w:asciiTheme="minorHAnsi" w:hAnsiTheme="minorHAnsi"/>
          <w:sz w:val="22"/>
        </w:rPr>
        <w:t xml:space="preserve"> reputation for responsible finance.</w:t>
      </w:r>
    </w:p>
    <w:p w14:paraId="08E6A272" w14:textId="77777777" w:rsidR="007D72C2" w:rsidRPr="009A1FC6" w:rsidRDefault="00A537D1">
      <w:pPr>
        <w:pStyle w:val="Heading1"/>
        <w:rPr>
          <w:rFonts w:asciiTheme="minorHAnsi" w:hAnsiTheme="minorHAnsi" w:cs="Arial"/>
          <w:color w:val="000000" w:themeColor="text1"/>
          <w:szCs w:val="32"/>
          <w:u w:val="dotted"/>
        </w:rPr>
      </w:pPr>
      <w:r w:rsidRPr="009A1FC6">
        <w:rPr>
          <w:rFonts w:asciiTheme="minorHAnsi" w:hAnsiTheme="minorHAnsi" w:cs="Arial"/>
          <w:color w:val="000000" w:themeColor="text1"/>
          <w:szCs w:val="32"/>
          <w:u w:val="dotted"/>
        </w:rPr>
        <w:t>3. Ethical and Responsible AI Considerations</w:t>
      </w:r>
    </w:p>
    <w:p w14:paraId="447058FC" w14:textId="77777777" w:rsidR="009F6C9D" w:rsidRPr="009A1FC6" w:rsidRDefault="009F6C9D">
      <w:pPr>
        <w:rPr>
          <w:rFonts w:cs="Arial"/>
          <w:color w:val="000000" w:themeColor="text1"/>
          <w:sz w:val="24"/>
          <w:szCs w:val="28"/>
        </w:rPr>
      </w:pPr>
      <w:r w:rsidRPr="009A1FC6">
        <w:rPr>
          <w:rFonts w:cs="Arial"/>
          <w:i/>
          <w:color w:val="000000" w:themeColor="text1"/>
          <w:sz w:val="24"/>
          <w:szCs w:val="28"/>
          <w:u w:val="single"/>
        </w:rPr>
        <w:t>Fairness and Bias mitigation</w:t>
      </w:r>
      <w:r w:rsidRPr="009A1FC6">
        <w:rPr>
          <w:rFonts w:cs="Arial"/>
          <w:color w:val="000000" w:themeColor="text1"/>
          <w:sz w:val="24"/>
          <w:szCs w:val="28"/>
        </w:rPr>
        <w:t xml:space="preserve">: </w:t>
      </w:r>
      <w:r w:rsidRPr="009A1FC6">
        <w:rPr>
          <w:rFonts w:cs="Arial"/>
          <w:color w:val="000000" w:themeColor="text1"/>
          <w:szCs w:val="24"/>
        </w:rPr>
        <w:t xml:space="preserve">The model </w:t>
      </w:r>
      <w:r w:rsidRPr="009A1FC6">
        <w:rPr>
          <w:szCs w:val="24"/>
        </w:rPr>
        <w:t>must not disadvantage specific customer groups.</w:t>
      </w:r>
      <w:r w:rsidRPr="009A1FC6">
        <w:rPr>
          <w:szCs w:val="24"/>
        </w:rPr>
        <w:t xml:space="preserve"> </w:t>
      </w:r>
      <w:r w:rsidRPr="009A1FC6">
        <w:rPr>
          <w:szCs w:val="24"/>
        </w:rPr>
        <w:t>Variables such as employment type or location will be monitored for proxy bias to ensure predictions reflect financial behavior, not demographics.</w:t>
      </w:r>
      <w:r w:rsidRPr="009A1FC6">
        <w:rPr>
          <w:szCs w:val="24"/>
        </w:rPr>
        <w:br/>
      </w:r>
      <w:r w:rsidRPr="009A1FC6">
        <w:rPr>
          <w:rStyle w:val="Strong"/>
          <w:szCs w:val="24"/>
        </w:rPr>
        <w:t>Action:</w:t>
      </w:r>
      <w:r w:rsidRPr="009A1FC6">
        <w:rPr>
          <w:szCs w:val="24"/>
        </w:rPr>
        <w:t xml:space="preserve"> Conduct periodic fairness audits and human review for flagged cases.</w:t>
      </w:r>
    </w:p>
    <w:p w14:paraId="74FEA9C3" w14:textId="6F4FCFDB" w:rsidR="002F49E4" w:rsidRPr="009A1FC6" w:rsidRDefault="009F6C9D">
      <w:pPr>
        <w:rPr>
          <w:rFonts w:cs="Arial"/>
          <w:color w:val="000000" w:themeColor="text1"/>
          <w:szCs w:val="24"/>
        </w:rPr>
      </w:pPr>
      <w:proofErr w:type="spellStart"/>
      <w:r w:rsidRPr="009A1FC6">
        <w:rPr>
          <w:rFonts w:cs="Arial"/>
          <w:i/>
          <w:color w:val="000000" w:themeColor="text1"/>
          <w:sz w:val="24"/>
          <w:szCs w:val="28"/>
          <w:u w:val="single"/>
        </w:rPr>
        <w:t>Explainability</w:t>
      </w:r>
      <w:proofErr w:type="spellEnd"/>
      <w:r w:rsidRPr="009A1FC6">
        <w:rPr>
          <w:rFonts w:cs="Arial"/>
          <w:i/>
          <w:color w:val="000000" w:themeColor="text1"/>
          <w:sz w:val="24"/>
          <w:szCs w:val="28"/>
          <w:u w:val="single"/>
        </w:rPr>
        <w:t xml:space="preserve"> and Transparency</w:t>
      </w:r>
      <w:r w:rsidR="002F49E4" w:rsidRPr="009A1FC6">
        <w:rPr>
          <w:rFonts w:cs="Arial"/>
          <w:color w:val="000000" w:themeColor="text1"/>
          <w:sz w:val="24"/>
          <w:szCs w:val="28"/>
        </w:rPr>
        <w:t xml:space="preserve">: </w:t>
      </w:r>
      <w:r w:rsidR="002F49E4" w:rsidRPr="009A1FC6">
        <w:rPr>
          <w:szCs w:val="24"/>
        </w:rPr>
        <w:t>Decision Trees were chosen for interpretability.</w:t>
      </w:r>
      <w:r w:rsidR="002F49E4" w:rsidRPr="009A1FC6">
        <w:rPr>
          <w:szCs w:val="24"/>
        </w:rPr>
        <w:t xml:space="preserve"> </w:t>
      </w:r>
      <w:r w:rsidR="002F49E4" w:rsidRPr="009A1FC6">
        <w:rPr>
          <w:szCs w:val="24"/>
        </w:rPr>
        <w:t>Each prediction follows a clear decision path that can be communicated easily to business users.</w:t>
      </w:r>
      <w:r w:rsidR="002F49E4" w:rsidRPr="009A1FC6">
        <w:rPr>
          <w:szCs w:val="24"/>
        </w:rPr>
        <w:br/>
      </w:r>
      <w:r w:rsidR="002F49E4" w:rsidRPr="009A1FC6">
        <w:rPr>
          <w:rStyle w:val="Strong"/>
          <w:szCs w:val="24"/>
        </w:rPr>
        <w:t>Action:</w:t>
      </w:r>
      <w:r w:rsidR="002F49E4" w:rsidRPr="009A1FC6">
        <w:rPr>
          <w:szCs w:val="24"/>
        </w:rPr>
        <w:t xml:space="preserve"> Include visual explanations (e.g., feature-importance charts) in internal dashboards.</w:t>
      </w:r>
    </w:p>
    <w:p w14:paraId="4FBAB2AD" w14:textId="77777777" w:rsidR="002F49E4" w:rsidRPr="009A1FC6" w:rsidRDefault="002F49E4" w:rsidP="002F49E4">
      <w:pPr>
        <w:pStyle w:val="NormalWeb"/>
        <w:rPr>
          <w:rFonts w:asciiTheme="minorHAnsi" w:hAnsiTheme="minorHAnsi"/>
          <w:sz w:val="22"/>
        </w:rPr>
      </w:pPr>
      <w:r w:rsidRPr="009A1FC6">
        <w:rPr>
          <w:rFonts w:asciiTheme="minorHAnsi" w:hAnsiTheme="minorHAnsi" w:cs="Arial"/>
          <w:i/>
          <w:color w:val="000000" w:themeColor="text1"/>
          <w:szCs w:val="28"/>
          <w:u w:val="single"/>
        </w:rPr>
        <w:t>Human Oversight and Responsible Use</w:t>
      </w:r>
      <w:r w:rsidRPr="009A1FC6">
        <w:rPr>
          <w:rFonts w:asciiTheme="minorHAnsi" w:hAnsiTheme="minorHAnsi" w:cs="Arial"/>
          <w:color w:val="000000" w:themeColor="text1"/>
          <w:szCs w:val="28"/>
        </w:rPr>
        <w:t xml:space="preserve">: </w:t>
      </w:r>
      <w:r w:rsidRPr="009A1FC6">
        <w:rPr>
          <w:rFonts w:asciiTheme="minorHAnsi" w:hAnsiTheme="minorHAnsi"/>
          <w:sz w:val="22"/>
        </w:rPr>
        <w:t>AI outputs support—not replace—human judgment.</w:t>
      </w:r>
      <w:r w:rsidRPr="009A1FC6">
        <w:rPr>
          <w:rFonts w:asciiTheme="minorHAnsi" w:hAnsiTheme="minorHAnsi"/>
          <w:sz w:val="22"/>
        </w:rPr>
        <w:t xml:space="preserve"> </w:t>
      </w:r>
      <w:r w:rsidRPr="009A1FC6">
        <w:rPr>
          <w:rFonts w:asciiTheme="minorHAnsi" w:hAnsiTheme="minorHAnsi"/>
          <w:sz w:val="22"/>
        </w:rPr>
        <w:t>Collections officers should use predictions as guidance for proactive engagement rather than punitive action.</w:t>
      </w:r>
      <w:r w:rsidRPr="009A1FC6">
        <w:rPr>
          <w:rFonts w:asciiTheme="minorHAnsi" w:hAnsiTheme="minorHAnsi"/>
          <w:sz w:val="22"/>
        </w:rPr>
        <w:br/>
      </w:r>
      <w:r w:rsidRPr="009A1FC6">
        <w:rPr>
          <w:rStyle w:val="Strong"/>
          <w:rFonts w:asciiTheme="minorHAnsi" w:hAnsiTheme="minorHAnsi"/>
          <w:sz w:val="22"/>
        </w:rPr>
        <w:t>Action:</w:t>
      </w:r>
      <w:r w:rsidRPr="009A1FC6">
        <w:rPr>
          <w:rFonts w:asciiTheme="minorHAnsi" w:hAnsiTheme="minorHAnsi"/>
          <w:sz w:val="22"/>
        </w:rPr>
        <w:t xml:space="preserve"> Manually review every high-risk case before initiating outreach.</w:t>
      </w:r>
    </w:p>
    <w:p w14:paraId="12B2DA0E" w14:textId="0899E184" w:rsidR="00CA1EF4" w:rsidRPr="009A1FC6" w:rsidRDefault="002F49E4" w:rsidP="002F49E4">
      <w:pPr>
        <w:pStyle w:val="NormalWeb"/>
        <w:rPr>
          <w:rFonts w:asciiTheme="minorHAnsi" w:hAnsiTheme="minorHAnsi"/>
          <w:sz w:val="22"/>
        </w:rPr>
      </w:pPr>
      <w:r w:rsidRPr="009A1FC6">
        <w:rPr>
          <w:rFonts w:asciiTheme="minorHAnsi" w:hAnsiTheme="minorHAnsi" w:cs="Arial"/>
          <w:i/>
          <w:color w:val="000000" w:themeColor="text1"/>
          <w:szCs w:val="28"/>
          <w:u w:val="single"/>
        </w:rPr>
        <w:t>Data Privacy and Compliance</w:t>
      </w:r>
      <w:r w:rsidRPr="009A1FC6">
        <w:rPr>
          <w:rFonts w:asciiTheme="minorHAnsi" w:hAnsiTheme="minorHAnsi" w:cs="Arial"/>
          <w:color w:val="000000" w:themeColor="text1"/>
          <w:szCs w:val="28"/>
        </w:rPr>
        <w:t xml:space="preserve">: </w:t>
      </w:r>
      <w:r w:rsidRPr="009A1FC6">
        <w:rPr>
          <w:rFonts w:asciiTheme="minorHAnsi" w:hAnsiTheme="minorHAnsi"/>
          <w:sz w:val="22"/>
        </w:rPr>
        <w:t>All customer information must remain confidential and be processed under relevant data-protection laws.</w:t>
      </w:r>
      <w:r w:rsidRPr="009A1FC6">
        <w:rPr>
          <w:rFonts w:asciiTheme="minorHAnsi" w:hAnsiTheme="minorHAnsi"/>
          <w:sz w:val="22"/>
        </w:rPr>
        <w:br/>
        <w:t>Anonymization and secure storage practices are mandatory across all systems.</w:t>
      </w:r>
    </w:p>
    <w:p w14:paraId="126D41B9" w14:textId="4229C09B" w:rsidR="009A1FC6" w:rsidRPr="009A1FC6" w:rsidRDefault="009A1FC6" w:rsidP="002F49E4">
      <w:pPr>
        <w:pStyle w:val="NormalWeb"/>
        <w:rPr>
          <w:rFonts w:asciiTheme="minorHAnsi" w:hAnsiTheme="minorHAnsi" w:cs="Arial"/>
          <w:b/>
          <w:color w:val="000000" w:themeColor="text1"/>
          <w:sz w:val="28"/>
          <w:szCs w:val="32"/>
          <w:u w:val="dotted"/>
        </w:rPr>
      </w:pPr>
      <w:r w:rsidRPr="009A1FC6">
        <w:rPr>
          <w:rFonts w:asciiTheme="minorHAnsi" w:hAnsiTheme="minorHAnsi" w:cs="Arial"/>
          <w:b/>
          <w:color w:val="000000" w:themeColor="text1"/>
          <w:sz w:val="28"/>
          <w:szCs w:val="32"/>
          <w:u w:val="dotted"/>
        </w:rPr>
        <w:t>Conclusion</w:t>
      </w:r>
    </w:p>
    <w:p w14:paraId="56CED306" w14:textId="22AF63AE" w:rsidR="009A1FC6" w:rsidRPr="009A1FC6" w:rsidRDefault="009A1FC6" w:rsidP="002F49E4">
      <w:pPr>
        <w:pStyle w:val="NormalWeb"/>
        <w:rPr>
          <w:rFonts w:asciiTheme="minorHAnsi" w:hAnsiTheme="minorHAnsi"/>
          <w:sz w:val="22"/>
        </w:rPr>
      </w:pPr>
      <w:r w:rsidRPr="009A1FC6">
        <w:rPr>
          <w:rFonts w:asciiTheme="minorHAnsi" w:hAnsiTheme="minorHAnsi"/>
          <w:sz w:val="22"/>
        </w:rPr>
        <w:t xml:space="preserve">By combining predictive insights with transparent, customer-first actions, </w:t>
      </w:r>
      <w:proofErr w:type="spellStart"/>
      <w:r w:rsidRPr="009A1FC6">
        <w:rPr>
          <w:rFonts w:asciiTheme="minorHAnsi" w:hAnsiTheme="minorHAnsi"/>
          <w:sz w:val="22"/>
        </w:rPr>
        <w:t>Geldium</w:t>
      </w:r>
      <w:proofErr w:type="spellEnd"/>
      <w:r w:rsidRPr="009A1FC6">
        <w:rPr>
          <w:rFonts w:asciiTheme="minorHAnsi" w:hAnsiTheme="minorHAnsi"/>
          <w:sz w:val="22"/>
        </w:rPr>
        <w:t xml:space="preserve"> can reduce delinquency risk, improve collection efficiency, and strengthen long-term borrower trust-achieving measurable business results while maintaining responsible and ethical AI practices.</w:t>
      </w:r>
    </w:p>
    <w:sectPr w:rsidR="009A1FC6" w:rsidRPr="009A1FC6" w:rsidSect="009A1FC6">
      <w:pgSz w:w="12240" w:h="15840"/>
      <w:pgMar w:top="1440" w:right="1325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D7C96" w14:textId="77777777" w:rsidR="009F3F54" w:rsidRDefault="009F3F54" w:rsidP="007A254B">
      <w:pPr>
        <w:spacing w:after="0" w:line="240" w:lineRule="auto"/>
      </w:pPr>
      <w:r>
        <w:separator/>
      </w:r>
    </w:p>
  </w:endnote>
  <w:endnote w:type="continuationSeparator" w:id="0">
    <w:p w14:paraId="63C734D1" w14:textId="77777777" w:rsidR="009F3F54" w:rsidRDefault="009F3F54" w:rsidP="007A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D4EFF" w14:textId="77777777" w:rsidR="009F3F54" w:rsidRDefault="009F3F54" w:rsidP="007A254B">
      <w:pPr>
        <w:spacing w:after="0" w:line="240" w:lineRule="auto"/>
      </w:pPr>
      <w:r>
        <w:separator/>
      </w:r>
    </w:p>
  </w:footnote>
  <w:footnote w:type="continuationSeparator" w:id="0">
    <w:p w14:paraId="775CC79A" w14:textId="77777777" w:rsidR="009F3F54" w:rsidRDefault="009F3F54" w:rsidP="007A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83414"/>
    <w:multiLevelType w:val="multilevel"/>
    <w:tmpl w:val="412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7016D"/>
    <w:multiLevelType w:val="multilevel"/>
    <w:tmpl w:val="DD30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02FEB"/>
    <w:multiLevelType w:val="multilevel"/>
    <w:tmpl w:val="225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33544"/>
    <w:multiLevelType w:val="hybridMultilevel"/>
    <w:tmpl w:val="71B6D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17F36"/>
    <w:multiLevelType w:val="hybridMultilevel"/>
    <w:tmpl w:val="FEEE9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F15BA"/>
    <w:multiLevelType w:val="multilevel"/>
    <w:tmpl w:val="6FF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772A8"/>
    <w:multiLevelType w:val="multilevel"/>
    <w:tmpl w:val="F45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975C2"/>
    <w:multiLevelType w:val="hybridMultilevel"/>
    <w:tmpl w:val="C1BCB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50479"/>
    <w:multiLevelType w:val="multilevel"/>
    <w:tmpl w:val="9A4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3225B"/>
    <w:multiLevelType w:val="multilevel"/>
    <w:tmpl w:val="8BD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A235E"/>
    <w:multiLevelType w:val="multilevel"/>
    <w:tmpl w:val="29E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F6803"/>
    <w:multiLevelType w:val="multilevel"/>
    <w:tmpl w:val="ED2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52E8"/>
    <w:multiLevelType w:val="multilevel"/>
    <w:tmpl w:val="ACEC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616D2"/>
    <w:multiLevelType w:val="hybridMultilevel"/>
    <w:tmpl w:val="72801E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1381D"/>
    <w:multiLevelType w:val="multilevel"/>
    <w:tmpl w:val="00A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C4EB4"/>
    <w:multiLevelType w:val="multilevel"/>
    <w:tmpl w:val="0ED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A4822"/>
    <w:multiLevelType w:val="multilevel"/>
    <w:tmpl w:val="14C0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24695"/>
    <w:multiLevelType w:val="multilevel"/>
    <w:tmpl w:val="175A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615CA"/>
    <w:multiLevelType w:val="multilevel"/>
    <w:tmpl w:val="2F2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23258"/>
    <w:multiLevelType w:val="multilevel"/>
    <w:tmpl w:val="506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C7719"/>
    <w:multiLevelType w:val="multilevel"/>
    <w:tmpl w:val="8C84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F0746"/>
    <w:multiLevelType w:val="multilevel"/>
    <w:tmpl w:val="6D4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5"/>
  </w:num>
  <w:num w:numId="12">
    <w:abstractNumId w:val="28"/>
  </w:num>
  <w:num w:numId="13">
    <w:abstractNumId w:val="29"/>
  </w:num>
  <w:num w:numId="14">
    <w:abstractNumId w:val="10"/>
  </w:num>
  <w:num w:numId="15">
    <w:abstractNumId w:val="21"/>
  </w:num>
  <w:num w:numId="16">
    <w:abstractNumId w:val="14"/>
  </w:num>
  <w:num w:numId="17">
    <w:abstractNumId w:val="25"/>
  </w:num>
  <w:num w:numId="18">
    <w:abstractNumId w:val="26"/>
  </w:num>
  <w:num w:numId="19">
    <w:abstractNumId w:val="19"/>
  </w:num>
  <w:num w:numId="20">
    <w:abstractNumId w:val="9"/>
  </w:num>
  <w:num w:numId="21">
    <w:abstractNumId w:val="24"/>
  </w:num>
  <w:num w:numId="22">
    <w:abstractNumId w:val="17"/>
  </w:num>
  <w:num w:numId="23">
    <w:abstractNumId w:val="11"/>
  </w:num>
  <w:num w:numId="24">
    <w:abstractNumId w:val="30"/>
  </w:num>
  <w:num w:numId="25">
    <w:abstractNumId w:val="27"/>
  </w:num>
  <w:num w:numId="26">
    <w:abstractNumId w:val="20"/>
  </w:num>
  <w:num w:numId="27">
    <w:abstractNumId w:val="18"/>
  </w:num>
  <w:num w:numId="28">
    <w:abstractNumId w:val="16"/>
  </w:num>
  <w:num w:numId="29">
    <w:abstractNumId w:val="12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9E4"/>
    <w:rsid w:val="00326F90"/>
    <w:rsid w:val="007A254B"/>
    <w:rsid w:val="007D72C2"/>
    <w:rsid w:val="008237CA"/>
    <w:rsid w:val="009A1FC6"/>
    <w:rsid w:val="009F3F54"/>
    <w:rsid w:val="009F6C9D"/>
    <w:rsid w:val="00A537D1"/>
    <w:rsid w:val="00AA1D8D"/>
    <w:rsid w:val="00B47730"/>
    <w:rsid w:val="00CA1EF4"/>
    <w:rsid w:val="00CB0664"/>
    <w:rsid w:val="00D646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A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1">
    <w:name w:val="Plain Table 1"/>
    <w:basedOn w:val="TableNormal"/>
    <w:uiPriority w:val="99"/>
    <w:rsid w:val="007A25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926D4-774F-4765-8B5D-24C4AF4E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Dʜʀʋv Sharma</cp:lastModifiedBy>
  <cp:revision>4</cp:revision>
  <dcterms:created xsi:type="dcterms:W3CDTF">2013-12-23T23:15:00Z</dcterms:created>
  <dcterms:modified xsi:type="dcterms:W3CDTF">2025-10-30T11:52:00Z</dcterms:modified>
  <cp:category/>
</cp:coreProperties>
</file>